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83BC93" w14:textId="77777777" w:rsidR="009805F2" w:rsidRPr="009D729D" w:rsidRDefault="009805F2" w:rsidP="009805F2">
      <w:pPr>
        <w:spacing w:after="0" w:line="240" w:lineRule="auto"/>
        <w:jc w:val="center"/>
        <w:rPr>
          <w:rFonts w:ascii="Verdana" w:eastAsia="MS Mincho" w:hAnsi="Verdana" w:cs="Times New Roman"/>
          <w:b/>
          <w:sz w:val="20"/>
          <w:szCs w:val="20"/>
          <w:lang w:eastAsia="es-CR"/>
        </w:rPr>
      </w:pPr>
      <w:bookmarkStart w:id="0" w:name="_GoBack"/>
      <w:bookmarkEnd w:id="0"/>
    </w:p>
    <w:p w14:paraId="35E60F32" w14:textId="77777777" w:rsidR="009805F2" w:rsidRDefault="009805F2" w:rsidP="009805F2">
      <w:pPr>
        <w:spacing w:after="0" w:line="240" w:lineRule="auto"/>
        <w:jc w:val="center"/>
        <w:rPr>
          <w:rFonts w:ascii="Verdana" w:eastAsia="MS Mincho" w:hAnsi="Verdana" w:cs="Times New Roman"/>
          <w:b/>
          <w:sz w:val="20"/>
          <w:szCs w:val="20"/>
          <w:lang w:val="es-CR" w:eastAsia="es-CR"/>
        </w:rPr>
      </w:pPr>
    </w:p>
    <w:p w14:paraId="55E1C90E" w14:textId="77777777" w:rsidR="009805F2" w:rsidRDefault="009805F2" w:rsidP="009805F2">
      <w:pPr>
        <w:spacing w:after="0" w:line="240" w:lineRule="auto"/>
        <w:jc w:val="center"/>
        <w:rPr>
          <w:rFonts w:ascii="Verdana" w:eastAsia="MS Mincho" w:hAnsi="Verdana" w:cs="Times New Roman"/>
          <w:b/>
          <w:sz w:val="20"/>
          <w:szCs w:val="20"/>
          <w:lang w:val="es-CR" w:eastAsia="es-CR"/>
        </w:rPr>
      </w:pPr>
    </w:p>
    <w:p w14:paraId="51EB05DC" w14:textId="77777777" w:rsidR="009805F2" w:rsidRPr="00873FEC" w:rsidRDefault="009805F2" w:rsidP="009805F2">
      <w:pPr>
        <w:spacing w:after="0" w:line="240" w:lineRule="auto"/>
        <w:jc w:val="center"/>
        <w:rPr>
          <w:rFonts w:ascii="Verdana" w:eastAsia="MS Mincho" w:hAnsi="Verdana" w:cs="Times New Roman"/>
          <w:b/>
          <w:sz w:val="20"/>
          <w:szCs w:val="20"/>
          <w:lang w:val="es-CR" w:eastAsia="es-CR"/>
        </w:rPr>
      </w:pPr>
      <w:r w:rsidRPr="00873FEC">
        <w:rPr>
          <w:rFonts w:ascii="Verdana" w:eastAsia="MS Mincho" w:hAnsi="Verdana" w:cs="Times New Roman"/>
          <w:b/>
          <w:sz w:val="20"/>
          <w:szCs w:val="20"/>
          <w:lang w:val="es-CR" w:eastAsia="es-CR"/>
        </w:rPr>
        <w:t>CORTE INTERAMERICANA DE DERECHOS HUMANOS</w:t>
      </w:r>
    </w:p>
    <w:p w14:paraId="404CB8B7" w14:textId="77777777" w:rsidR="009805F2" w:rsidRPr="00873FEC" w:rsidRDefault="009805F2" w:rsidP="009805F2">
      <w:pPr>
        <w:spacing w:after="0" w:line="240" w:lineRule="auto"/>
        <w:jc w:val="center"/>
        <w:rPr>
          <w:rFonts w:ascii="Verdana" w:eastAsia="MS Mincho" w:hAnsi="Verdana" w:cs="Times New Roman"/>
          <w:b/>
          <w:sz w:val="20"/>
          <w:szCs w:val="20"/>
          <w:lang w:val="es-CR" w:eastAsia="es-CR"/>
        </w:rPr>
      </w:pPr>
    </w:p>
    <w:p w14:paraId="5A571E9E" w14:textId="77777777" w:rsidR="009805F2" w:rsidRDefault="009805F2" w:rsidP="009805F2">
      <w:pPr>
        <w:spacing w:after="0" w:line="240" w:lineRule="auto"/>
        <w:jc w:val="center"/>
        <w:rPr>
          <w:rFonts w:ascii="Verdana" w:eastAsia="MS Mincho" w:hAnsi="Verdana" w:cs="Times New Roman"/>
          <w:b/>
          <w:sz w:val="20"/>
          <w:szCs w:val="20"/>
          <w:lang w:val="es-CR" w:eastAsia="es-CR"/>
        </w:rPr>
      </w:pPr>
    </w:p>
    <w:p w14:paraId="5B3E80F1" w14:textId="77777777" w:rsidR="009805F2" w:rsidRPr="00873FEC" w:rsidRDefault="009805F2" w:rsidP="009805F2">
      <w:pPr>
        <w:spacing w:after="0" w:line="240" w:lineRule="auto"/>
        <w:jc w:val="center"/>
        <w:rPr>
          <w:rFonts w:ascii="Verdana" w:eastAsia="MS Mincho" w:hAnsi="Verdana" w:cs="Times New Roman"/>
          <w:b/>
          <w:sz w:val="20"/>
          <w:szCs w:val="20"/>
          <w:lang w:val="es-CR" w:eastAsia="es-CR"/>
        </w:rPr>
      </w:pPr>
      <w:r w:rsidRPr="00873FEC">
        <w:rPr>
          <w:rFonts w:ascii="Verdana" w:eastAsia="MS Mincho" w:hAnsi="Verdana" w:cs="Times New Roman"/>
          <w:b/>
          <w:sz w:val="20"/>
          <w:szCs w:val="20"/>
          <w:lang w:val="es-CR" w:eastAsia="es-CR"/>
        </w:rPr>
        <w:t>CASO CO</w:t>
      </w:r>
      <w:r>
        <w:rPr>
          <w:rFonts w:ascii="Verdana" w:eastAsia="MS Mincho" w:hAnsi="Verdana" w:cs="Times New Roman"/>
          <w:b/>
          <w:sz w:val="20"/>
          <w:szCs w:val="20"/>
          <w:lang w:val="es-CR" w:eastAsia="es-CR"/>
        </w:rPr>
        <w:t>MUNIDADES INDÍGENAS MIEMBROS DE LA ASOCIACIÓN LHAKA HONHAT (NUESTRA TIERRA) VS. ARGENTINA</w:t>
      </w:r>
    </w:p>
    <w:p w14:paraId="07E58CD3" w14:textId="77777777" w:rsidR="009805F2" w:rsidRPr="00873FEC" w:rsidRDefault="009805F2" w:rsidP="009805F2">
      <w:pPr>
        <w:spacing w:after="0" w:line="240" w:lineRule="auto"/>
        <w:jc w:val="center"/>
        <w:rPr>
          <w:rFonts w:ascii="Verdana" w:eastAsia="MS Mincho" w:hAnsi="Verdana" w:cs="Times New Roman"/>
          <w:b/>
          <w:sz w:val="20"/>
          <w:szCs w:val="20"/>
          <w:lang w:val="es-CR" w:eastAsia="es-CR"/>
        </w:rPr>
      </w:pPr>
    </w:p>
    <w:p w14:paraId="0C582404" w14:textId="77777777" w:rsidR="009805F2" w:rsidRPr="00873FEC" w:rsidRDefault="009805F2" w:rsidP="009805F2">
      <w:pPr>
        <w:spacing w:after="0" w:line="240" w:lineRule="auto"/>
        <w:jc w:val="center"/>
        <w:rPr>
          <w:rFonts w:ascii="Verdana" w:eastAsia="MS Mincho" w:hAnsi="Verdana" w:cs="Times New Roman"/>
          <w:b/>
          <w:sz w:val="20"/>
          <w:szCs w:val="20"/>
          <w:lang w:val="es-CR" w:eastAsia="es-CR"/>
        </w:rPr>
      </w:pPr>
      <w:r>
        <w:rPr>
          <w:rFonts w:ascii="Verdana" w:eastAsia="MS Mincho" w:hAnsi="Verdana" w:cs="Times New Roman"/>
          <w:b/>
          <w:sz w:val="20"/>
          <w:szCs w:val="20"/>
          <w:lang w:val="es-CR" w:eastAsia="es-CR"/>
        </w:rPr>
        <w:t>SENTENCIA DE 6</w:t>
      </w:r>
      <w:r w:rsidRPr="00873FEC">
        <w:rPr>
          <w:rFonts w:ascii="Verdana" w:eastAsia="MS Mincho" w:hAnsi="Verdana" w:cs="Times New Roman"/>
          <w:b/>
          <w:sz w:val="20"/>
          <w:szCs w:val="20"/>
          <w:lang w:val="es-CR" w:eastAsia="es-CR"/>
        </w:rPr>
        <w:t xml:space="preserve"> DE </w:t>
      </w:r>
      <w:r>
        <w:rPr>
          <w:rFonts w:ascii="Verdana" w:eastAsia="MS Mincho" w:hAnsi="Verdana" w:cs="Times New Roman"/>
          <w:b/>
          <w:sz w:val="20"/>
          <w:szCs w:val="20"/>
          <w:lang w:val="es-CR" w:eastAsia="es-CR"/>
        </w:rPr>
        <w:t>FEBRERO</w:t>
      </w:r>
      <w:r w:rsidRPr="00873FEC">
        <w:rPr>
          <w:rFonts w:ascii="Verdana" w:eastAsia="MS Mincho" w:hAnsi="Verdana" w:cs="Times New Roman"/>
          <w:b/>
          <w:sz w:val="20"/>
          <w:szCs w:val="20"/>
          <w:lang w:val="es-CR" w:eastAsia="es-CR"/>
        </w:rPr>
        <w:t xml:space="preserve"> DE 20</w:t>
      </w:r>
      <w:r>
        <w:rPr>
          <w:rFonts w:ascii="Verdana" w:eastAsia="MS Mincho" w:hAnsi="Verdana" w:cs="Times New Roman"/>
          <w:b/>
          <w:sz w:val="20"/>
          <w:szCs w:val="20"/>
          <w:lang w:val="es-CR" w:eastAsia="es-CR"/>
        </w:rPr>
        <w:t>20</w:t>
      </w:r>
    </w:p>
    <w:p w14:paraId="2C6A6B1F" w14:textId="77777777" w:rsidR="009805F2" w:rsidRPr="00873FEC" w:rsidRDefault="009805F2" w:rsidP="009805F2">
      <w:pPr>
        <w:spacing w:after="0" w:line="240" w:lineRule="auto"/>
        <w:jc w:val="center"/>
        <w:rPr>
          <w:rFonts w:ascii="Verdana" w:eastAsia="Batang" w:hAnsi="Verdana" w:cs="Times"/>
          <w:b/>
          <w:i/>
          <w:smallCaps/>
          <w:sz w:val="20"/>
          <w:szCs w:val="20"/>
          <w:lang w:val="es-CR" w:eastAsia="es-CR"/>
        </w:rPr>
      </w:pPr>
      <w:r w:rsidRPr="00873FEC">
        <w:rPr>
          <w:rFonts w:ascii="Verdana" w:eastAsia="MS Mincho" w:hAnsi="Verdana" w:cs="Times New Roman"/>
          <w:b/>
          <w:i/>
          <w:sz w:val="20"/>
          <w:szCs w:val="20"/>
          <w:lang w:val="es-CR" w:eastAsia="es-CR"/>
        </w:rPr>
        <w:t>(Fondo, Reparaciones y Costas)</w:t>
      </w:r>
    </w:p>
    <w:p w14:paraId="099C4A8C" w14:textId="77777777" w:rsidR="009805F2" w:rsidRPr="00873FEC" w:rsidRDefault="009805F2" w:rsidP="009805F2">
      <w:pPr>
        <w:spacing w:after="0" w:line="240" w:lineRule="auto"/>
        <w:ind w:right="-4"/>
        <w:jc w:val="center"/>
        <w:rPr>
          <w:rFonts w:ascii="Verdana" w:eastAsia="Batang" w:hAnsi="Verdana" w:cs="Verdana Bold"/>
          <w:b/>
          <w:i/>
          <w:caps/>
          <w:sz w:val="20"/>
          <w:szCs w:val="20"/>
          <w:lang w:val="es-CR" w:eastAsia="es-CR"/>
        </w:rPr>
      </w:pPr>
      <w:r w:rsidRPr="00873FEC">
        <w:rPr>
          <w:rFonts w:ascii="Verdana" w:eastAsia="Batang" w:hAnsi="Verdana" w:cs="Verdana Bold"/>
          <w:b/>
          <w:i/>
          <w:caps/>
          <w:sz w:val="20"/>
          <w:szCs w:val="20"/>
          <w:lang w:val="es-CR" w:eastAsia="es-CR"/>
        </w:rPr>
        <w:t xml:space="preserve"> </w:t>
      </w:r>
    </w:p>
    <w:p w14:paraId="4BE49EDF" w14:textId="77777777" w:rsidR="009805F2" w:rsidRPr="00873FEC" w:rsidRDefault="009805F2" w:rsidP="009805F2">
      <w:pPr>
        <w:spacing w:after="0" w:line="240" w:lineRule="auto"/>
        <w:ind w:left="-142" w:right="-4"/>
        <w:jc w:val="both"/>
        <w:rPr>
          <w:rFonts w:ascii="Verdana" w:eastAsia="Batang" w:hAnsi="Verdana" w:cs="Times"/>
          <w:sz w:val="20"/>
          <w:szCs w:val="20"/>
          <w:lang w:val="es-CR" w:eastAsia="es-CR"/>
        </w:rPr>
      </w:pPr>
    </w:p>
    <w:p w14:paraId="1CAFABD4" w14:textId="77777777" w:rsidR="009805F2" w:rsidRPr="00873FEC" w:rsidRDefault="009805F2" w:rsidP="009805F2">
      <w:pPr>
        <w:spacing w:after="0" w:line="240" w:lineRule="auto"/>
        <w:ind w:left="-142" w:right="-4"/>
        <w:jc w:val="both"/>
        <w:rPr>
          <w:rFonts w:ascii="Verdana" w:eastAsia="Batang" w:hAnsi="Verdana" w:cs="Times"/>
          <w:sz w:val="20"/>
          <w:szCs w:val="20"/>
          <w:lang w:val="es-CR" w:eastAsia="es-CR"/>
        </w:rPr>
      </w:pPr>
    </w:p>
    <w:p w14:paraId="1A5F9D30" w14:textId="5172E4EF" w:rsidR="009805F2" w:rsidRPr="00873FEC" w:rsidRDefault="009805F2" w:rsidP="009805F2">
      <w:pPr>
        <w:spacing w:after="0" w:line="240" w:lineRule="auto"/>
        <w:jc w:val="both"/>
        <w:rPr>
          <w:rFonts w:ascii="Verdana" w:eastAsia="Batang" w:hAnsi="Verdana" w:cs="Times"/>
          <w:sz w:val="20"/>
          <w:szCs w:val="20"/>
          <w:lang w:val="es-CR" w:eastAsia="es-CR"/>
        </w:rPr>
      </w:pPr>
      <w:r w:rsidRPr="00873FEC">
        <w:rPr>
          <w:rFonts w:ascii="Verdana" w:eastAsia="Batang" w:hAnsi="Verdana" w:cs="Times"/>
          <w:sz w:val="20"/>
          <w:szCs w:val="20"/>
          <w:lang w:val="es-CR" w:eastAsia="es-CR"/>
        </w:rPr>
        <w:t xml:space="preserve">En el caso </w:t>
      </w:r>
      <w:r w:rsidRPr="00873FEC">
        <w:rPr>
          <w:rFonts w:ascii="Verdana" w:eastAsia="Batang" w:hAnsi="Verdana" w:cs="Times"/>
          <w:i/>
          <w:sz w:val="20"/>
          <w:szCs w:val="20"/>
          <w:lang w:val="es-CR" w:eastAsia="es-CR"/>
        </w:rPr>
        <w:t>Co</w:t>
      </w:r>
      <w:r>
        <w:rPr>
          <w:rFonts w:ascii="Verdana" w:eastAsia="Batang" w:hAnsi="Verdana" w:cs="Times"/>
          <w:i/>
          <w:sz w:val="20"/>
          <w:szCs w:val="20"/>
          <w:lang w:val="es-CR" w:eastAsia="es-CR"/>
        </w:rPr>
        <w:t>munidades indígenas miembros de la Asociación</w:t>
      </w:r>
      <w:r w:rsidR="00A446E6">
        <w:rPr>
          <w:rFonts w:ascii="Verdana" w:eastAsia="Batang" w:hAnsi="Verdana" w:cs="Times"/>
          <w:i/>
          <w:sz w:val="20"/>
          <w:szCs w:val="20"/>
          <w:lang w:val="es-CR" w:eastAsia="es-CR"/>
        </w:rPr>
        <w:t xml:space="preserve"> Lhaka Honhat (Nuestra Tierra) V</w:t>
      </w:r>
      <w:r>
        <w:rPr>
          <w:rFonts w:ascii="Verdana" w:eastAsia="Batang" w:hAnsi="Verdana" w:cs="Times"/>
          <w:i/>
          <w:sz w:val="20"/>
          <w:szCs w:val="20"/>
          <w:lang w:val="es-CR" w:eastAsia="es-CR"/>
        </w:rPr>
        <w:t>s. Argentina</w:t>
      </w:r>
      <w:r w:rsidRPr="00873FEC">
        <w:rPr>
          <w:rFonts w:ascii="Verdana" w:eastAsia="Batang" w:hAnsi="Verdana" w:cs="Times"/>
          <w:i/>
          <w:sz w:val="20"/>
          <w:szCs w:val="20"/>
          <w:lang w:val="es-CR" w:eastAsia="es-CR"/>
        </w:rPr>
        <w:t>,</w:t>
      </w:r>
    </w:p>
    <w:p w14:paraId="611E049D" w14:textId="77777777" w:rsidR="009805F2" w:rsidRPr="00873FEC" w:rsidRDefault="009805F2" w:rsidP="009805F2">
      <w:pPr>
        <w:spacing w:after="0" w:line="240" w:lineRule="auto"/>
        <w:ind w:left="-142" w:right="-138"/>
        <w:jc w:val="both"/>
        <w:rPr>
          <w:rFonts w:ascii="Verdana" w:eastAsia="Batang" w:hAnsi="Verdana" w:cs="Times"/>
          <w:sz w:val="20"/>
          <w:szCs w:val="20"/>
          <w:lang w:val="es-CR" w:eastAsia="es-CR"/>
        </w:rPr>
      </w:pPr>
    </w:p>
    <w:p w14:paraId="57A3F47E" w14:textId="77777777" w:rsidR="009805F2" w:rsidRPr="00873FEC" w:rsidRDefault="009805F2" w:rsidP="009805F2">
      <w:pPr>
        <w:spacing w:after="0" w:line="240" w:lineRule="auto"/>
        <w:ind w:left="-142" w:right="-138"/>
        <w:jc w:val="both"/>
        <w:rPr>
          <w:rFonts w:ascii="Verdana" w:eastAsia="Batang" w:hAnsi="Verdana" w:cs="Times"/>
          <w:sz w:val="20"/>
          <w:szCs w:val="20"/>
          <w:lang w:val="es-CR" w:eastAsia="es-CR"/>
        </w:rPr>
      </w:pPr>
    </w:p>
    <w:p w14:paraId="47E77079" w14:textId="77777777" w:rsidR="009805F2" w:rsidRPr="00873FEC" w:rsidRDefault="009805F2" w:rsidP="009805F2">
      <w:pPr>
        <w:spacing w:after="0" w:line="240" w:lineRule="auto"/>
        <w:ind w:right="-138"/>
        <w:jc w:val="both"/>
        <w:rPr>
          <w:rFonts w:ascii="Verdana" w:eastAsia="Batang" w:hAnsi="Verdana" w:cs="Times"/>
          <w:sz w:val="20"/>
          <w:szCs w:val="20"/>
          <w:lang w:val="es-CR" w:eastAsia="es-CR"/>
        </w:rPr>
      </w:pPr>
      <w:r>
        <w:rPr>
          <w:rFonts w:ascii="Verdana" w:eastAsia="Batang" w:hAnsi="Verdana" w:cs="Times"/>
          <w:sz w:val="20"/>
          <w:szCs w:val="20"/>
          <w:lang w:val="es-CR" w:eastAsia="es-CR"/>
        </w:rPr>
        <w:t>l</w:t>
      </w:r>
      <w:r w:rsidRPr="00873FEC">
        <w:rPr>
          <w:rFonts w:ascii="Verdana" w:eastAsia="Batang" w:hAnsi="Verdana" w:cs="Times"/>
          <w:sz w:val="20"/>
          <w:szCs w:val="20"/>
          <w:lang w:val="es-CR" w:eastAsia="es-CR"/>
        </w:rPr>
        <w:t>a Corte Interamericana de Derechos Humanos (en adelante también “la Corte Interamericana”, “la Corte” o “el Tribunal”), integrada por los siguientes Juec</w:t>
      </w:r>
      <w:r>
        <w:rPr>
          <w:rFonts w:ascii="Verdana" w:eastAsia="Batang" w:hAnsi="Verdana" w:cs="Times"/>
          <w:sz w:val="20"/>
          <w:szCs w:val="20"/>
          <w:lang w:val="es-CR" w:eastAsia="es-CR"/>
        </w:rPr>
        <w:t>es</w:t>
      </w:r>
      <w:r>
        <w:rPr>
          <w:rStyle w:val="Refdenotaalpie"/>
          <w:rFonts w:ascii="Verdana" w:eastAsia="Batang" w:hAnsi="Verdana"/>
          <w:sz w:val="20"/>
          <w:lang w:val="es-CR" w:eastAsia="es-CR"/>
        </w:rPr>
        <w:footnoteReference w:customMarkFollows="1" w:id="1"/>
        <w:t>*</w:t>
      </w:r>
      <w:r w:rsidRPr="00873FEC">
        <w:rPr>
          <w:rFonts w:ascii="Verdana" w:eastAsia="Batang" w:hAnsi="Verdana" w:cs="Times"/>
          <w:sz w:val="20"/>
          <w:szCs w:val="20"/>
          <w:lang w:val="es-CR" w:eastAsia="es-CR"/>
        </w:rPr>
        <w:t>:</w:t>
      </w:r>
    </w:p>
    <w:p w14:paraId="14D29E9D" w14:textId="77777777" w:rsidR="009805F2" w:rsidRPr="00873FEC" w:rsidRDefault="009805F2" w:rsidP="009805F2">
      <w:pPr>
        <w:spacing w:after="0" w:line="240" w:lineRule="auto"/>
        <w:ind w:right="-138"/>
        <w:jc w:val="both"/>
        <w:rPr>
          <w:rFonts w:ascii="Verdana" w:eastAsia="Batang" w:hAnsi="Verdana" w:cs="Times"/>
          <w:sz w:val="20"/>
          <w:szCs w:val="20"/>
          <w:lang w:val="es-CR" w:eastAsia="es-CR"/>
        </w:rPr>
      </w:pPr>
    </w:p>
    <w:p w14:paraId="6F1B998A" w14:textId="77777777" w:rsidR="009805F2" w:rsidRDefault="009805F2" w:rsidP="009805F2">
      <w:pPr>
        <w:spacing w:after="0" w:line="240" w:lineRule="auto"/>
        <w:ind w:right="-138"/>
        <w:jc w:val="both"/>
        <w:rPr>
          <w:rFonts w:ascii="Verdana" w:eastAsia="Times New Roman" w:hAnsi="Verdana" w:cs="Times New Roman"/>
          <w:sz w:val="20"/>
          <w:szCs w:val="20"/>
          <w:lang w:val="pt-BR" w:eastAsia="es-CR"/>
        </w:rPr>
      </w:pPr>
      <w:r w:rsidRPr="001E3405">
        <w:rPr>
          <w:rFonts w:ascii="Verdana" w:eastAsia="Times New Roman" w:hAnsi="Verdana" w:cs="Times New Roman"/>
          <w:sz w:val="20"/>
          <w:szCs w:val="20"/>
          <w:lang w:val="es-CR" w:eastAsia="es-CR"/>
        </w:rPr>
        <w:t xml:space="preserve">Elizabeth Odio Benito, </w:t>
      </w:r>
      <w:r>
        <w:rPr>
          <w:rFonts w:ascii="Verdana" w:eastAsia="Times New Roman" w:hAnsi="Verdana" w:cs="Times New Roman"/>
          <w:sz w:val="20"/>
          <w:szCs w:val="20"/>
          <w:lang w:val="es-CR" w:eastAsia="es-CR"/>
        </w:rPr>
        <w:t>Presidenta</w:t>
      </w:r>
    </w:p>
    <w:p w14:paraId="10DE3F4B" w14:textId="77777777" w:rsidR="009805F2" w:rsidRPr="0087080D" w:rsidRDefault="009805F2" w:rsidP="009805F2">
      <w:pPr>
        <w:spacing w:after="0" w:line="240" w:lineRule="auto"/>
        <w:ind w:right="-138"/>
        <w:jc w:val="both"/>
        <w:rPr>
          <w:rFonts w:ascii="Verdana" w:eastAsia="Times New Roman" w:hAnsi="Verdana" w:cs="Times New Roman"/>
          <w:sz w:val="20"/>
          <w:szCs w:val="20"/>
          <w:lang w:val="es-AR" w:eastAsia="es-CR"/>
        </w:rPr>
      </w:pPr>
      <w:r w:rsidRPr="001E3405">
        <w:rPr>
          <w:rFonts w:ascii="Verdana" w:eastAsia="Batang" w:hAnsi="Verdana" w:cs="Times"/>
          <w:sz w:val="20"/>
          <w:szCs w:val="20"/>
          <w:lang w:val="es-CR" w:eastAsia="es-CR"/>
        </w:rPr>
        <w:t xml:space="preserve">L. Patricio Pazmiño Freire, </w:t>
      </w:r>
      <w:r>
        <w:rPr>
          <w:rFonts w:ascii="Verdana" w:eastAsia="Batang" w:hAnsi="Verdana" w:cs="Times"/>
          <w:sz w:val="20"/>
          <w:szCs w:val="20"/>
          <w:lang w:val="es-CR" w:eastAsia="es-CR"/>
        </w:rPr>
        <w:t>Vicepresidente</w:t>
      </w:r>
      <w:r w:rsidRPr="001E3405">
        <w:rPr>
          <w:rFonts w:ascii="Verdana" w:eastAsia="Times New Roman" w:hAnsi="Verdana" w:cs="Times New Roman"/>
          <w:sz w:val="20"/>
          <w:szCs w:val="20"/>
          <w:lang w:val="pt-BR" w:eastAsia="es-CR"/>
        </w:rPr>
        <w:t xml:space="preserve">; </w:t>
      </w:r>
    </w:p>
    <w:p w14:paraId="392ED2F9" w14:textId="77777777" w:rsidR="009805F2" w:rsidRPr="001E3405" w:rsidRDefault="009805F2" w:rsidP="009805F2">
      <w:pPr>
        <w:spacing w:after="0" w:line="240" w:lineRule="auto"/>
        <w:ind w:right="-138"/>
        <w:jc w:val="both"/>
        <w:rPr>
          <w:rFonts w:ascii="Verdana" w:eastAsia="Times New Roman" w:hAnsi="Verdana" w:cs="Times New Roman"/>
          <w:sz w:val="20"/>
          <w:szCs w:val="20"/>
          <w:lang w:val="es-CR" w:eastAsia="es-CR"/>
        </w:rPr>
      </w:pPr>
      <w:r w:rsidRPr="001E3405">
        <w:rPr>
          <w:rFonts w:ascii="Verdana" w:eastAsia="Times New Roman" w:hAnsi="Verdana" w:cs="Times New Roman"/>
          <w:sz w:val="20"/>
          <w:szCs w:val="20"/>
          <w:lang w:val="es-CR" w:eastAsia="es-CR"/>
        </w:rPr>
        <w:t>Ed</w:t>
      </w:r>
      <w:r>
        <w:rPr>
          <w:rFonts w:ascii="Verdana" w:eastAsia="Times New Roman" w:hAnsi="Verdana" w:cs="Times New Roman"/>
          <w:sz w:val="20"/>
          <w:szCs w:val="20"/>
          <w:lang w:val="es-CR" w:eastAsia="es-CR"/>
        </w:rPr>
        <w:t>uardo Vio Grossi, Juez</w:t>
      </w:r>
      <w:r w:rsidRPr="001E3405">
        <w:rPr>
          <w:rFonts w:ascii="Verdana" w:eastAsia="Times New Roman" w:hAnsi="Verdana" w:cs="Times New Roman"/>
          <w:sz w:val="20"/>
          <w:szCs w:val="20"/>
          <w:lang w:val="es-CR" w:eastAsia="es-CR"/>
        </w:rPr>
        <w:t xml:space="preserve">; </w:t>
      </w:r>
    </w:p>
    <w:p w14:paraId="5460732C" w14:textId="77777777" w:rsidR="009805F2" w:rsidRPr="001E3405" w:rsidRDefault="009805F2" w:rsidP="009805F2">
      <w:pPr>
        <w:tabs>
          <w:tab w:val="center" w:pos="4488"/>
        </w:tabs>
        <w:spacing w:after="0" w:line="240" w:lineRule="auto"/>
        <w:ind w:right="-138"/>
        <w:jc w:val="both"/>
        <w:rPr>
          <w:rFonts w:ascii="Verdana" w:eastAsia="Times New Roman" w:hAnsi="Verdana" w:cs="Times New Roman"/>
          <w:sz w:val="20"/>
          <w:szCs w:val="20"/>
          <w:lang w:val="es-CR" w:eastAsia="es-CR"/>
        </w:rPr>
      </w:pPr>
      <w:r w:rsidRPr="001E3405">
        <w:rPr>
          <w:rFonts w:ascii="Verdana" w:eastAsia="Times New Roman" w:hAnsi="Verdana" w:cs="Times New Roman"/>
          <w:sz w:val="20"/>
          <w:szCs w:val="20"/>
          <w:lang w:val="es-CR" w:eastAsia="es-CR"/>
        </w:rPr>
        <w:t>Humberto Antonio Sierra Porto, Juez;</w:t>
      </w:r>
      <w:r w:rsidRPr="001E3405">
        <w:rPr>
          <w:rFonts w:ascii="Verdana" w:eastAsia="Times New Roman" w:hAnsi="Verdana" w:cs="Times New Roman"/>
          <w:sz w:val="20"/>
          <w:szCs w:val="20"/>
          <w:lang w:val="es-CR" w:eastAsia="es-CR"/>
        </w:rPr>
        <w:tab/>
      </w:r>
    </w:p>
    <w:p w14:paraId="132F3B39" w14:textId="77777777" w:rsidR="009805F2" w:rsidRPr="00F85E05" w:rsidRDefault="009805F2" w:rsidP="009805F2">
      <w:pPr>
        <w:spacing w:after="0" w:line="240" w:lineRule="auto"/>
        <w:ind w:right="-138"/>
        <w:jc w:val="both"/>
        <w:rPr>
          <w:rFonts w:ascii="Verdana" w:eastAsia="Times New Roman" w:hAnsi="Verdana" w:cs="Times New Roman"/>
          <w:sz w:val="20"/>
          <w:szCs w:val="20"/>
          <w:lang w:val="es-CR" w:eastAsia="es-CR"/>
        </w:rPr>
      </w:pPr>
      <w:r w:rsidRPr="006C6738">
        <w:rPr>
          <w:rFonts w:ascii="Verdana" w:eastAsia="Times New Roman" w:hAnsi="Verdana" w:cs="Times New Roman"/>
          <w:sz w:val="20"/>
          <w:szCs w:val="20"/>
          <w:lang w:val="pt-BR" w:eastAsia="es-CR"/>
        </w:rPr>
        <w:t xml:space="preserve">Eduardo </w:t>
      </w:r>
      <w:r w:rsidRPr="001E3405">
        <w:rPr>
          <w:rFonts w:ascii="Verdana" w:eastAsia="Times New Roman" w:hAnsi="Verdana" w:cs="Times New Roman"/>
          <w:sz w:val="20"/>
          <w:szCs w:val="20"/>
          <w:lang w:val="pt-BR" w:eastAsia="es-CR"/>
        </w:rPr>
        <w:t xml:space="preserve">Ferrer Mac-Gregor Poisot, </w:t>
      </w:r>
      <w:r>
        <w:rPr>
          <w:rFonts w:ascii="Verdana" w:eastAsia="Times New Roman" w:hAnsi="Verdana" w:cs="Times New Roman"/>
          <w:sz w:val="20"/>
          <w:szCs w:val="20"/>
          <w:lang w:val="pt-BR" w:eastAsia="es-CR"/>
        </w:rPr>
        <w:t>Juez</w:t>
      </w:r>
      <w:r>
        <w:rPr>
          <w:rFonts w:ascii="Verdana" w:eastAsia="Times New Roman" w:hAnsi="Verdana" w:cs="Times New Roman"/>
          <w:sz w:val="20"/>
          <w:szCs w:val="20"/>
          <w:lang w:val="es-CR" w:eastAsia="es-CR"/>
        </w:rPr>
        <w:t xml:space="preserve">, </w:t>
      </w:r>
      <w:r w:rsidRPr="001E3405">
        <w:rPr>
          <w:rFonts w:ascii="Verdana" w:eastAsia="Batang" w:hAnsi="Verdana" w:cs="Times"/>
          <w:sz w:val="20"/>
          <w:szCs w:val="20"/>
          <w:lang w:val="es-CR" w:eastAsia="es-CR"/>
        </w:rPr>
        <w:t xml:space="preserve">y </w:t>
      </w:r>
    </w:p>
    <w:p w14:paraId="15FFC430" w14:textId="77777777" w:rsidR="009805F2" w:rsidRPr="00873FEC" w:rsidRDefault="009805F2" w:rsidP="009805F2">
      <w:pPr>
        <w:spacing w:after="0" w:line="240" w:lineRule="auto"/>
        <w:ind w:right="-138"/>
        <w:jc w:val="both"/>
        <w:rPr>
          <w:rFonts w:ascii="Verdana" w:eastAsia="Batang" w:hAnsi="Verdana" w:cs="Times"/>
          <w:sz w:val="20"/>
          <w:szCs w:val="20"/>
          <w:lang w:val="es-CR" w:eastAsia="es-CR"/>
        </w:rPr>
      </w:pPr>
      <w:r w:rsidRPr="001E3405">
        <w:rPr>
          <w:rFonts w:ascii="Verdana" w:eastAsia="Batang" w:hAnsi="Verdana" w:cs="Times"/>
          <w:sz w:val="20"/>
          <w:szCs w:val="20"/>
          <w:lang w:val="es-CR" w:eastAsia="es-CR"/>
        </w:rPr>
        <w:t>Ricardo Pérez Manrique</w:t>
      </w:r>
      <w:r w:rsidRPr="006C6738">
        <w:rPr>
          <w:rFonts w:ascii="Verdana" w:eastAsia="Batang" w:hAnsi="Verdana" w:cs="Times"/>
          <w:sz w:val="20"/>
          <w:szCs w:val="20"/>
          <w:lang w:val="es-CR" w:eastAsia="es-CR"/>
        </w:rPr>
        <w:t>, Juez</w:t>
      </w:r>
      <w:r w:rsidRPr="00873FEC">
        <w:rPr>
          <w:rFonts w:ascii="Verdana" w:eastAsia="Batang" w:hAnsi="Verdana" w:cs="Times"/>
          <w:sz w:val="20"/>
          <w:szCs w:val="20"/>
          <w:lang w:val="es-CR" w:eastAsia="es-CR"/>
        </w:rPr>
        <w:t xml:space="preserve"> </w:t>
      </w:r>
    </w:p>
    <w:p w14:paraId="10162E0C" w14:textId="77777777" w:rsidR="009805F2" w:rsidRPr="00873FEC" w:rsidRDefault="009805F2" w:rsidP="009805F2">
      <w:pPr>
        <w:spacing w:after="0" w:line="240" w:lineRule="auto"/>
        <w:ind w:right="-138"/>
        <w:jc w:val="both"/>
        <w:rPr>
          <w:rFonts w:ascii="Verdana" w:eastAsia="Batang" w:hAnsi="Verdana" w:cs="Times"/>
          <w:sz w:val="20"/>
          <w:szCs w:val="20"/>
          <w:lang w:val="es-CR" w:eastAsia="es-CR"/>
        </w:rPr>
      </w:pPr>
    </w:p>
    <w:p w14:paraId="3DF13636" w14:textId="77777777" w:rsidR="009805F2" w:rsidRPr="00873FEC" w:rsidRDefault="009805F2" w:rsidP="009805F2">
      <w:pPr>
        <w:spacing w:after="0" w:line="240" w:lineRule="auto"/>
        <w:ind w:right="-138"/>
        <w:jc w:val="both"/>
        <w:rPr>
          <w:rFonts w:ascii="Verdana" w:eastAsia="Batang" w:hAnsi="Verdana" w:cs="Times"/>
          <w:sz w:val="20"/>
          <w:szCs w:val="20"/>
          <w:lang w:val="es-CR" w:eastAsia="es-CR"/>
        </w:rPr>
      </w:pPr>
      <w:r w:rsidRPr="00873FEC">
        <w:rPr>
          <w:rFonts w:ascii="Verdana" w:eastAsia="Batang" w:hAnsi="Verdana" w:cs="Times"/>
          <w:sz w:val="20"/>
          <w:szCs w:val="20"/>
          <w:lang w:val="es-CR" w:eastAsia="es-CR"/>
        </w:rPr>
        <w:t>presente, además,</w:t>
      </w:r>
    </w:p>
    <w:p w14:paraId="69B983C4" w14:textId="77777777" w:rsidR="009805F2" w:rsidRPr="00873FEC" w:rsidRDefault="009805F2" w:rsidP="009805F2">
      <w:pPr>
        <w:spacing w:after="0" w:line="240" w:lineRule="auto"/>
        <w:ind w:right="-138"/>
        <w:jc w:val="both"/>
        <w:rPr>
          <w:rFonts w:ascii="Verdana" w:eastAsia="Batang" w:hAnsi="Verdana" w:cs="Times"/>
          <w:sz w:val="20"/>
          <w:szCs w:val="20"/>
          <w:lang w:val="es-CR" w:eastAsia="es-CR"/>
        </w:rPr>
      </w:pPr>
    </w:p>
    <w:p w14:paraId="0D00E15B" w14:textId="77777777" w:rsidR="009805F2" w:rsidRPr="00873FEC" w:rsidRDefault="009805F2" w:rsidP="009805F2">
      <w:pPr>
        <w:spacing w:after="0" w:line="240" w:lineRule="auto"/>
        <w:jc w:val="both"/>
        <w:rPr>
          <w:rFonts w:ascii="Verdana" w:eastAsia="Batang" w:hAnsi="Verdana" w:cs="Times"/>
          <w:sz w:val="20"/>
          <w:szCs w:val="20"/>
          <w:lang w:val="es-CR" w:eastAsia="es-CR"/>
        </w:rPr>
      </w:pPr>
      <w:r w:rsidRPr="00873FEC">
        <w:rPr>
          <w:rFonts w:ascii="Verdana" w:eastAsia="Batang" w:hAnsi="Verdana" w:cs="Times"/>
          <w:sz w:val="20"/>
          <w:szCs w:val="20"/>
          <w:lang w:val="es-CR" w:eastAsia="es-CR"/>
        </w:rPr>
        <w:t xml:space="preserve">Pablo Saavedra Alessandri, Secretario, </w:t>
      </w:r>
    </w:p>
    <w:p w14:paraId="75D209CA" w14:textId="77777777" w:rsidR="009805F2" w:rsidRPr="00873FEC" w:rsidRDefault="009805F2" w:rsidP="009805F2">
      <w:pPr>
        <w:spacing w:after="0" w:line="240" w:lineRule="auto"/>
        <w:ind w:right="-138"/>
        <w:jc w:val="both"/>
        <w:rPr>
          <w:rFonts w:ascii="Verdana" w:eastAsia="Batang" w:hAnsi="Verdana" w:cs="Times"/>
          <w:sz w:val="20"/>
          <w:szCs w:val="20"/>
          <w:lang w:val="es-CR" w:eastAsia="es-CR"/>
        </w:rPr>
      </w:pPr>
    </w:p>
    <w:p w14:paraId="15CE9142" w14:textId="357D655E" w:rsidR="009805F2" w:rsidRPr="00873FEC" w:rsidRDefault="009805F2" w:rsidP="009805F2">
      <w:pPr>
        <w:spacing w:after="0" w:line="240" w:lineRule="auto"/>
        <w:jc w:val="both"/>
        <w:rPr>
          <w:rFonts w:ascii="Verdana" w:eastAsia="Batang" w:hAnsi="Verdana" w:cs="Times"/>
          <w:sz w:val="20"/>
          <w:szCs w:val="20"/>
          <w:lang w:val="es-CR" w:eastAsia="es-CR"/>
        </w:rPr>
      </w:pPr>
      <w:r w:rsidRPr="00873FEC">
        <w:rPr>
          <w:rFonts w:ascii="Verdana" w:eastAsia="Batang" w:hAnsi="Verdana" w:cs="Times"/>
          <w:sz w:val="20"/>
          <w:szCs w:val="20"/>
          <w:lang w:val="es-CR" w:eastAsia="es-CR"/>
        </w:rPr>
        <w:t>de conformidad con los artículos 62.3 y 63.1 de la Convención Americana sobre Derechos Humanos (en adelante también “Convención Americana” o “Convención”) y con los artículos 31, 32,</w:t>
      </w:r>
      <w:r>
        <w:rPr>
          <w:rFonts w:ascii="Verdana" w:eastAsia="Batang" w:hAnsi="Verdana" w:cs="Times"/>
          <w:sz w:val="20"/>
          <w:szCs w:val="20"/>
          <w:lang w:val="es-CR" w:eastAsia="es-CR"/>
        </w:rPr>
        <w:t xml:space="preserve"> </w:t>
      </w:r>
      <w:r w:rsidRPr="00873FEC">
        <w:rPr>
          <w:rFonts w:ascii="Verdana" w:eastAsia="Batang" w:hAnsi="Verdana" w:cs="Times"/>
          <w:sz w:val="20"/>
          <w:szCs w:val="20"/>
          <w:lang w:val="es-CR" w:eastAsia="es-CR"/>
        </w:rPr>
        <w:t>65 y 67 del Reglamento de la Corte (en adelante</w:t>
      </w:r>
      <w:r w:rsidR="00B47EB8">
        <w:rPr>
          <w:rFonts w:ascii="Verdana" w:eastAsia="Batang" w:hAnsi="Verdana" w:cs="Times"/>
          <w:sz w:val="20"/>
          <w:szCs w:val="20"/>
          <w:lang w:val="es-CR" w:eastAsia="es-CR"/>
        </w:rPr>
        <w:t xml:space="preserve"> también</w:t>
      </w:r>
      <w:r w:rsidRPr="00873FEC">
        <w:rPr>
          <w:rFonts w:ascii="Verdana" w:eastAsia="Batang" w:hAnsi="Verdana" w:cs="Times"/>
          <w:sz w:val="20"/>
          <w:szCs w:val="20"/>
          <w:lang w:val="es-CR" w:eastAsia="es-CR"/>
        </w:rPr>
        <w:t xml:space="preserve"> “el Reglamento”), dicta la presente Sentencia que se estructura en el siguiente orden:</w:t>
      </w:r>
    </w:p>
    <w:p w14:paraId="30A742A8" w14:textId="77777777" w:rsidR="009805F2" w:rsidRPr="00873FEC" w:rsidRDefault="009805F2" w:rsidP="009805F2">
      <w:pPr>
        <w:spacing w:after="0" w:line="240" w:lineRule="auto"/>
        <w:rPr>
          <w:lang w:val="es-CR"/>
        </w:rPr>
      </w:pPr>
    </w:p>
    <w:p w14:paraId="1BB4EAEB" w14:textId="77777777" w:rsidR="009805F2" w:rsidRPr="009805F2" w:rsidRDefault="009805F2" w:rsidP="009805F2">
      <w:pPr>
        <w:spacing w:after="0" w:line="216" w:lineRule="auto"/>
        <w:jc w:val="center"/>
        <w:rPr>
          <w:rFonts w:ascii="Verdana" w:hAnsi="Verdana"/>
          <w:b/>
          <w:sz w:val="18"/>
          <w:szCs w:val="18"/>
          <w:lang w:val="es-CR"/>
        </w:rPr>
      </w:pPr>
      <w:r w:rsidRPr="00AC0466">
        <w:rPr>
          <w:rFonts w:ascii="Verdana" w:hAnsi="Verdana"/>
          <w:sz w:val="18"/>
          <w:szCs w:val="18"/>
          <w:lang w:val="es-CR"/>
        </w:rPr>
        <w:br w:type="page"/>
      </w:r>
    </w:p>
    <w:p w14:paraId="06A50294" w14:textId="77777777" w:rsidR="009805F2" w:rsidRPr="009A39E2" w:rsidRDefault="009805F2" w:rsidP="009805F2">
      <w:pPr>
        <w:spacing w:after="0" w:line="216" w:lineRule="auto"/>
        <w:jc w:val="center"/>
        <w:rPr>
          <w:rFonts w:ascii="Verdana" w:hAnsi="Verdana"/>
          <w:b/>
          <w:sz w:val="20"/>
          <w:szCs w:val="20"/>
          <w:lang w:val="es-CR"/>
        </w:rPr>
      </w:pPr>
      <w:r w:rsidRPr="009A39E2">
        <w:rPr>
          <w:rFonts w:ascii="Verdana" w:hAnsi="Verdana"/>
          <w:b/>
          <w:sz w:val="20"/>
          <w:szCs w:val="20"/>
          <w:lang w:val="es-CR"/>
        </w:rPr>
        <w:lastRenderedPageBreak/>
        <w:t>TABLA DE CONTENIDO</w:t>
      </w:r>
    </w:p>
    <w:p w14:paraId="0360AD01" w14:textId="77777777" w:rsidR="009805F2" w:rsidRDefault="009805F2" w:rsidP="009805F2">
      <w:pPr>
        <w:spacing w:after="0" w:line="216" w:lineRule="auto"/>
        <w:jc w:val="center"/>
        <w:rPr>
          <w:rFonts w:ascii="Verdana" w:hAnsi="Verdana"/>
          <w:b/>
          <w:sz w:val="18"/>
          <w:szCs w:val="18"/>
          <w:lang w:val="es-CR"/>
        </w:rPr>
      </w:pPr>
    </w:p>
    <w:p w14:paraId="2ED9AC8C" w14:textId="4091E5DE" w:rsidR="009A39E2" w:rsidRPr="00BC57A2" w:rsidRDefault="009805F2" w:rsidP="00D1698B">
      <w:pPr>
        <w:pStyle w:val="TDC1"/>
        <w:rPr>
          <w:rStyle w:val="Hipervnculo"/>
          <w:rFonts w:ascii="Verdana" w:hAnsi="Verdana"/>
          <w:noProof/>
          <w:color w:val="auto"/>
          <w:sz w:val="18"/>
          <w:szCs w:val="18"/>
        </w:rPr>
      </w:pPr>
      <w:r w:rsidRPr="00BC57A2">
        <w:rPr>
          <w:lang w:val="es-CR"/>
        </w:rPr>
        <w:fldChar w:fldCharType="begin"/>
      </w:r>
      <w:r w:rsidRPr="00BC57A2">
        <w:rPr>
          <w:lang w:val="es-CR"/>
        </w:rPr>
        <w:instrText xml:space="preserve"> TOC \o \h \z \u </w:instrText>
      </w:r>
      <w:r w:rsidRPr="00BC57A2">
        <w:rPr>
          <w:lang w:val="es-CR"/>
        </w:rPr>
        <w:fldChar w:fldCharType="separate"/>
      </w:r>
      <w:hyperlink w:anchor="_Toc34337507" w:history="1">
        <w:r w:rsidR="009A39E2" w:rsidRPr="00BC57A2">
          <w:rPr>
            <w:rStyle w:val="Hipervnculo"/>
            <w:rFonts w:ascii="Verdana" w:eastAsia="Batang" w:hAnsi="Verdana" w:cs="Times"/>
            <w:noProof/>
            <w:color w:val="auto"/>
            <w:sz w:val="18"/>
            <w:szCs w:val="18"/>
            <w:lang w:val="es-CR" w:eastAsia="es-CR"/>
          </w:rPr>
          <w:t>I.</w:t>
        </w:r>
        <w:r w:rsidR="009A39E2" w:rsidRPr="00BC57A2">
          <w:rPr>
            <w:noProof/>
            <w:webHidden/>
          </w:rPr>
          <w:t xml:space="preserve"> </w:t>
        </w:r>
      </w:hyperlink>
      <w:hyperlink w:anchor="_Toc34337508" w:history="1">
        <w:r w:rsidR="009A39E2" w:rsidRPr="00BC57A2">
          <w:rPr>
            <w:rStyle w:val="Hipervnculo"/>
            <w:rFonts w:ascii="Verdana" w:eastAsia="Batang" w:hAnsi="Verdana" w:cs="Times"/>
            <w:noProof/>
            <w:color w:val="auto"/>
            <w:sz w:val="18"/>
            <w:szCs w:val="18"/>
            <w:lang w:val="es-CR" w:eastAsia="es-CR"/>
          </w:rPr>
          <w:t>INTRODUCCIÓN DE LA CAUSA Y OBJETO DE LA CONTROVERSIA</w:t>
        </w:r>
        <w:r w:rsidR="009A39E2" w:rsidRPr="00BC57A2">
          <w:rPr>
            <w:noProof/>
            <w:webHidden/>
          </w:rPr>
          <w:tab/>
        </w:r>
        <w:r w:rsidR="009A39E2" w:rsidRPr="00BC57A2">
          <w:rPr>
            <w:noProof/>
            <w:webHidden/>
          </w:rPr>
          <w:fldChar w:fldCharType="begin"/>
        </w:r>
        <w:r w:rsidR="009A39E2" w:rsidRPr="00BC57A2">
          <w:rPr>
            <w:noProof/>
            <w:webHidden/>
          </w:rPr>
          <w:instrText xml:space="preserve"> PAGEREF _Toc34337508 \h </w:instrText>
        </w:r>
        <w:r w:rsidR="009A39E2" w:rsidRPr="00BC57A2">
          <w:rPr>
            <w:noProof/>
            <w:webHidden/>
          </w:rPr>
        </w:r>
        <w:r w:rsidR="009A39E2" w:rsidRPr="00BC57A2">
          <w:rPr>
            <w:noProof/>
            <w:webHidden/>
          </w:rPr>
          <w:fldChar w:fldCharType="separate"/>
        </w:r>
        <w:r w:rsidR="00F5089C">
          <w:rPr>
            <w:noProof/>
            <w:webHidden/>
          </w:rPr>
          <w:t>5</w:t>
        </w:r>
        <w:r w:rsidR="009A39E2" w:rsidRPr="00BC57A2">
          <w:rPr>
            <w:noProof/>
            <w:webHidden/>
          </w:rPr>
          <w:fldChar w:fldCharType="end"/>
        </w:r>
      </w:hyperlink>
    </w:p>
    <w:p w14:paraId="6FBD3EA3" w14:textId="77777777" w:rsidR="009A39E2" w:rsidRPr="00BC57A2" w:rsidRDefault="009A39E2" w:rsidP="009A39E2">
      <w:pPr>
        <w:spacing w:after="0"/>
        <w:rPr>
          <w:noProof/>
        </w:rPr>
      </w:pPr>
    </w:p>
    <w:p w14:paraId="4A18F3DE" w14:textId="61A94CE0" w:rsidR="009A39E2" w:rsidRPr="00BC57A2" w:rsidRDefault="007C0830" w:rsidP="00D1698B">
      <w:pPr>
        <w:pStyle w:val="TDC1"/>
        <w:rPr>
          <w:rFonts w:eastAsiaTheme="minorEastAsia"/>
          <w:noProof/>
          <w:lang w:val="es-CR" w:eastAsia="es-CR"/>
        </w:rPr>
      </w:pPr>
      <w:hyperlink w:anchor="_Toc34337509" w:history="1">
        <w:r w:rsidR="009A39E2" w:rsidRPr="00BC57A2">
          <w:rPr>
            <w:rStyle w:val="Hipervnculo"/>
            <w:rFonts w:ascii="Verdana" w:eastAsia="Times New Roman" w:hAnsi="Verdana" w:cs="Verdana"/>
            <w:noProof/>
            <w:color w:val="auto"/>
            <w:sz w:val="18"/>
            <w:szCs w:val="18"/>
            <w:lang w:eastAsia="es-CR"/>
          </w:rPr>
          <w:t>II. PROCEDIMIENTO ANTE LA CORTE</w:t>
        </w:r>
        <w:r w:rsidR="009A39E2" w:rsidRPr="00BC57A2">
          <w:rPr>
            <w:noProof/>
            <w:webHidden/>
          </w:rPr>
          <w:tab/>
        </w:r>
        <w:r w:rsidR="009A39E2" w:rsidRPr="00BC57A2">
          <w:rPr>
            <w:noProof/>
            <w:webHidden/>
          </w:rPr>
          <w:fldChar w:fldCharType="begin"/>
        </w:r>
        <w:r w:rsidR="009A39E2" w:rsidRPr="00BC57A2">
          <w:rPr>
            <w:noProof/>
            <w:webHidden/>
          </w:rPr>
          <w:instrText xml:space="preserve"> PAGEREF _Toc34337509 \h </w:instrText>
        </w:r>
        <w:r w:rsidR="009A39E2" w:rsidRPr="00BC57A2">
          <w:rPr>
            <w:noProof/>
            <w:webHidden/>
          </w:rPr>
        </w:r>
        <w:r w:rsidR="009A39E2" w:rsidRPr="00BC57A2">
          <w:rPr>
            <w:noProof/>
            <w:webHidden/>
          </w:rPr>
          <w:fldChar w:fldCharType="separate"/>
        </w:r>
        <w:r w:rsidR="00F5089C">
          <w:rPr>
            <w:noProof/>
            <w:webHidden/>
          </w:rPr>
          <w:t>7</w:t>
        </w:r>
        <w:r w:rsidR="009A39E2" w:rsidRPr="00BC57A2">
          <w:rPr>
            <w:noProof/>
            <w:webHidden/>
          </w:rPr>
          <w:fldChar w:fldCharType="end"/>
        </w:r>
      </w:hyperlink>
    </w:p>
    <w:p w14:paraId="3A5060D8" w14:textId="77777777" w:rsidR="009A39E2" w:rsidRPr="00BC57A2" w:rsidRDefault="009A39E2" w:rsidP="00D1698B">
      <w:pPr>
        <w:pStyle w:val="TDC1"/>
        <w:rPr>
          <w:rStyle w:val="Hipervnculo"/>
          <w:rFonts w:ascii="Verdana" w:hAnsi="Verdana"/>
          <w:noProof/>
          <w:color w:val="auto"/>
          <w:sz w:val="18"/>
          <w:szCs w:val="18"/>
        </w:rPr>
      </w:pPr>
    </w:p>
    <w:p w14:paraId="38A0061A" w14:textId="3F77A829" w:rsidR="009A39E2" w:rsidRPr="00BC57A2" w:rsidRDefault="007C0830" w:rsidP="00D1698B">
      <w:pPr>
        <w:pStyle w:val="TDC1"/>
        <w:rPr>
          <w:rFonts w:ascii="Verdana" w:eastAsiaTheme="minorEastAsia" w:hAnsi="Verdana"/>
          <w:noProof/>
          <w:sz w:val="18"/>
          <w:szCs w:val="18"/>
          <w:lang w:val="es-CR" w:eastAsia="es-CR"/>
        </w:rPr>
      </w:pPr>
      <w:hyperlink w:anchor="_Toc34337510" w:history="1">
        <w:r w:rsidR="009A39E2" w:rsidRPr="00BC57A2">
          <w:rPr>
            <w:rStyle w:val="Hipervnculo"/>
            <w:rFonts w:ascii="Verdana" w:eastAsia="Calibri" w:hAnsi="Verdana" w:cs="Verdana"/>
            <w:noProof/>
            <w:color w:val="auto"/>
            <w:spacing w:val="-5"/>
            <w:sz w:val="18"/>
            <w:szCs w:val="18"/>
            <w:lang w:val="es-CR" w:eastAsia="es-CR"/>
          </w:rPr>
          <w:t>III</w:t>
        </w:r>
      </w:hyperlink>
      <w:r w:rsidR="008A416C" w:rsidRPr="008A416C">
        <w:rPr>
          <w:rStyle w:val="Hipervnculo"/>
          <w:rFonts w:ascii="Verdana" w:eastAsia="Calibri" w:hAnsi="Verdana" w:cs="Verdana"/>
          <w:noProof/>
          <w:color w:val="auto"/>
          <w:spacing w:val="-5"/>
          <w:sz w:val="18"/>
          <w:szCs w:val="18"/>
          <w:u w:val="none"/>
          <w:lang w:val="es-CR" w:eastAsia="es-CR"/>
        </w:rPr>
        <w:t>.</w:t>
      </w:r>
      <w:r w:rsidR="009A39E2" w:rsidRPr="00B47EB8">
        <w:rPr>
          <w:rStyle w:val="Hipervnculo"/>
          <w:rFonts w:ascii="Verdana" w:hAnsi="Verdana"/>
          <w:noProof/>
          <w:color w:val="auto"/>
          <w:sz w:val="18"/>
          <w:szCs w:val="18"/>
          <w:u w:val="none"/>
        </w:rPr>
        <w:t xml:space="preserve"> </w:t>
      </w:r>
      <w:hyperlink w:anchor="_Toc34337511" w:history="1">
        <w:r w:rsidR="009A39E2" w:rsidRPr="00BC57A2">
          <w:rPr>
            <w:rStyle w:val="Hipervnculo"/>
            <w:rFonts w:ascii="Verdana" w:eastAsia="Times New Roman" w:hAnsi="Verdana" w:cs="Verdana"/>
            <w:noProof/>
            <w:color w:val="auto"/>
            <w:spacing w:val="-5"/>
            <w:sz w:val="18"/>
            <w:szCs w:val="18"/>
            <w:lang w:val="es-CR" w:eastAsia="es-CR"/>
          </w:rPr>
          <w:t>COMPETENCIA</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_Toc34337511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10</w:t>
        </w:r>
        <w:r w:rsidR="009A39E2" w:rsidRPr="00BC57A2">
          <w:rPr>
            <w:rFonts w:ascii="Verdana" w:hAnsi="Verdana"/>
            <w:noProof/>
            <w:webHidden/>
            <w:sz w:val="18"/>
            <w:szCs w:val="18"/>
          </w:rPr>
          <w:fldChar w:fldCharType="end"/>
        </w:r>
      </w:hyperlink>
    </w:p>
    <w:p w14:paraId="6E16DFCB" w14:textId="77777777" w:rsidR="009A39E2" w:rsidRPr="00BC57A2" w:rsidRDefault="009A39E2" w:rsidP="00D1698B">
      <w:pPr>
        <w:pStyle w:val="TDC1"/>
        <w:rPr>
          <w:rStyle w:val="Hipervnculo"/>
          <w:rFonts w:ascii="Verdana" w:hAnsi="Verdana"/>
          <w:noProof/>
          <w:color w:val="auto"/>
          <w:sz w:val="18"/>
          <w:szCs w:val="18"/>
        </w:rPr>
      </w:pPr>
    </w:p>
    <w:p w14:paraId="7E947277" w14:textId="449924AC" w:rsidR="009A39E2" w:rsidRPr="00BC57A2" w:rsidRDefault="007C0830" w:rsidP="00D1698B">
      <w:pPr>
        <w:pStyle w:val="TDC1"/>
        <w:rPr>
          <w:rFonts w:ascii="Verdana" w:eastAsiaTheme="minorEastAsia" w:hAnsi="Verdana"/>
          <w:noProof/>
          <w:sz w:val="18"/>
          <w:szCs w:val="18"/>
          <w:lang w:val="es-CR" w:eastAsia="es-CR"/>
        </w:rPr>
      </w:pPr>
      <w:hyperlink w:anchor="_Toc34337512" w:history="1">
        <w:r w:rsidR="009A39E2" w:rsidRPr="00BC57A2">
          <w:rPr>
            <w:rStyle w:val="Hipervnculo"/>
            <w:rFonts w:ascii="Verdana" w:hAnsi="Verdana"/>
            <w:noProof/>
            <w:color w:val="auto"/>
            <w:sz w:val="18"/>
            <w:szCs w:val="18"/>
            <w:lang w:val="es-CR"/>
          </w:rPr>
          <w:t>IV</w:t>
        </w:r>
      </w:hyperlink>
      <w:r w:rsidR="008A416C" w:rsidRPr="008A416C">
        <w:rPr>
          <w:rStyle w:val="Hipervnculo"/>
          <w:rFonts w:ascii="Verdana" w:hAnsi="Verdana"/>
          <w:noProof/>
          <w:color w:val="auto"/>
          <w:sz w:val="18"/>
          <w:szCs w:val="18"/>
          <w:u w:val="none"/>
          <w:lang w:val="es-CR"/>
        </w:rPr>
        <w:t>.</w:t>
      </w:r>
      <w:r w:rsidR="009A39E2" w:rsidRPr="00B47EB8">
        <w:rPr>
          <w:rStyle w:val="Hipervnculo"/>
          <w:rFonts w:ascii="Verdana" w:hAnsi="Verdana"/>
          <w:noProof/>
          <w:color w:val="auto"/>
          <w:sz w:val="18"/>
          <w:szCs w:val="18"/>
          <w:u w:val="none"/>
        </w:rPr>
        <w:t xml:space="preserve"> </w:t>
      </w:r>
      <w:hyperlink w:anchor="_Toc34337513" w:history="1">
        <w:r w:rsidR="009A39E2" w:rsidRPr="00BC57A2">
          <w:rPr>
            <w:rStyle w:val="Hipervnculo"/>
            <w:rFonts w:ascii="Verdana" w:hAnsi="Verdana"/>
            <w:noProof/>
            <w:color w:val="auto"/>
            <w:sz w:val="18"/>
            <w:szCs w:val="18"/>
            <w:lang w:val="es-CR"/>
          </w:rPr>
          <w:t>CONSIDERACIONES PREVIAS</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_Toc34337513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10</w:t>
        </w:r>
        <w:r w:rsidR="009A39E2" w:rsidRPr="00BC57A2">
          <w:rPr>
            <w:rFonts w:ascii="Verdana" w:hAnsi="Verdana"/>
            <w:noProof/>
            <w:webHidden/>
            <w:sz w:val="18"/>
            <w:szCs w:val="18"/>
          </w:rPr>
          <w:fldChar w:fldCharType="end"/>
        </w:r>
      </w:hyperlink>
    </w:p>
    <w:p w14:paraId="1FF84C06" w14:textId="78DE4669" w:rsidR="009A39E2" w:rsidRPr="00BC57A2" w:rsidRDefault="007C0830" w:rsidP="009A39E2">
      <w:pPr>
        <w:pStyle w:val="TDC2"/>
        <w:rPr>
          <w:rFonts w:ascii="Verdana" w:eastAsiaTheme="minorEastAsia" w:hAnsi="Verdana"/>
          <w:b w:val="0"/>
          <w:bCs w:val="0"/>
          <w:noProof/>
          <w:sz w:val="18"/>
          <w:szCs w:val="18"/>
          <w:lang w:val="es-CR" w:eastAsia="es-CR"/>
        </w:rPr>
      </w:pPr>
      <w:hyperlink w:anchor="_Toc34337514" w:history="1">
        <w:r w:rsidR="009A39E2" w:rsidRPr="00BC57A2">
          <w:rPr>
            <w:rStyle w:val="Hipervnculo"/>
            <w:rFonts w:ascii="Verdana" w:hAnsi="Verdana"/>
            <w:i/>
            <w:noProof/>
            <w:color w:val="auto"/>
            <w:sz w:val="18"/>
            <w:szCs w:val="18"/>
            <w:lang w:val="es-CR"/>
          </w:rPr>
          <w:t>A) Sobre los hechos posteriores al 26 de enero de 2012</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_Toc34337514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10</w:t>
        </w:r>
        <w:r w:rsidR="009A39E2" w:rsidRPr="00BC57A2">
          <w:rPr>
            <w:rFonts w:ascii="Verdana" w:hAnsi="Verdana"/>
            <w:noProof/>
            <w:webHidden/>
            <w:sz w:val="18"/>
            <w:szCs w:val="18"/>
          </w:rPr>
          <w:fldChar w:fldCharType="end"/>
        </w:r>
      </w:hyperlink>
    </w:p>
    <w:p w14:paraId="13894159" w14:textId="72FBA632" w:rsidR="009A39E2" w:rsidRPr="00BC57A2" w:rsidRDefault="007C0830" w:rsidP="009A39E2">
      <w:pPr>
        <w:pStyle w:val="TDC3"/>
        <w:tabs>
          <w:tab w:val="right" w:leader="dot" w:pos="8828"/>
        </w:tabs>
        <w:jc w:val="both"/>
        <w:rPr>
          <w:rFonts w:ascii="Verdana" w:eastAsiaTheme="minorEastAsia" w:hAnsi="Verdana"/>
          <w:noProof/>
          <w:sz w:val="18"/>
          <w:szCs w:val="18"/>
          <w:lang w:val="es-CR" w:eastAsia="es-CR"/>
        </w:rPr>
      </w:pPr>
      <w:hyperlink w:anchor="_Toc34337515" w:history="1">
        <w:r w:rsidR="009A39E2" w:rsidRPr="00BC57A2">
          <w:rPr>
            <w:rStyle w:val="Hipervnculo"/>
            <w:rFonts w:ascii="Verdana" w:hAnsi="Verdana"/>
            <w:b/>
            <w:i/>
            <w:noProof/>
            <w:color w:val="auto"/>
            <w:sz w:val="18"/>
            <w:szCs w:val="18"/>
          </w:rPr>
          <w:t>A.1 Alegatos de las partes y la Comisión</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_Toc34337515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10</w:t>
        </w:r>
        <w:r w:rsidR="009A39E2" w:rsidRPr="00BC57A2">
          <w:rPr>
            <w:rFonts w:ascii="Verdana" w:hAnsi="Verdana"/>
            <w:noProof/>
            <w:webHidden/>
            <w:sz w:val="18"/>
            <w:szCs w:val="18"/>
          </w:rPr>
          <w:fldChar w:fldCharType="end"/>
        </w:r>
      </w:hyperlink>
    </w:p>
    <w:p w14:paraId="139CAB88" w14:textId="67167E63" w:rsidR="009A39E2" w:rsidRPr="00BC57A2" w:rsidRDefault="007C0830" w:rsidP="009A39E2">
      <w:pPr>
        <w:pStyle w:val="TDC3"/>
        <w:tabs>
          <w:tab w:val="right" w:leader="dot" w:pos="8828"/>
        </w:tabs>
        <w:jc w:val="both"/>
        <w:rPr>
          <w:rFonts w:ascii="Verdana" w:eastAsiaTheme="minorEastAsia" w:hAnsi="Verdana"/>
          <w:noProof/>
          <w:sz w:val="18"/>
          <w:szCs w:val="18"/>
          <w:lang w:val="es-CR" w:eastAsia="es-CR"/>
        </w:rPr>
      </w:pPr>
      <w:hyperlink w:anchor="_Toc34337516" w:history="1">
        <w:r w:rsidR="009A39E2" w:rsidRPr="00BC57A2">
          <w:rPr>
            <w:rStyle w:val="Hipervnculo"/>
            <w:rFonts w:ascii="Verdana" w:hAnsi="Verdana"/>
            <w:b/>
            <w:i/>
            <w:noProof/>
            <w:color w:val="auto"/>
            <w:sz w:val="18"/>
            <w:szCs w:val="18"/>
          </w:rPr>
          <w:t>A.2 Consideraciones de la Corte</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_Toc34337516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11</w:t>
        </w:r>
        <w:r w:rsidR="009A39E2" w:rsidRPr="00BC57A2">
          <w:rPr>
            <w:rFonts w:ascii="Verdana" w:hAnsi="Verdana"/>
            <w:noProof/>
            <w:webHidden/>
            <w:sz w:val="18"/>
            <w:szCs w:val="18"/>
          </w:rPr>
          <w:fldChar w:fldCharType="end"/>
        </w:r>
      </w:hyperlink>
    </w:p>
    <w:p w14:paraId="7C6D3CB8" w14:textId="22AE9A4A" w:rsidR="009A39E2" w:rsidRPr="00BC57A2" w:rsidRDefault="007C0830" w:rsidP="009A39E2">
      <w:pPr>
        <w:pStyle w:val="TDC2"/>
        <w:rPr>
          <w:rFonts w:ascii="Verdana" w:eastAsiaTheme="minorEastAsia" w:hAnsi="Verdana"/>
          <w:b w:val="0"/>
          <w:bCs w:val="0"/>
          <w:noProof/>
          <w:sz w:val="18"/>
          <w:szCs w:val="18"/>
          <w:lang w:val="es-CR" w:eastAsia="es-CR"/>
        </w:rPr>
      </w:pPr>
      <w:hyperlink w:anchor="_Toc34337517" w:history="1">
        <w:r w:rsidR="009A39E2" w:rsidRPr="00BC57A2">
          <w:rPr>
            <w:rStyle w:val="Hipervnculo"/>
            <w:rFonts w:ascii="Verdana" w:hAnsi="Verdana"/>
            <w:i/>
            <w:noProof/>
            <w:color w:val="auto"/>
            <w:sz w:val="18"/>
            <w:szCs w:val="18"/>
            <w:lang w:val="es-CR"/>
          </w:rPr>
          <w:t>B) Sobre la determinación de las presuntas víctimas</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_Toc34337517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12</w:t>
        </w:r>
        <w:r w:rsidR="009A39E2" w:rsidRPr="00BC57A2">
          <w:rPr>
            <w:rFonts w:ascii="Verdana" w:hAnsi="Verdana"/>
            <w:noProof/>
            <w:webHidden/>
            <w:sz w:val="18"/>
            <w:szCs w:val="18"/>
          </w:rPr>
          <w:fldChar w:fldCharType="end"/>
        </w:r>
      </w:hyperlink>
    </w:p>
    <w:p w14:paraId="05BF6784" w14:textId="04333F35" w:rsidR="009A39E2" w:rsidRPr="00BC57A2" w:rsidRDefault="007C0830" w:rsidP="009A39E2">
      <w:pPr>
        <w:pStyle w:val="TDC3"/>
        <w:tabs>
          <w:tab w:val="right" w:leader="dot" w:pos="8828"/>
        </w:tabs>
        <w:jc w:val="both"/>
        <w:rPr>
          <w:rFonts w:ascii="Verdana" w:eastAsiaTheme="minorEastAsia" w:hAnsi="Verdana"/>
          <w:noProof/>
          <w:sz w:val="18"/>
          <w:szCs w:val="18"/>
          <w:lang w:val="es-CR" w:eastAsia="es-CR"/>
        </w:rPr>
      </w:pPr>
      <w:hyperlink w:anchor="_Toc34337518" w:history="1">
        <w:r w:rsidR="009A39E2" w:rsidRPr="00BC57A2">
          <w:rPr>
            <w:rStyle w:val="Hipervnculo"/>
            <w:rFonts w:ascii="Verdana" w:hAnsi="Verdana"/>
            <w:b/>
            <w:i/>
            <w:noProof/>
            <w:color w:val="auto"/>
            <w:sz w:val="18"/>
            <w:szCs w:val="18"/>
          </w:rPr>
          <w:t>B.1 Alegatos de las partes y la Comisión</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_Toc34337518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12</w:t>
        </w:r>
        <w:r w:rsidR="009A39E2" w:rsidRPr="00BC57A2">
          <w:rPr>
            <w:rFonts w:ascii="Verdana" w:hAnsi="Verdana"/>
            <w:noProof/>
            <w:webHidden/>
            <w:sz w:val="18"/>
            <w:szCs w:val="18"/>
          </w:rPr>
          <w:fldChar w:fldCharType="end"/>
        </w:r>
      </w:hyperlink>
    </w:p>
    <w:p w14:paraId="1AF2F26C" w14:textId="2740E5C5" w:rsidR="009A39E2" w:rsidRPr="00BC57A2" w:rsidRDefault="007C0830" w:rsidP="009A39E2">
      <w:pPr>
        <w:pStyle w:val="TDC3"/>
        <w:tabs>
          <w:tab w:val="right" w:leader="dot" w:pos="8828"/>
        </w:tabs>
        <w:jc w:val="both"/>
        <w:rPr>
          <w:rFonts w:ascii="Verdana" w:eastAsiaTheme="minorEastAsia" w:hAnsi="Verdana"/>
          <w:noProof/>
          <w:sz w:val="18"/>
          <w:szCs w:val="18"/>
          <w:lang w:val="es-CR" w:eastAsia="es-CR"/>
        </w:rPr>
      </w:pPr>
      <w:hyperlink w:anchor="_Toc34337519" w:history="1">
        <w:r w:rsidR="009A39E2" w:rsidRPr="00BC57A2">
          <w:rPr>
            <w:rStyle w:val="Hipervnculo"/>
            <w:rFonts w:ascii="Verdana" w:hAnsi="Verdana"/>
            <w:b/>
            <w:i/>
            <w:noProof/>
            <w:color w:val="auto"/>
            <w:sz w:val="18"/>
            <w:szCs w:val="18"/>
          </w:rPr>
          <w:t>B.2 Consideraciones de la Corte</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_Toc34337519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13</w:t>
        </w:r>
        <w:r w:rsidR="009A39E2" w:rsidRPr="00BC57A2">
          <w:rPr>
            <w:rFonts w:ascii="Verdana" w:hAnsi="Verdana"/>
            <w:noProof/>
            <w:webHidden/>
            <w:sz w:val="18"/>
            <w:szCs w:val="18"/>
          </w:rPr>
          <w:fldChar w:fldCharType="end"/>
        </w:r>
      </w:hyperlink>
    </w:p>
    <w:p w14:paraId="754AC6F0" w14:textId="77777777" w:rsidR="009A39E2" w:rsidRPr="00BC57A2" w:rsidRDefault="009A39E2" w:rsidP="00D1698B">
      <w:pPr>
        <w:pStyle w:val="TDC1"/>
        <w:rPr>
          <w:rStyle w:val="Hipervnculo"/>
          <w:rFonts w:ascii="Verdana" w:hAnsi="Verdana"/>
          <w:noProof/>
          <w:color w:val="auto"/>
          <w:sz w:val="18"/>
          <w:szCs w:val="18"/>
        </w:rPr>
      </w:pPr>
    </w:p>
    <w:p w14:paraId="50BEDDBF" w14:textId="5410D778" w:rsidR="009A39E2" w:rsidRPr="00BC57A2" w:rsidRDefault="007C0830" w:rsidP="00D1698B">
      <w:pPr>
        <w:pStyle w:val="TDC1"/>
        <w:rPr>
          <w:rFonts w:ascii="Verdana" w:eastAsiaTheme="minorEastAsia" w:hAnsi="Verdana"/>
          <w:noProof/>
          <w:sz w:val="18"/>
          <w:szCs w:val="18"/>
          <w:lang w:val="es-CR" w:eastAsia="es-CR"/>
        </w:rPr>
      </w:pPr>
      <w:hyperlink w:anchor="_Toc34337520" w:history="1">
        <w:r w:rsidR="009A39E2" w:rsidRPr="00BC57A2">
          <w:rPr>
            <w:rStyle w:val="Hipervnculo"/>
            <w:rFonts w:ascii="Verdana" w:eastAsia="Calibri" w:hAnsi="Verdana" w:cs="Times"/>
            <w:noProof/>
            <w:color w:val="auto"/>
            <w:sz w:val="18"/>
            <w:szCs w:val="18"/>
            <w:lang w:eastAsia="es-CR"/>
          </w:rPr>
          <w:t>V</w:t>
        </w:r>
      </w:hyperlink>
      <w:r w:rsidR="008A416C">
        <w:rPr>
          <w:rStyle w:val="Hipervnculo"/>
          <w:rFonts w:ascii="Verdana" w:eastAsia="Calibri" w:hAnsi="Verdana" w:cs="Times"/>
          <w:noProof/>
          <w:color w:val="auto"/>
          <w:sz w:val="18"/>
          <w:szCs w:val="18"/>
          <w:u w:val="none"/>
          <w:lang w:eastAsia="es-CR"/>
        </w:rPr>
        <w:t>.</w:t>
      </w:r>
      <w:r w:rsidR="009A39E2" w:rsidRPr="00B47EB8">
        <w:rPr>
          <w:rStyle w:val="Hipervnculo"/>
          <w:rFonts w:ascii="Verdana" w:hAnsi="Verdana"/>
          <w:noProof/>
          <w:color w:val="auto"/>
          <w:sz w:val="18"/>
          <w:szCs w:val="18"/>
          <w:u w:val="none"/>
        </w:rPr>
        <w:t xml:space="preserve"> </w:t>
      </w:r>
      <w:hyperlink w:anchor="_Toc34337521" w:history="1">
        <w:r w:rsidR="009A39E2" w:rsidRPr="00BC57A2">
          <w:rPr>
            <w:rStyle w:val="Hipervnculo"/>
            <w:rFonts w:ascii="Verdana" w:eastAsia="Calibri" w:hAnsi="Verdana" w:cs="Times"/>
            <w:noProof/>
            <w:color w:val="auto"/>
            <w:sz w:val="18"/>
            <w:szCs w:val="18"/>
            <w:lang w:eastAsia="es-CR"/>
          </w:rPr>
          <w:t>PRUEBA</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_Toc34337521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15</w:t>
        </w:r>
        <w:r w:rsidR="009A39E2" w:rsidRPr="00BC57A2">
          <w:rPr>
            <w:rFonts w:ascii="Verdana" w:hAnsi="Verdana"/>
            <w:noProof/>
            <w:webHidden/>
            <w:sz w:val="18"/>
            <w:szCs w:val="18"/>
          </w:rPr>
          <w:fldChar w:fldCharType="end"/>
        </w:r>
      </w:hyperlink>
    </w:p>
    <w:p w14:paraId="454DCC44" w14:textId="62D41922" w:rsidR="009A39E2" w:rsidRPr="00BC57A2" w:rsidRDefault="007C0830" w:rsidP="009A39E2">
      <w:pPr>
        <w:pStyle w:val="TDC2"/>
        <w:rPr>
          <w:rFonts w:ascii="Verdana" w:eastAsiaTheme="minorEastAsia" w:hAnsi="Verdana"/>
          <w:b w:val="0"/>
          <w:bCs w:val="0"/>
          <w:noProof/>
          <w:sz w:val="18"/>
          <w:szCs w:val="18"/>
          <w:lang w:val="es-CR" w:eastAsia="es-CR"/>
        </w:rPr>
      </w:pPr>
      <w:hyperlink w:anchor="_Toc34337522" w:history="1">
        <w:r w:rsidR="009A39E2" w:rsidRPr="00BC57A2">
          <w:rPr>
            <w:rStyle w:val="Hipervnculo"/>
            <w:rFonts w:ascii="Verdana" w:eastAsia="Calibri" w:hAnsi="Verdana" w:cs="Times"/>
            <w:i/>
            <w:noProof/>
            <w:color w:val="auto"/>
            <w:sz w:val="18"/>
            <w:szCs w:val="18"/>
            <w:lang w:eastAsia="es-CR"/>
          </w:rPr>
          <w:t>A)</w:t>
        </w:r>
        <w:r w:rsidR="00BC57A2" w:rsidRPr="00BC57A2">
          <w:rPr>
            <w:rStyle w:val="Hipervnculo"/>
            <w:rFonts w:ascii="Verdana" w:eastAsia="Calibri" w:hAnsi="Verdana" w:cs="Times"/>
            <w:i/>
            <w:noProof/>
            <w:color w:val="auto"/>
            <w:sz w:val="18"/>
            <w:szCs w:val="18"/>
            <w:lang w:eastAsia="es-CR"/>
          </w:rPr>
          <w:t xml:space="preserve"> </w:t>
        </w:r>
        <w:r w:rsidR="009A39E2" w:rsidRPr="00BC57A2">
          <w:rPr>
            <w:rStyle w:val="Hipervnculo"/>
            <w:rFonts w:ascii="Verdana" w:eastAsia="Calibri" w:hAnsi="Verdana" w:cs="Times"/>
            <w:i/>
            <w:noProof/>
            <w:color w:val="auto"/>
            <w:sz w:val="18"/>
            <w:szCs w:val="18"/>
            <w:lang w:eastAsia="es-CR"/>
          </w:rPr>
          <w:t>Admisibilidad de la prueba documental</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_Toc34337522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15</w:t>
        </w:r>
        <w:r w:rsidR="009A39E2" w:rsidRPr="00BC57A2">
          <w:rPr>
            <w:rFonts w:ascii="Verdana" w:hAnsi="Verdana"/>
            <w:noProof/>
            <w:webHidden/>
            <w:sz w:val="18"/>
            <w:szCs w:val="18"/>
          </w:rPr>
          <w:fldChar w:fldCharType="end"/>
        </w:r>
      </w:hyperlink>
    </w:p>
    <w:p w14:paraId="54A22B69" w14:textId="704DF6CC" w:rsidR="009A39E2" w:rsidRPr="00BC57A2" w:rsidRDefault="007C0830" w:rsidP="009A39E2">
      <w:pPr>
        <w:pStyle w:val="TDC2"/>
        <w:rPr>
          <w:rFonts w:ascii="Verdana" w:eastAsiaTheme="minorEastAsia" w:hAnsi="Verdana"/>
          <w:b w:val="0"/>
          <w:bCs w:val="0"/>
          <w:noProof/>
          <w:sz w:val="18"/>
          <w:szCs w:val="18"/>
          <w:lang w:val="es-CR" w:eastAsia="es-CR"/>
        </w:rPr>
      </w:pPr>
      <w:hyperlink w:anchor="_Toc34337523" w:history="1">
        <w:r w:rsidR="009A39E2" w:rsidRPr="00BC57A2">
          <w:rPr>
            <w:rStyle w:val="Hipervnculo"/>
            <w:rFonts w:ascii="Verdana" w:eastAsia="Calibri" w:hAnsi="Verdana" w:cs="Times"/>
            <w:i/>
            <w:noProof/>
            <w:color w:val="auto"/>
            <w:sz w:val="18"/>
            <w:szCs w:val="18"/>
            <w:lang w:eastAsia="es-CR"/>
          </w:rPr>
          <w:t>B)</w:t>
        </w:r>
        <w:r w:rsidR="00BC57A2" w:rsidRPr="00BC57A2">
          <w:rPr>
            <w:rStyle w:val="Hipervnculo"/>
            <w:rFonts w:ascii="Verdana" w:eastAsia="Calibri" w:hAnsi="Verdana" w:cs="Times"/>
            <w:i/>
            <w:noProof/>
            <w:color w:val="auto"/>
            <w:sz w:val="18"/>
            <w:szCs w:val="18"/>
            <w:lang w:eastAsia="es-CR"/>
          </w:rPr>
          <w:t xml:space="preserve"> </w:t>
        </w:r>
        <w:r w:rsidR="009A39E2" w:rsidRPr="00BC57A2">
          <w:rPr>
            <w:rStyle w:val="Hipervnculo"/>
            <w:rFonts w:ascii="Verdana" w:eastAsia="Calibri" w:hAnsi="Verdana" w:cs="Times"/>
            <w:i/>
            <w:noProof/>
            <w:color w:val="auto"/>
            <w:sz w:val="18"/>
            <w:szCs w:val="18"/>
            <w:lang w:eastAsia="es-CR"/>
          </w:rPr>
          <w:t>Admisibilidad de la prueba testimonial y pericial</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_Toc34337523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17</w:t>
        </w:r>
        <w:r w:rsidR="009A39E2" w:rsidRPr="00BC57A2">
          <w:rPr>
            <w:rFonts w:ascii="Verdana" w:hAnsi="Verdana"/>
            <w:noProof/>
            <w:webHidden/>
            <w:sz w:val="18"/>
            <w:szCs w:val="18"/>
          </w:rPr>
          <w:fldChar w:fldCharType="end"/>
        </w:r>
      </w:hyperlink>
    </w:p>
    <w:p w14:paraId="6C684BC2" w14:textId="77777777" w:rsidR="009A39E2" w:rsidRPr="00BC57A2" w:rsidRDefault="009A39E2" w:rsidP="00D1698B">
      <w:pPr>
        <w:pStyle w:val="TDC1"/>
        <w:rPr>
          <w:rStyle w:val="Hipervnculo"/>
          <w:rFonts w:ascii="Verdana" w:hAnsi="Verdana"/>
          <w:noProof/>
          <w:color w:val="auto"/>
          <w:sz w:val="18"/>
          <w:szCs w:val="18"/>
        </w:rPr>
      </w:pPr>
    </w:p>
    <w:p w14:paraId="782F51E7" w14:textId="36FA03FC" w:rsidR="009A39E2" w:rsidRPr="00BC57A2" w:rsidRDefault="007C0830" w:rsidP="00D1698B">
      <w:pPr>
        <w:pStyle w:val="TDC1"/>
        <w:rPr>
          <w:rFonts w:ascii="Verdana" w:eastAsiaTheme="minorEastAsia" w:hAnsi="Verdana"/>
          <w:noProof/>
          <w:sz w:val="18"/>
          <w:szCs w:val="18"/>
          <w:lang w:val="es-CR" w:eastAsia="es-CR"/>
        </w:rPr>
      </w:pPr>
      <w:hyperlink w:anchor="_Toc34337524" w:history="1">
        <w:r w:rsidR="009A39E2" w:rsidRPr="00BC57A2">
          <w:rPr>
            <w:rStyle w:val="Hipervnculo"/>
            <w:rFonts w:ascii="Verdana" w:eastAsia="Times New Roman" w:hAnsi="Verdana" w:cs="Verdana"/>
            <w:noProof/>
            <w:color w:val="auto"/>
            <w:sz w:val="18"/>
            <w:szCs w:val="18"/>
            <w:lang w:eastAsia="es-CR"/>
          </w:rPr>
          <w:t>VI</w:t>
        </w:r>
      </w:hyperlink>
      <w:r w:rsidR="008A416C" w:rsidRPr="008A416C">
        <w:rPr>
          <w:rStyle w:val="Hipervnculo"/>
          <w:rFonts w:ascii="Verdana" w:eastAsia="Times New Roman" w:hAnsi="Verdana" w:cs="Verdana"/>
          <w:noProof/>
          <w:color w:val="auto"/>
          <w:sz w:val="18"/>
          <w:szCs w:val="18"/>
          <w:u w:val="none"/>
          <w:lang w:eastAsia="es-CR"/>
        </w:rPr>
        <w:t>.</w:t>
      </w:r>
      <w:r w:rsidR="009A39E2" w:rsidRPr="00B47EB8">
        <w:rPr>
          <w:rStyle w:val="Hipervnculo"/>
          <w:rFonts w:ascii="Verdana" w:hAnsi="Verdana"/>
          <w:noProof/>
          <w:color w:val="auto"/>
          <w:sz w:val="18"/>
          <w:szCs w:val="18"/>
          <w:u w:val="none"/>
        </w:rPr>
        <w:t xml:space="preserve"> </w:t>
      </w:r>
      <w:hyperlink w:anchor="_Toc34337525" w:history="1">
        <w:r w:rsidR="009A39E2" w:rsidRPr="00BC57A2">
          <w:rPr>
            <w:rStyle w:val="Hipervnculo"/>
            <w:rFonts w:ascii="Verdana" w:eastAsia="Times New Roman" w:hAnsi="Verdana" w:cs="Verdana"/>
            <w:noProof/>
            <w:color w:val="auto"/>
            <w:sz w:val="18"/>
            <w:szCs w:val="18"/>
            <w:lang w:eastAsia="es-CR"/>
          </w:rPr>
          <w:t>HECHOS</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_Toc34337525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17</w:t>
        </w:r>
        <w:r w:rsidR="009A39E2" w:rsidRPr="00BC57A2">
          <w:rPr>
            <w:rFonts w:ascii="Verdana" w:hAnsi="Verdana"/>
            <w:noProof/>
            <w:webHidden/>
            <w:sz w:val="18"/>
            <w:szCs w:val="18"/>
          </w:rPr>
          <w:fldChar w:fldCharType="end"/>
        </w:r>
      </w:hyperlink>
    </w:p>
    <w:p w14:paraId="4A65F1A5" w14:textId="78422ECF" w:rsidR="009A39E2" w:rsidRPr="00BC57A2" w:rsidRDefault="007C0830" w:rsidP="009A39E2">
      <w:pPr>
        <w:pStyle w:val="TDC2"/>
        <w:rPr>
          <w:rFonts w:ascii="Verdana" w:eastAsiaTheme="minorEastAsia" w:hAnsi="Verdana"/>
          <w:b w:val="0"/>
          <w:bCs w:val="0"/>
          <w:noProof/>
          <w:sz w:val="18"/>
          <w:szCs w:val="18"/>
          <w:lang w:val="es-CR" w:eastAsia="es-CR"/>
        </w:rPr>
      </w:pPr>
      <w:hyperlink w:anchor="_Toc34337526" w:history="1">
        <w:r w:rsidR="009A39E2" w:rsidRPr="00BC57A2">
          <w:rPr>
            <w:rStyle w:val="Hipervnculo"/>
            <w:rFonts w:ascii="Verdana" w:hAnsi="Verdana"/>
            <w:i/>
            <w:noProof/>
            <w:color w:val="auto"/>
            <w:sz w:val="18"/>
            <w:szCs w:val="18"/>
            <w:lang w:val="es-CR"/>
          </w:rPr>
          <w:t>A)</w:t>
        </w:r>
        <w:r w:rsidR="00BC57A2" w:rsidRPr="00BC57A2">
          <w:rPr>
            <w:rStyle w:val="Hipervnculo"/>
            <w:rFonts w:ascii="Verdana" w:hAnsi="Verdana"/>
            <w:i/>
            <w:noProof/>
            <w:color w:val="auto"/>
            <w:sz w:val="18"/>
            <w:szCs w:val="18"/>
            <w:lang w:val="es-CR"/>
          </w:rPr>
          <w:t xml:space="preserve"> </w:t>
        </w:r>
        <w:r w:rsidR="009A39E2" w:rsidRPr="00BC57A2">
          <w:rPr>
            <w:rStyle w:val="Hipervnculo"/>
            <w:rFonts w:ascii="Verdana" w:hAnsi="Verdana"/>
            <w:i/>
            <w:noProof/>
            <w:color w:val="auto"/>
            <w:sz w:val="18"/>
            <w:szCs w:val="18"/>
            <w:lang w:val="es-CR"/>
          </w:rPr>
          <w:t>Introducción: Población indígena y criolla en los lotes 14 y 55</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_Toc34337526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18</w:t>
        </w:r>
        <w:r w:rsidR="009A39E2" w:rsidRPr="00BC57A2">
          <w:rPr>
            <w:rFonts w:ascii="Verdana" w:hAnsi="Verdana"/>
            <w:noProof/>
            <w:webHidden/>
            <w:sz w:val="18"/>
            <w:szCs w:val="18"/>
          </w:rPr>
          <w:fldChar w:fldCharType="end"/>
        </w:r>
      </w:hyperlink>
    </w:p>
    <w:p w14:paraId="43F421FB" w14:textId="1DF4E275" w:rsidR="009A39E2" w:rsidRPr="00BC57A2" w:rsidRDefault="007C0830" w:rsidP="009A39E2">
      <w:pPr>
        <w:pStyle w:val="TDC2"/>
        <w:rPr>
          <w:rFonts w:ascii="Verdana" w:eastAsiaTheme="minorEastAsia" w:hAnsi="Verdana"/>
          <w:b w:val="0"/>
          <w:bCs w:val="0"/>
          <w:noProof/>
          <w:sz w:val="18"/>
          <w:szCs w:val="18"/>
          <w:lang w:val="es-CR" w:eastAsia="es-CR"/>
        </w:rPr>
      </w:pPr>
      <w:hyperlink w:anchor="_Toc34337527" w:history="1">
        <w:r w:rsidR="009A39E2" w:rsidRPr="00BC57A2">
          <w:rPr>
            <w:rStyle w:val="Hipervnculo"/>
            <w:rFonts w:ascii="Verdana" w:eastAsia="Batang" w:hAnsi="Verdana" w:cs="Times"/>
            <w:i/>
            <w:noProof/>
            <w:color w:val="auto"/>
            <w:sz w:val="18"/>
            <w:szCs w:val="18"/>
            <w:lang w:val="es-CR" w:eastAsia="es-CR"/>
          </w:rPr>
          <w:t>B)</w:t>
        </w:r>
        <w:r w:rsidR="00BC57A2" w:rsidRPr="00BC57A2">
          <w:rPr>
            <w:rStyle w:val="Hipervnculo"/>
            <w:rFonts w:ascii="Verdana" w:eastAsia="Batang" w:hAnsi="Verdana" w:cs="Times"/>
            <w:i/>
            <w:noProof/>
            <w:color w:val="auto"/>
            <w:sz w:val="18"/>
            <w:szCs w:val="18"/>
            <w:lang w:val="es-CR" w:eastAsia="es-CR"/>
          </w:rPr>
          <w:t xml:space="preserve"> </w:t>
        </w:r>
        <w:r w:rsidR="009A39E2" w:rsidRPr="00BC57A2">
          <w:rPr>
            <w:rStyle w:val="Hipervnculo"/>
            <w:rFonts w:ascii="Verdana" w:eastAsia="Batang" w:hAnsi="Verdana" w:cs="Times"/>
            <w:i/>
            <w:noProof/>
            <w:color w:val="auto"/>
            <w:sz w:val="18"/>
            <w:szCs w:val="18"/>
            <w:lang w:val="es-CR" w:eastAsia="es-CR"/>
          </w:rPr>
          <w:t>Legislación general pertinente respecto a tierras indígenas</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_Toc34337527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21</w:t>
        </w:r>
        <w:r w:rsidR="009A39E2" w:rsidRPr="00BC57A2">
          <w:rPr>
            <w:rFonts w:ascii="Verdana" w:hAnsi="Verdana"/>
            <w:noProof/>
            <w:webHidden/>
            <w:sz w:val="18"/>
            <w:szCs w:val="18"/>
          </w:rPr>
          <w:fldChar w:fldCharType="end"/>
        </w:r>
      </w:hyperlink>
    </w:p>
    <w:p w14:paraId="07C86843" w14:textId="648FFBFE" w:rsidR="009A39E2" w:rsidRPr="00BC57A2" w:rsidRDefault="007C0830" w:rsidP="009A39E2">
      <w:pPr>
        <w:pStyle w:val="TDC2"/>
        <w:rPr>
          <w:rFonts w:ascii="Verdana" w:eastAsiaTheme="minorEastAsia" w:hAnsi="Verdana"/>
          <w:b w:val="0"/>
          <w:bCs w:val="0"/>
          <w:noProof/>
          <w:sz w:val="18"/>
          <w:szCs w:val="18"/>
          <w:lang w:val="es-CR" w:eastAsia="es-CR"/>
        </w:rPr>
      </w:pPr>
      <w:hyperlink w:anchor="_Toc34337528" w:history="1">
        <w:r w:rsidR="009A39E2" w:rsidRPr="00BC57A2">
          <w:rPr>
            <w:rStyle w:val="Hipervnculo"/>
            <w:rFonts w:ascii="Verdana" w:hAnsi="Verdana"/>
            <w:i/>
            <w:noProof/>
            <w:color w:val="auto"/>
            <w:sz w:val="18"/>
            <w:szCs w:val="18"/>
            <w:lang w:val="es-CR"/>
          </w:rPr>
          <w:t>C)</w:t>
        </w:r>
        <w:r w:rsidR="00BC57A2" w:rsidRPr="00BC57A2">
          <w:rPr>
            <w:rStyle w:val="Hipervnculo"/>
            <w:rFonts w:ascii="Verdana" w:hAnsi="Verdana"/>
            <w:i/>
            <w:noProof/>
            <w:color w:val="auto"/>
            <w:sz w:val="18"/>
            <w:szCs w:val="18"/>
            <w:lang w:val="es-CR"/>
          </w:rPr>
          <w:t xml:space="preserve"> </w:t>
        </w:r>
        <w:r w:rsidR="009A39E2" w:rsidRPr="00BC57A2">
          <w:rPr>
            <w:rStyle w:val="Hipervnculo"/>
            <w:rFonts w:ascii="Verdana" w:hAnsi="Verdana"/>
            <w:i/>
            <w:noProof/>
            <w:color w:val="auto"/>
            <w:sz w:val="18"/>
            <w:szCs w:val="18"/>
            <w:lang w:val="es-CR"/>
          </w:rPr>
          <w:t>Reclamos territoriales indígenas en el caso</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_Toc34337528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24</w:t>
        </w:r>
        <w:r w:rsidR="009A39E2" w:rsidRPr="00BC57A2">
          <w:rPr>
            <w:rFonts w:ascii="Verdana" w:hAnsi="Verdana"/>
            <w:noProof/>
            <w:webHidden/>
            <w:sz w:val="18"/>
            <w:szCs w:val="18"/>
          </w:rPr>
          <w:fldChar w:fldCharType="end"/>
        </w:r>
      </w:hyperlink>
    </w:p>
    <w:p w14:paraId="2E549028" w14:textId="16E5A2D1" w:rsidR="009A39E2" w:rsidRPr="00BC57A2" w:rsidRDefault="007C0830" w:rsidP="009A39E2">
      <w:pPr>
        <w:pStyle w:val="TDC3"/>
        <w:tabs>
          <w:tab w:val="right" w:leader="dot" w:pos="8828"/>
        </w:tabs>
        <w:jc w:val="both"/>
        <w:rPr>
          <w:rFonts w:ascii="Verdana" w:eastAsiaTheme="minorEastAsia" w:hAnsi="Verdana"/>
          <w:noProof/>
          <w:sz w:val="18"/>
          <w:szCs w:val="18"/>
          <w:lang w:val="es-CR" w:eastAsia="es-CR"/>
        </w:rPr>
      </w:pPr>
      <w:hyperlink w:anchor="_Toc34337529" w:history="1">
        <w:r w:rsidR="009A39E2" w:rsidRPr="00BC57A2">
          <w:rPr>
            <w:rStyle w:val="Hipervnculo"/>
            <w:rFonts w:ascii="Verdana" w:hAnsi="Verdana"/>
            <w:b/>
            <w:i/>
            <w:noProof/>
            <w:color w:val="auto"/>
            <w:sz w:val="18"/>
            <w:szCs w:val="18"/>
            <w:lang w:val="es-CR"/>
          </w:rPr>
          <w:t>C.1 Primera fase (antes de 1999): primeros reclamos y compromisos de titulación</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_Toc34337529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24</w:t>
        </w:r>
        <w:r w:rsidR="009A39E2" w:rsidRPr="00BC57A2">
          <w:rPr>
            <w:rFonts w:ascii="Verdana" w:hAnsi="Verdana"/>
            <w:noProof/>
            <w:webHidden/>
            <w:sz w:val="18"/>
            <w:szCs w:val="18"/>
          </w:rPr>
          <w:fldChar w:fldCharType="end"/>
        </w:r>
      </w:hyperlink>
    </w:p>
    <w:p w14:paraId="7D2B22BF" w14:textId="62B8C6DC" w:rsidR="009A39E2" w:rsidRPr="00BC57A2" w:rsidRDefault="007C0830" w:rsidP="009A39E2">
      <w:pPr>
        <w:pStyle w:val="TDC3"/>
        <w:tabs>
          <w:tab w:val="right" w:leader="dot" w:pos="8828"/>
        </w:tabs>
        <w:jc w:val="both"/>
        <w:rPr>
          <w:rFonts w:ascii="Verdana" w:eastAsiaTheme="minorEastAsia" w:hAnsi="Verdana"/>
          <w:noProof/>
          <w:sz w:val="18"/>
          <w:szCs w:val="18"/>
          <w:lang w:val="es-CR" w:eastAsia="es-CR"/>
        </w:rPr>
      </w:pPr>
      <w:hyperlink w:anchor="_Toc34337530" w:history="1">
        <w:r w:rsidR="009A39E2" w:rsidRPr="00BC57A2">
          <w:rPr>
            <w:rStyle w:val="Hipervnculo"/>
            <w:rFonts w:ascii="Verdana" w:hAnsi="Verdana"/>
            <w:b/>
            <w:i/>
            <w:noProof/>
            <w:color w:val="auto"/>
            <w:sz w:val="18"/>
            <w:szCs w:val="18"/>
            <w:lang w:val="es-CR"/>
          </w:rPr>
          <w:t>C.2 Segunda fase (1999-2004): intentos de parcelaciones individuales y oposición indígena</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_Toc34337530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26</w:t>
        </w:r>
        <w:r w:rsidR="009A39E2" w:rsidRPr="00BC57A2">
          <w:rPr>
            <w:rFonts w:ascii="Verdana" w:hAnsi="Verdana"/>
            <w:noProof/>
            <w:webHidden/>
            <w:sz w:val="18"/>
            <w:szCs w:val="18"/>
          </w:rPr>
          <w:fldChar w:fldCharType="end"/>
        </w:r>
      </w:hyperlink>
    </w:p>
    <w:p w14:paraId="7AE0FFE1" w14:textId="721EA198" w:rsidR="009A39E2" w:rsidRPr="00BC57A2" w:rsidRDefault="007C0830" w:rsidP="009A39E2">
      <w:pPr>
        <w:pStyle w:val="TDC3"/>
        <w:tabs>
          <w:tab w:val="right" w:leader="dot" w:pos="8828"/>
        </w:tabs>
        <w:jc w:val="both"/>
        <w:rPr>
          <w:rFonts w:ascii="Verdana" w:eastAsiaTheme="minorEastAsia" w:hAnsi="Verdana"/>
          <w:noProof/>
          <w:sz w:val="18"/>
          <w:szCs w:val="18"/>
          <w:lang w:val="es-CR" w:eastAsia="es-CR"/>
        </w:rPr>
      </w:pPr>
      <w:hyperlink w:anchor="_Toc34337531" w:history="1">
        <w:r w:rsidR="009A39E2" w:rsidRPr="00BC57A2">
          <w:rPr>
            <w:rStyle w:val="Hipervnculo"/>
            <w:rFonts w:ascii="Verdana" w:hAnsi="Verdana"/>
            <w:b/>
            <w:i/>
            <w:noProof/>
            <w:color w:val="auto"/>
            <w:sz w:val="18"/>
            <w:szCs w:val="18"/>
            <w:lang w:val="es-ES"/>
          </w:rPr>
          <w:t>C</w:t>
        </w:r>
        <w:r w:rsidR="009A39E2" w:rsidRPr="00BC57A2">
          <w:rPr>
            <w:rStyle w:val="Hipervnculo"/>
            <w:rFonts w:ascii="Verdana" w:hAnsi="Verdana"/>
            <w:b/>
            <w:i/>
            <w:noProof/>
            <w:color w:val="auto"/>
            <w:sz w:val="18"/>
            <w:szCs w:val="18"/>
            <w:lang w:val="es-CR"/>
          </w:rPr>
          <w:t>.3 Tercera fase (2005-2006): Creación de la Unidad Ejecutora Provincial (UEP), referéndum y acciones posteriores</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_Toc34337531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27</w:t>
        </w:r>
        <w:r w:rsidR="009A39E2" w:rsidRPr="00BC57A2">
          <w:rPr>
            <w:rFonts w:ascii="Verdana" w:hAnsi="Verdana"/>
            <w:noProof/>
            <w:webHidden/>
            <w:sz w:val="18"/>
            <w:szCs w:val="18"/>
          </w:rPr>
          <w:fldChar w:fldCharType="end"/>
        </w:r>
      </w:hyperlink>
    </w:p>
    <w:p w14:paraId="24C55CBE" w14:textId="1B1CE5BE" w:rsidR="009A39E2" w:rsidRPr="00BC57A2" w:rsidRDefault="007C0830" w:rsidP="009A39E2">
      <w:pPr>
        <w:pStyle w:val="TDC3"/>
        <w:tabs>
          <w:tab w:val="right" w:leader="dot" w:pos="8828"/>
        </w:tabs>
        <w:jc w:val="both"/>
        <w:rPr>
          <w:rFonts w:ascii="Verdana" w:eastAsiaTheme="minorEastAsia" w:hAnsi="Verdana"/>
          <w:noProof/>
          <w:sz w:val="18"/>
          <w:szCs w:val="18"/>
          <w:lang w:val="es-CR" w:eastAsia="es-CR"/>
        </w:rPr>
      </w:pPr>
      <w:hyperlink w:anchor="_Toc34337532" w:history="1">
        <w:r w:rsidR="009A39E2" w:rsidRPr="00BC57A2">
          <w:rPr>
            <w:rStyle w:val="Hipervnculo"/>
            <w:rFonts w:ascii="Verdana" w:hAnsi="Verdana"/>
            <w:b/>
            <w:i/>
            <w:noProof/>
            <w:color w:val="auto"/>
            <w:sz w:val="18"/>
            <w:szCs w:val="18"/>
            <w:lang w:val="es-CR"/>
          </w:rPr>
          <w:t>C.4. Cuarta fase (a partir de 2007)</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_Toc34337532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29</w:t>
        </w:r>
        <w:r w:rsidR="009A39E2" w:rsidRPr="00BC57A2">
          <w:rPr>
            <w:rFonts w:ascii="Verdana" w:hAnsi="Verdana"/>
            <w:noProof/>
            <w:webHidden/>
            <w:sz w:val="18"/>
            <w:szCs w:val="18"/>
          </w:rPr>
          <w:fldChar w:fldCharType="end"/>
        </w:r>
      </w:hyperlink>
    </w:p>
    <w:p w14:paraId="42839E32" w14:textId="10915B56" w:rsidR="009A39E2" w:rsidRPr="00BC57A2" w:rsidRDefault="007C0830" w:rsidP="009A39E2">
      <w:pPr>
        <w:pStyle w:val="TDC4"/>
        <w:tabs>
          <w:tab w:val="right" w:leader="dot" w:pos="8828"/>
        </w:tabs>
        <w:jc w:val="both"/>
        <w:rPr>
          <w:rFonts w:ascii="Verdana" w:eastAsiaTheme="minorEastAsia" w:hAnsi="Verdana"/>
          <w:noProof/>
          <w:sz w:val="18"/>
          <w:szCs w:val="18"/>
          <w:lang w:val="es-CR" w:eastAsia="es-CR"/>
        </w:rPr>
      </w:pPr>
      <w:hyperlink w:anchor="_Toc34337533" w:history="1">
        <w:r w:rsidR="009A39E2" w:rsidRPr="00BC57A2">
          <w:rPr>
            <w:rStyle w:val="Hipervnculo"/>
            <w:rFonts w:ascii="Verdana" w:hAnsi="Verdana"/>
            <w:i/>
            <w:noProof/>
            <w:color w:val="auto"/>
            <w:sz w:val="18"/>
            <w:szCs w:val="18"/>
            <w:lang w:val="es-CR"/>
          </w:rPr>
          <w:t>C.4.1 Acta –Acuerdo de octubre de 2007 y actos para su implementación</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_Toc34337533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29</w:t>
        </w:r>
        <w:r w:rsidR="009A39E2" w:rsidRPr="00BC57A2">
          <w:rPr>
            <w:rFonts w:ascii="Verdana" w:hAnsi="Verdana"/>
            <w:noProof/>
            <w:webHidden/>
            <w:sz w:val="18"/>
            <w:szCs w:val="18"/>
          </w:rPr>
          <w:fldChar w:fldCharType="end"/>
        </w:r>
      </w:hyperlink>
    </w:p>
    <w:p w14:paraId="4E58AE58" w14:textId="79DE94CB" w:rsidR="009A39E2" w:rsidRPr="00BC57A2" w:rsidRDefault="007C0830" w:rsidP="009A39E2">
      <w:pPr>
        <w:pStyle w:val="TDC4"/>
        <w:tabs>
          <w:tab w:val="right" w:leader="dot" w:pos="8828"/>
        </w:tabs>
        <w:jc w:val="both"/>
        <w:rPr>
          <w:rFonts w:ascii="Verdana" w:eastAsiaTheme="minorEastAsia" w:hAnsi="Verdana"/>
          <w:noProof/>
          <w:sz w:val="18"/>
          <w:szCs w:val="18"/>
          <w:lang w:val="es-CR" w:eastAsia="es-CR"/>
        </w:rPr>
      </w:pPr>
      <w:hyperlink w:anchor="_Toc34337534" w:history="1">
        <w:r w:rsidR="009A39E2" w:rsidRPr="00BC57A2">
          <w:rPr>
            <w:rStyle w:val="Hipervnculo"/>
            <w:rFonts w:ascii="Verdana" w:hAnsi="Verdana"/>
            <w:i/>
            <w:noProof/>
            <w:color w:val="auto"/>
            <w:sz w:val="18"/>
            <w:szCs w:val="18"/>
            <w:lang w:val="es-CR"/>
          </w:rPr>
          <w:t>C.4.2 Decreto 2398 de 2012 y actos posteriores</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_Toc34337534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30</w:t>
        </w:r>
        <w:r w:rsidR="009A39E2" w:rsidRPr="00BC57A2">
          <w:rPr>
            <w:rFonts w:ascii="Verdana" w:hAnsi="Verdana"/>
            <w:noProof/>
            <w:webHidden/>
            <w:sz w:val="18"/>
            <w:szCs w:val="18"/>
          </w:rPr>
          <w:fldChar w:fldCharType="end"/>
        </w:r>
      </w:hyperlink>
    </w:p>
    <w:p w14:paraId="3B253911" w14:textId="59C87BA4" w:rsidR="009A39E2" w:rsidRPr="00BC57A2" w:rsidRDefault="007C0830" w:rsidP="009A39E2">
      <w:pPr>
        <w:pStyle w:val="TDC4"/>
        <w:tabs>
          <w:tab w:val="right" w:leader="dot" w:pos="8828"/>
        </w:tabs>
        <w:jc w:val="both"/>
        <w:rPr>
          <w:rFonts w:ascii="Verdana" w:eastAsiaTheme="minorEastAsia" w:hAnsi="Verdana"/>
          <w:noProof/>
          <w:sz w:val="18"/>
          <w:szCs w:val="18"/>
          <w:lang w:val="es-CR" w:eastAsia="es-CR"/>
        </w:rPr>
      </w:pPr>
      <w:hyperlink w:anchor="_Toc34337535" w:history="1">
        <w:r w:rsidR="009A39E2" w:rsidRPr="00BC57A2">
          <w:rPr>
            <w:rStyle w:val="Hipervnculo"/>
            <w:rFonts w:ascii="Verdana" w:hAnsi="Verdana"/>
            <w:i/>
            <w:noProof/>
            <w:color w:val="auto"/>
            <w:sz w:val="18"/>
            <w:szCs w:val="18"/>
            <w:lang w:val="es-CR"/>
          </w:rPr>
          <w:t>C.4.3 Decreto 1498 de 2014 y actos posteriores</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_Toc34337535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30</w:t>
        </w:r>
        <w:r w:rsidR="009A39E2" w:rsidRPr="00BC57A2">
          <w:rPr>
            <w:rFonts w:ascii="Verdana" w:hAnsi="Verdana"/>
            <w:noProof/>
            <w:webHidden/>
            <w:sz w:val="18"/>
            <w:szCs w:val="18"/>
          </w:rPr>
          <w:fldChar w:fldCharType="end"/>
        </w:r>
      </w:hyperlink>
    </w:p>
    <w:p w14:paraId="1E0B0583" w14:textId="508D5354" w:rsidR="009A39E2" w:rsidRPr="00BC57A2" w:rsidRDefault="007C0830" w:rsidP="009A39E2">
      <w:pPr>
        <w:pStyle w:val="TDC2"/>
        <w:rPr>
          <w:rFonts w:ascii="Verdana" w:eastAsiaTheme="minorEastAsia" w:hAnsi="Verdana"/>
          <w:b w:val="0"/>
          <w:bCs w:val="0"/>
          <w:noProof/>
          <w:sz w:val="18"/>
          <w:szCs w:val="18"/>
          <w:lang w:val="es-CR" w:eastAsia="es-CR"/>
        </w:rPr>
      </w:pPr>
      <w:hyperlink w:anchor="_Toc34337536" w:history="1">
        <w:r w:rsidR="009A39E2" w:rsidRPr="00BC57A2">
          <w:rPr>
            <w:rStyle w:val="Hipervnculo"/>
            <w:rFonts w:ascii="Verdana" w:hAnsi="Verdana"/>
            <w:i/>
            <w:noProof/>
            <w:color w:val="auto"/>
            <w:sz w:val="18"/>
            <w:szCs w:val="18"/>
          </w:rPr>
          <w:t>D) Obras, actividades y proyectos sobre el territorio reclamado</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_Toc34337536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33</w:t>
        </w:r>
        <w:r w:rsidR="009A39E2" w:rsidRPr="00BC57A2">
          <w:rPr>
            <w:rFonts w:ascii="Verdana" w:hAnsi="Verdana"/>
            <w:noProof/>
            <w:webHidden/>
            <w:sz w:val="18"/>
            <w:szCs w:val="18"/>
          </w:rPr>
          <w:fldChar w:fldCharType="end"/>
        </w:r>
      </w:hyperlink>
    </w:p>
    <w:p w14:paraId="27DF3F3E" w14:textId="3ED031BA" w:rsidR="009A39E2" w:rsidRPr="00BC57A2" w:rsidRDefault="007C0830" w:rsidP="009A39E2">
      <w:pPr>
        <w:pStyle w:val="TDC2"/>
        <w:rPr>
          <w:rFonts w:ascii="Verdana" w:eastAsiaTheme="minorEastAsia" w:hAnsi="Verdana"/>
          <w:b w:val="0"/>
          <w:bCs w:val="0"/>
          <w:noProof/>
          <w:sz w:val="18"/>
          <w:szCs w:val="18"/>
          <w:lang w:val="es-CR" w:eastAsia="es-CR"/>
        </w:rPr>
      </w:pPr>
      <w:hyperlink w:anchor="_Toc34337537" w:history="1">
        <w:r w:rsidR="009A39E2" w:rsidRPr="00BC57A2">
          <w:rPr>
            <w:rStyle w:val="Hipervnculo"/>
            <w:rFonts w:ascii="Verdana" w:hAnsi="Verdana"/>
            <w:i/>
            <w:noProof/>
            <w:color w:val="auto"/>
            <w:sz w:val="18"/>
            <w:szCs w:val="18"/>
          </w:rPr>
          <w:t>E) Acciones administrativas y judiciales iniciadas en el caso</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_Toc34337537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34</w:t>
        </w:r>
        <w:r w:rsidR="009A39E2" w:rsidRPr="00BC57A2">
          <w:rPr>
            <w:rFonts w:ascii="Verdana" w:hAnsi="Verdana"/>
            <w:noProof/>
            <w:webHidden/>
            <w:sz w:val="18"/>
            <w:szCs w:val="18"/>
          </w:rPr>
          <w:fldChar w:fldCharType="end"/>
        </w:r>
      </w:hyperlink>
    </w:p>
    <w:p w14:paraId="3A8A0065" w14:textId="77777777" w:rsidR="009A39E2" w:rsidRPr="00BC57A2" w:rsidRDefault="009A39E2" w:rsidP="00D1698B">
      <w:pPr>
        <w:pStyle w:val="TDC1"/>
        <w:rPr>
          <w:rStyle w:val="Hipervnculo"/>
          <w:rFonts w:ascii="Verdana" w:hAnsi="Verdana"/>
          <w:noProof/>
          <w:color w:val="auto"/>
          <w:sz w:val="18"/>
          <w:szCs w:val="18"/>
        </w:rPr>
      </w:pPr>
    </w:p>
    <w:p w14:paraId="5B3DF87C" w14:textId="1962F76C" w:rsidR="009A39E2" w:rsidRPr="00BC57A2" w:rsidRDefault="007C0830" w:rsidP="00D1698B">
      <w:pPr>
        <w:pStyle w:val="TDC1"/>
        <w:rPr>
          <w:rFonts w:ascii="Verdana" w:eastAsiaTheme="minorEastAsia" w:hAnsi="Verdana"/>
          <w:noProof/>
          <w:sz w:val="18"/>
          <w:szCs w:val="18"/>
          <w:lang w:val="es-CR" w:eastAsia="es-CR"/>
        </w:rPr>
      </w:pPr>
      <w:hyperlink w:anchor="_Toc34337538" w:history="1">
        <w:r w:rsidR="009A39E2" w:rsidRPr="00BC57A2">
          <w:rPr>
            <w:rStyle w:val="Hipervnculo"/>
            <w:rFonts w:ascii="Verdana" w:eastAsia="Batang" w:hAnsi="Verdana" w:cs="Times"/>
            <w:noProof/>
            <w:color w:val="auto"/>
            <w:sz w:val="18"/>
            <w:szCs w:val="18"/>
            <w:lang w:val="es-CR" w:eastAsia="es-CR"/>
          </w:rPr>
          <w:t>VII</w:t>
        </w:r>
      </w:hyperlink>
      <w:r w:rsidR="008A416C" w:rsidRPr="008A416C">
        <w:rPr>
          <w:rStyle w:val="Hipervnculo"/>
          <w:rFonts w:ascii="Verdana" w:eastAsia="Batang" w:hAnsi="Verdana" w:cs="Times"/>
          <w:noProof/>
          <w:color w:val="auto"/>
          <w:sz w:val="18"/>
          <w:szCs w:val="18"/>
          <w:u w:val="none"/>
          <w:lang w:val="es-CR" w:eastAsia="es-CR"/>
        </w:rPr>
        <w:t>.</w:t>
      </w:r>
      <w:r w:rsidR="009A39E2" w:rsidRPr="00B47EB8">
        <w:rPr>
          <w:rStyle w:val="Hipervnculo"/>
          <w:rFonts w:ascii="Verdana" w:hAnsi="Verdana"/>
          <w:noProof/>
          <w:color w:val="auto"/>
          <w:sz w:val="18"/>
          <w:szCs w:val="18"/>
          <w:u w:val="none"/>
        </w:rPr>
        <w:t xml:space="preserve"> </w:t>
      </w:r>
      <w:hyperlink w:anchor="_Toc34337539" w:history="1">
        <w:r w:rsidR="009A39E2" w:rsidRPr="00BC57A2">
          <w:rPr>
            <w:rStyle w:val="Hipervnculo"/>
            <w:rFonts w:ascii="Verdana" w:eastAsia="Batang" w:hAnsi="Verdana" w:cs="Times"/>
            <w:noProof/>
            <w:color w:val="auto"/>
            <w:sz w:val="18"/>
            <w:szCs w:val="18"/>
            <w:lang w:val="es-CR" w:eastAsia="es-CR"/>
          </w:rPr>
          <w:t>FONDO</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_Toc34337539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34</w:t>
        </w:r>
        <w:r w:rsidR="009A39E2" w:rsidRPr="00BC57A2">
          <w:rPr>
            <w:rFonts w:ascii="Verdana" w:hAnsi="Verdana"/>
            <w:noProof/>
            <w:webHidden/>
            <w:sz w:val="18"/>
            <w:szCs w:val="18"/>
          </w:rPr>
          <w:fldChar w:fldCharType="end"/>
        </w:r>
      </w:hyperlink>
    </w:p>
    <w:p w14:paraId="7372860F" w14:textId="77777777" w:rsidR="00BC57A2" w:rsidRDefault="00BC57A2" w:rsidP="00D1698B">
      <w:pPr>
        <w:pStyle w:val="TDC1"/>
        <w:rPr>
          <w:rStyle w:val="Hipervnculo"/>
          <w:rFonts w:ascii="Verdana" w:hAnsi="Verdana"/>
          <w:noProof/>
          <w:color w:val="auto"/>
          <w:sz w:val="18"/>
          <w:szCs w:val="18"/>
        </w:rPr>
      </w:pPr>
    </w:p>
    <w:p w14:paraId="0B8DE590" w14:textId="082F8A8C" w:rsidR="009A39E2" w:rsidRPr="00BC57A2" w:rsidRDefault="007C0830" w:rsidP="00D1698B">
      <w:pPr>
        <w:pStyle w:val="TDC1"/>
        <w:rPr>
          <w:rFonts w:eastAsiaTheme="minorEastAsia"/>
          <w:noProof/>
          <w:lang w:val="es-CR" w:eastAsia="es-CR"/>
        </w:rPr>
      </w:pPr>
      <w:hyperlink w:anchor="_Toc34337540" w:history="1">
        <w:r w:rsidR="009A39E2" w:rsidRPr="00BC57A2">
          <w:rPr>
            <w:rStyle w:val="Hipervnculo"/>
            <w:rFonts w:ascii="Verdana" w:hAnsi="Verdana" w:cs="Times New Roman"/>
            <w:noProof/>
            <w:color w:val="auto"/>
            <w:sz w:val="18"/>
            <w:szCs w:val="18"/>
          </w:rPr>
          <w:t>VII.1</w:t>
        </w:r>
      </w:hyperlink>
      <w:r w:rsidR="009A39E2" w:rsidRPr="00BC57A2">
        <w:rPr>
          <w:rStyle w:val="Hipervnculo"/>
          <w:rFonts w:ascii="Verdana" w:hAnsi="Verdana"/>
          <w:noProof/>
          <w:color w:val="auto"/>
          <w:sz w:val="18"/>
          <w:szCs w:val="18"/>
          <w:u w:val="none"/>
        </w:rPr>
        <w:t xml:space="preserve"> </w:t>
      </w:r>
      <w:hyperlink w:anchor="_Toc34337541" w:history="1">
        <w:r w:rsidR="009A39E2" w:rsidRPr="00BC57A2">
          <w:rPr>
            <w:rStyle w:val="Hipervnculo"/>
            <w:rFonts w:ascii="Verdana" w:hAnsi="Verdana" w:cs="Times New Roman"/>
            <w:noProof/>
            <w:color w:val="auto"/>
            <w:sz w:val="18"/>
            <w:szCs w:val="18"/>
          </w:rPr>
          <w:t>DERECHO DE PROPIEDAD COMUNITARIA INDÍGENA</w:t>
        </w:r>
        <w:r w:rsidR="009A39E2" w:rsidRPr="00BC57A2">
          <w:rPr>
            <w:noProof/>
            <w:webHidden/>
          </w:rPr>
          <w:tab/>
        </w:r>
        <w:r w:rsidR="009A39E2" w:rsidRPr="00BC57A2">
          <w:rPr>
            <w:noProof/>
            <w:webHidden/>
          </w:rPr>
          <w:fldChar w:fldCharType="begin"/>
        </w:r>
        <w:r w:rsidR="009A39E2" w:rsidRPr="00BC57A2">
          <w:rPr>
            <w:noProof/>
            <w:webHidden/>
          </w:rPr>
          <w:instrText xml:space="preserve"> PAGEREF _Toc34337541 \h </w:instrText>
        </w:r>
        <w:r w:rsidR="009A39E2" w:rsidRPr="00BC57A2">
          <w:rPr>
            <w:noProof/>
            <w:webHidden/>
          </w:rPr>
        </w:r>
        <w:r w:rsidR="009A39E2" w:rsidRPr="00BC57A2">
          <w:rPr>
            <w:noProof/>
            <w:webHidden/>
          </w:rPr>
          <w:fldChar w:fldCharType="separate"/>
        </w:r>
        <w:r w:rsidR="00F5089C">
          <w:rPr>
            <w:noProof/>
            <w:webHidden/>
          </w:rPr>
          <w:t>35</w:t>
        </w:r>
        <w:r w:rsidR="009A39E2" w:rsidRPr="00BC57A2">
          <w:rPr>
            <w:noProof/>
            <w:webHidden/>
          </w:rPr>
          <w:fldChar w:fldCharType="end"/>
        </w:r>
      </w:hyperlink>
    </w:p>
    <w:p w14:paraId="5DAC7F61" w14:textId="75506307" w:rsidR="009A39E2" w:rsidRPr="00BC57A2" w:rsidRDefault="007C0830" w:rsidP="009A39E2">
      <w:pPr>
        <w:pStyle w:val="TDC2"/>
        <w:rPr>
          <w:rFonts w:ascii="Verdana" w:eastAsiaTheme="minorEastAsia" w:hAnsi="Verdana"/>
          <w:b w:val="0"/>
          <w:bCs w:val="0"/>
          <w:noProof/>
          <w:sz w:val="18"/>
          <w:szCs w:val="18"/>
          <w:lang w:val="es-CR" w:eastAsia="es-CR"/>
        </w:rPr>
      </w:pPr>
      <w:hyperlink w:anchor="_Toc34337542" w:history="1">
        <w:r w:rsidR="009A39E2" w:rsidRPr="00BC57A2">
          <w:rPr>
            <w:rStyle w:val="Hipervnculo"/>
            <w:rFonts w:ascii="Verdana" w:hAnsi="Verdana"/>
            <w:i/>
            <w:noProof/>
            <w:color w:val="auto"/>
            <w:sz w:val="18"/>
            <w:szCs w:val="18"/>
          </w:rPr>
          <w:t>A)</w:t>
        </w:r>
        <w:r w:rsidR="00BC57A2" w:rsidRPr="00BC57A2">
          <w:rPr>
            <w:rStyle w:val="Hipervnculo"/>
            <w:rFonts w:ascii="Verdana" w:hAnsi="Verdana"/>
            <w:i/>
            <w:noProof/>
            <w:color w:val="auto"/>
            <w:sz w:val="18"/>
            <w:szCs w:val="18"/>
          </w:rPr>
          <w:t xml:space="preserve"> </w:t>
        </w:r>
        <w:r w:rsidR="009A39E2" w:rsidRPr="00BC57A2">
          <w:rPr>
            <w:rStyle w:val="Hipervnculo"/>
            <w:rFonts w:ascii="Verdana" w:hAnsi="Verdana"/>
            <w:i/>
            <w:noProof/>
            <w:color w:val="auto"/>
            <w:sz w:val="18"/>
            <w:szCs w:val="18"/>
          </w:rPr>
          <w:t>Consideraciones generales sobre la propiedad comunitaria</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_Toc34337542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35</w:t>
        </w:r>
        <w:r w:rsidR="009A39E2" w:rsidRPr="00BC57A2">
          <w:rPr>
            <w:rFonts w:ascii="Verdana" w:hAnsi="Verdana"/>
            <w:noProof/>
            <w:webHidden/>
            <w:sz w:val="18"/>
            <w:szCs w:val="18"/>
          </w:rPr>
          <w:fldChar w:fldCharType="end"/>
        </w:r>
      </w:hyperlink>
    </w:p>
    <w:p w14:paraId="3D9FA3AD" w14:textId="565A927B" w:rsidR="009A39E2" w:rsidRPr="00BC57A2" w:rsidRDefault="007C0830" w:rsidP="009A39E2">
      <w:pPr>
        <w:pStyle w:val="TDC2"/>
        <w:rPr>
          <w:rFonts w:ascii="Verdana" w:eastAsiaTheme="minorEastAsia" w:hAnsi="Verdana"/>
          <w:b w:val="0"/>
          <w:bCs w:val="0"/>
          <w:noProof/>
          <w:sz w:val="18"/>
          <w:szCs w:val="18"/>
          <w:lang w:val="es-CR" w:eastAsia="es-CR"/>
        </w:rPr>
      </w:pPr>
      <w:hyperlink w:anchor="_Toc34337543" w:history="1">
        <w:r w:rsidR="009A39E2" w:rsidRPr="00BC57A2">
          <w:rPr>
            <w:rStyle w:val="Hipervnculo"/>
            <w:rFonts w:ascii="Verdana" w:hAnsi="Verdana"/>
            <w:i/>
            <w:noProof/>
            <w:color w:val="auto"/>
            <w:sz w:val="18"/>
            <w:szCs w:val="18"/>
          </w:rPr>
          <w:t>B)</w:t>
        </w:r>
        <w:r w:rsidR="00BC57A2" w:rsidRPr="00BC57A2">
          <w:rPr>
            <w:rStyle w:val="Hipervnculo"/>
            <w:rFonts w:ascii="Verdana" w:hAnsi="Verdana"/>
            <w:i/>
            <w:noProof/>
            <w:color w:val="auto"/>
            <w:sz w:val="18"/>
            <w:szCs w:val="18"/>
          </w:rPr>
          <w:t xml:space="preserve"> </w:t>
        </w:r>
        <w:r w:rsidR="009A39E2" w:rsidRPr="00BC57A2">
          <w:rPr>
            <w:rStyle w:val="Hipervnculo"/>
            <w:rFonts w:ascii="Verdana" w:hAnsi="Verdana"/>
            <w:i/>
            <w:noProof/>
            <w:color w:val="auto"/>
            <w:sz w:val="18"/>
            <w:szCs w:val="18"/>
          </w:rPr>
          <w:t>Reconocimiento y determinación de la propiedad comunitaria</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_Toc34337543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39</w:t>
        </w:r>
        <w:r w:rsidR="009A39E2" w:rsidRPr="00BC57A2">
          <w:rPr>
            <w:rFonts w:ascii="Verdana" w:hAnsi="Verdana"/>
            <w:noProof/>
            <w:webHidden/>
            <w:sz w:val="18"/>
            <w:szCs w:val="18"/>
          </w:rPr>
          <w:fldChar w:fldCharType="end"/>
        </w:r>
      </w:hyperlink>
    </w:p>
    <w:p w14:paraId="3056EBDB" w14:textId="31B8E000" w:rsidR="009A39E2" w:rsidRPr="00BC57A2" w:rsidRDefault="007C0830" w:rsidP="009A39E2">
      <w:pPr>
        <w:pStyle w:val="TDC3"/>
        <w:tabs>
          <w:tab w:val="right" w:leader="dot" w:pos="8828"/>
        </w:tabs>
        <w:jc w:val="both"/>
        <w:rPr>
          <w:rFonts w:ascii="Verdana" w:eastAsiaTheme="minorEastAsia" w:hAnsi="Verdana"/>
          <w:noProof/>
          <w:sz w:val="18"/>
          <w:szCs w:val="18"/>
          <w:lang w:val="es-CR" w:eastAsia="es-CR"/>
        </w:rPr>
      </w:pPr>
      <w:hyperlink w:anchor="_Toc34337544" w:history="1">
        <w:r w:rsidR="009A39E2" w:rsidRPr="00BC57A2">
          <w:rPr>
            <w:rStyle w:val="Hipervnculo"/>
            <w:rFonts w:ascii="Verdana" w:hAnsi="Verdana"/>
            <w:b/>
            <w:i/>
            <w:noProof/>
            <w:color w:val="auto"/>
            <w:sz w:val="18"/>
            <w:szCs w:val="18"/>
          </w:rPr>
          <w:t>B.1 Argumentos de la Comisión y de las partes</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_Toc34337544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40</w:t>
        </w:r>
        <w:r w:rsidR="009A39E2" w:rsidRPr="00BC57A2">
          <w:rPr>
            <w:rFonts w:ascii="Verdana" w:hAnsi="Verdana"/>
            <w:noProof/>
            <w:webHidden/>
            <w:sz w:val="18"/>
            <w:szCs w:val="18"/>
          </w:rPr>
          <w:fldChar w:fldCharType="end"/>
        </w:r>
      </w:hyperlink>
    </w:p>
    <w:p w14:paraId="11A2F964" w14:textId="7E847F8D" w:rsidR="009A39E2" w:rsidRPr="00BC57A2" w:rsidRDefault="007C0830" w:rsidP="009A39E2">
      <w:pPr>
        <w:pStyle w:val="TDC3"/>
        <w:tabs>
          <w:tab w:val="right" w:leader="dot" w:pos="8828"/>
        </w:tabs>
        <w:jc w:val="both"/>
        <w:rPr>
          <w:rFonts w:ascii="Verdana" w:eastAsiaTheme="minorEastAsia" w:hAnsi="Verdana"/>
          <w:noProof/>
          <w:sz w:val="18"/>
          <w:szCs w:val="18"/>
          <w:lang w:val="es-CR" w:eastAsia="es-CR"/>
        </w:rPr>
      </w:pPr>
      <w:hyperlink w:anchor="_Toc34337545" w:history="1">
        <w:r w:rsidR="009A39E2" w:rsidRPr="00BC57A2">
          <w:rPr>
            <w:rStyle w:val="Hipervnculo"/>
            <w:rFonts w:ascii="Verdana" w:hAnsi="Verdana"/>
            <w:b/>
            <w:i/>
            <w:noProof/>
            <w:color w:val="auto"/>
            <w:sz w:val="18"/>
            <w:szCs w:val="18"/>
          </w:rPr>
          <w:t>B.2 Consideraciones de la Corte</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_Toc34337545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44</w:t>
        </w:r>
        <w:r w:rsidR="009A39E2" w:rsidRPr="00BC57A2">
          <w:rPr>
            <w:rFonts w:ascii="Verdana" w:hAnsi="Verdana"/>
            <w:noProof/>
            <w:webHidden/>
            <w:sz w:val="18"/>
            <w:szCs w:val="18"/>
          </w:rPr>
          <w:fldChar w:fldCharType="end"/>
        </w:r>
      </w:hyperlink>
    </w:p>
    <w:p w14:paraId="34463A16" w14:textId="6E1773A8" w:rsidR="009A39E2" w:rsidRPr="00BC57A2" w:rsidRDefault="007C0830" w:rsidP="009A39E2">
      <w:pPr>
        <w:pStyle w:val="TDC4"/>
        <w:tabs>
          <w:tab w:val="right" w:leader="dot" w:pos="8828"/>
        </w:tabs>
        <w:jc w:val="both"/>
        <w:rPr>
          <w:rFonts w:ascii="Verdana" w:eastAsiaTheme="minorEastAsia" w:hAnsi="Verdana"/>
          <w:noProof/>
          <w:sz w:val="18"/>
          <w:szCs w:val="18"/>
          <w:lang w:val="es-CR" w:eastAsia="es-CR"/>
        </w:rPr>
      </w:pPr>
      <w:hyperlink w:anchor="_Toc34337546" w:history="1">
        <w:r w:rsidR="009A39E2" w:rsidRPr="00BC57A2">
          <w:rPr>
            <w:rStyle w:val="Hipervnculo"/>
            <w:rFonts w:ascii="Verdana" w:hAnsi="Verdana"/>
            <w:i/>
            <w:noProof/>
            <w:color w:val="auto"/>
            <w:sz w:val="18"/>
            <w:szCs w:val="18"/>
          </w:rPr>
          <w:t>B.2.1 Aclaración sobre los actos estatales en el caso y el examen correspondiente</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_Toc34337546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44</w:t>
        </w:r>
        <w:r w:rsidR="009A39E2" w:rsidRPr="00BC57A2">
          <w:rPr>
            <w:rFonts w:ascii="Verdana" w:hAnsi="Verdana"/>
            <w:noProof/>
            <w:webHidden/>
            <w:sz w:val="18"/>
            <w:szCs w:val="18"/>
          </w:rPr>
          <w:fldChar w:fldCharType="end"/>
        </w:r>
      </w:hyperlink>
    </w:p>
    <w:p w14:paraId="052F1FC8" w14:textId="2C4C3DA7" w:rsidR="009A39E2" w:rsidRPr="00BC57A2" w:rsidRDefault="007C0830" w:rsidP="009A39E2">
      <w:pPr>
        <w:pStyle w:val="TDC4"/>
        <w:tabs>
          <w:tab w:val="right" w:leader="dot" w:pos="8828"/>
        </w:tabs>
        <w:jc w:val="both"/>
        <w:rPr>
          <w:rFonts w:ascii="Verdana" w:eastAsiaTheme="minorEastAsia" w:hAnsi="Verdana"/>
          <w:noProof/>
          <w:sz w:val="18"/>
          <w:szCs w:val="18"/>
          <w:lang w:val="es-CR" w:eastAsia="es-CR"/>
        </w:rPr>
      </w:pPr>
      <w:hyperlink w:anchor="_Toc34337547" w:history="1">
        <w:r w:rsidR="009A39E2" w:rsidRPr="00BC57A2">
          <w:rPr>
            <w:rStyle w:val="Hipervnculo"/>
            <w:rFonts w:ascii="Verdana" w:hAnsi="Verdana" w:cs="Tahoma"/>
            <w:i/>
            <w:noProof/>
            <w:color w:val="auto"/>
            <w:sz w:val="18"/>
            <w:szCs w:val="18"/>
          </w:rPr>
          <w:t>B.2.2 Actos realizados para el reconocimiento de la propiedad</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_Toc34337547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46</w:t>
        </w:r>
        <w:r w:rsidR="009A39E2" w:rsidRPr="00BC57A2">
          <w:rPr>
            <w:rFonts w:ascii="Verdana" w:hAnsi="Verdana"/>
            <w:noProof/>
            <w:webHidden/>
            <w:sz w:val="18"/>
            <w:szCs w:val="18"/>
          </w:rPr>
          <w:fldChar w:fldCharType="end"/>
        </w:r>
      </w:hyperlink>
    </w:p>
    <w:p w14:paraId="7BE30190" w14:textId="26CBE2A8" w:rsidR="009A39E2" w:rsidRPr="00BC57A2" w:rsidRDefault="007C0830" w:rsidP="009A39E2">
      <w:pPr>
        <w:pStyle w:val="TDC5"/>
        <w:tabs>
          <w:tab w:val="right" w:leader="dot" w:pos="8828"/>
        </w:tabs>
        <w:jc w:val="both"/>
        <w:rPr>
          <w:rFonts w:ascii="Verdana" w:eastAsiaTheme="minorEastAsia" w:hAnsi="Verdana"/>
          <w:noProof/>
          <w:sz w:val="18"/>
          <w:szCs w:val="18"/>
          <w:lang w:val="es-CR" w:eastAsia="es-CR"/>
        </w:rPr>
      </w:pPr>
      <w:hyperlink w:anchor="_Toc34337548" w:history="1">
        <w:r w:rsidR="009A39E2" w:rsidRPr="00BC57A2">
          <w:rPr>
            <w:rStyle w:val="Hipervnculo"/>
            <w:rFonts w:ascii="Verdana" w:hAnsi="Verdana"/>
            <w:i/>
            <w:noProof/>
            <w:color w:val="auto"/>
            <w:sz w:val="18"/>
            <w:szCs w:val="18"/>
          </w:rPr>
          <w:t>B.2.2.1 Antes de 1999</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_Toc34337548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46</w:t>
        </w:r>
        <w:r w:rsidR="009A39E2" w:rsidRPr="00BC57A2">
          <w:rPr>
            <w:rFonts w:ascii="Verdana" w:hAnsi="Verdana"/>
            <w:noProof/>
            <w:webHidden/>
            <w:sz w:val="18"/>
            <w:szCs w:val="18"/>
          </w:rPr>
          <w:fldChar w:fldCharType="end"/>
        </w:r>
      </w:hyperlink>
    </w:p>
    <w:p w14:paraId="4EBFDD35" w14:textId="33DCDEB3" w:rsidR="009A39E2" w:rsidRPr="00BC57A2" w:rsidRDefault="007C0830" w:rsidP="009A39E2">
      <w:pPr>
        <w:pStyle w:val="TDC5"/>
        <w:tabs>
          <w:tab w:val="right" w:leader="dot" w:pos="8828"/>
        </w:tabs>
        <w:jc w:val="both"/>
        <w:rPr>
          <w:rFonts w:ascii="Verdana" w:eastAsiaTheme="minorEastAsia" w:hAnsi="Verdana"/>
          <w:noProof/>
          <w:sz w:val="18"/>
          <w:szCs w:val="18"/>
          <w:lang w:val="es-CR" w:eastAsia="es-CR"/>
        </w:rPr>
      </w:pPr>
      <w:hyperlink w:anchor="_Toc34337549" w:history="1">
        <w:r w:rsidR="009A39E2" w:rsidRPr="00BC57A2">
          <w:rPr>
            <w:rStyle w:val="Hipervnculo"/>
            <w:rFonts w:ascii="Verdana" w:hAnsi="Verdana"/>
            <w:i/>
            <w:noProof/>
            <w:color w:val="auto"/>
            <w:sz w:val="18"/>
            <w:szCs w:val="18"/>
          </w:rPr>
          <w:t>B.2.2.2 Entre 1999 y 2004</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_Toc34337549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47</w:t>
        </w:r>
        <w:r w:rsidR="009A39E2" w:rsidRPr="00BC57A2">
          <w:rPr>
            <w:rFonts w:ascii="Verdana" w:hAnsi="Verdana"/>
            <w:noProof/>
            <w:webHidden/>
            <w:sz w:val="18"/>
            <w:szCs w:val="18"/>
          </w:rPr>
          <w:fldChar w:fldCharType="end"/>
        </w:r>
      </w:hyperlink>
    </w:p>
    <w:p w14:paraId="319629AC" w14:textId="42149280" w:rsidR="009A39E2" w:rsidRPr="00BC57A2" w:rsidRDefault="007C0830" w:rsidP="009A39E2">
      <w:pPr>
        <w:pStyle w:val="TDC5"/>
        <w:tabs>
          <w:tab w:val="right" w:leader="dot" w:pos="8828"/>
        </w:tabs>
        <w:jc w:val="both"/>
        <w:rPr>
          <w:rFonts w:ascii="Verdana" w:eastAsiaTheme="minorEastAsia" w:hAnsi="Verdana"/>
          <w:noProof/>
          <w:sz w:val="18"/>
          <w:szCs w:val="18"/>
          <w:lang w:val="es-CR" w:eastAsia="es-CR"/>
        </w:rPr>
      </w:pPr>
      <w:hyperlink w:anchor="_Toc34337550" w:history="1">
        <w:r w:rsidR="009A39E2" w:rsidRPr="00BC57A2">
          <w:rPr>
            <w:rStyle w:val="Hipervnculo"/>
            <w:rFonts w:ascii="Verdana" w:hAnsi="Verdana"/>
            <w:i/>
            <w:noProof/>
            <w:color w:val="auto"/>
            <w:sz w:val="18"/>
            <w:szCs w:val="18"/>
          </w:rPr>
          <w:t>B.2.2.3 2005 y 2006</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_Toc34337550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48</w:t>
        </w:r>
        <w:r w:rsidR="009A39E2" w:rsidRPr="00BC57A2">
          <w:rPr>
            <w:rFonts w:ascii="Verdana" w:hAnsi="Verdana"/>
            <w:noProof/>
            <w:webHidden/>
            <w:sz w:val="18"/>
            <w:szCs w:val="18"/>
          </w:rPr>
          <w:fldChar w:fldCharType="end"/>
        </w:r>
      </w:hyperlink>
    </w:p>
    <w:p w14:paraId="68C98924" w14:textId="34F4BB44" w:rsidR="009A39E2" w:rsidRPr="00BC57A2" w:rsidRDefault="007C0830" w:rsidP="009A39E2">
      <w:pPr>
        <w:pStyle w:val="TDC5"/>
        <w:tabs>
          <w:tab w:val="right" w:leader="dot" w:pos="8828"/>
        </w:tabs>
        <w:jc w:val="both"/>
        <w:rPr>
          <w:rFonts w:ascii="Verdana" w:eastAsiaTheme="minorEastAsia" w:hAnsi="Verdana"/>
          <w:noProof/>
          <w:sz w:val="18"/>
          <w:szCs w:val="18"/>
          <w:lang w:val="es-CR" w:eastAsia="es-CR"/>
        </w:rPr>
      </w:pPr>
      <w:hyperlink w:anchor="_Toc34337551" w:history="1">
        <w:r w:rsidR="009A39E2" w:rsidRPr="00BC57A2">
          <w:rPr>
            <w:rStyle w:val="Hipervnculo"/>
            <w:rFonts w:ascii="Verdana" w:hAnsi="Verdana" w:cs="Tahoma"/>
            <w:i/>
            <w:noProof/>
            <w:color w:val="auto"/>
            <w:sz w:val="18"/>
            <w:szCs w:val="18"/>
          </w:rPr>
          <w:t>B.2.2.4 El proceso de acuerdos a partir de 2007</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_Toc34337551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48</w:t>
        </w:r>
        <w:r w:rsidR="009A39E2" w:rsidRPr="00BC57A2">
          <w:rPr>
            <w:rFonts w:ascii="Verdana" w:hAnsi="Verdana"/>
            <w:noProof/>
            <w:webHidden/>
            <w:sz w:val="18"/>
            <w:szCs w:val="18"/>
          </w:rPr>
          <w:fldChar w:fldCharType="end"/>
        </w:r>
      </w:hyperlink>
    </w:p>
    <w:p w14:paraId="169F2C3B" w14:textId="20E24CD5" w:rsidR="009A39E2" w:rsidRPr="00BC57A2" w:rsidRDefault="007C0830" w:rsidP="009A39E2">
      <w:pPr>
        <w:pStyle w:val="TDC6"/>
        <w:tabs>
          <w:tab w:val="right" w:leader="dot" w:pos="8828"/>
        </w:tabs>
        <w:jc w:val="both"/>
        <w:rPr>
          <w:rFonts w:ascii="Verdana" w:eastAsiaTheme="minorEastAsia" w:hAnsi="Verdana"/>
          <w:noProof/>
          <w:sz w:val="18"/>
          <w:szCs w:val="18"/>
          <w:lang w:val="es-CR" w:eastAsia="es-CR"/>
        </w:rPr>
      </w:pPr>
      <w:hyperlink w:anchor="_Toc34337552" w:history="1">
        <w:r w:rsidR="009A39E2" w:rsidRPr="00BC57A2">
          <w:rPr>
            <w:rStyle w:val="Hipervnculo"/>
            <w:rFonts w:ascii="Verdana" w:hAnsi="Verdana"/>
            <w:noProof/>
            <w:color w:val="auto"/>
            <w:sz w:val="18"/>
            <w:szCs w:val="18"/>
          </w:rPr>
          <w:t>B.2.2.4.1 El diálogo con la población criolla</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_Toc34337552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49</w:t>
        </w:r>
        <w:r w:rsidR="009A39E2" w:rsidRPr="00BC57A2">
          <w:rPr>
            <w:rFonts w:ascii="Verdana" w:hAnsi="Verdana"/>
            <w:noProof/>
            <w:webHidden/>
            <w:sz w:val="18"/>
            <w:szCs w:val="18"/>
          </w:rPr>
          <w:fldChar w:fldCharType="end"/>
        </w:r>
      </w:hyperlink>
    </w:p>
    <w:p w14:paraId="73709A76" w14:textId="32FF6574" w:rsidR="009A39E2" w:rsidRPr="00BC57A2" w:rsidRDefault="007C0830" w:rsidP="009A39E2">
      <w:pPr>
        <w:pStyle w:val="TDC6"/>
        <w:tabs>
          <w:tab w:val="right" w:leader="dot" w:pos="8828"/>
        </w:tabs>
        <w:jc w:val="both"/>
        <w:rPr>
          <w:rFonts w:ascii="Verdana" w:eastAsiaTheme="minorEastAsia" w:hAnsi="Verdana"/>
          <w:noProof/>
          <w:sz w:val="18"/>
          <w:szCs w:val="18"/>
          <w:lang w:val="es-CR" w:eastAsia="es-CR"/>
        </w:rPr>
      </w:pPr>
      <w:hyperlink w:anchor="_Toc34337553" w:history="1">
        <w:r w:rsidR="009A39E2" w:rsidRPr="00BC57A2">
          <w:rPr>
            <w:rStyle w:val="Hipervnculo"/>
            <w:rFonts w:ascii="Verdana" w:hAnsi="Verdana"/>
            <w:noProof/>
            <w:color w:val="auto"/>
            <w:sz w:val="18"/>
            <w:szCs w:val="18"/>
          </w:rPr>
          <w:t>B.2.2.4.2 El proceso seguido en el caso</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_Toc34337553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50</w:t>
        </w:r>
        <w:r w:rsidR="009A39E2" w:rsidRPr="00BC57A2">
          <w:rPr>
            <w:rFonts w:ascii="Verdana" w:hAnsi="Verdana"/>
            <w:noProof/>
            <w:webHidden/>
            <w:sz w:val="18"/>
            <w:szCs w:val="18"/>
          </w:rPr>
          <w:fldChar w:fldCharType="end"/>
        </w:r>
      </w:hyperlink>
    </w:p>
    <w:p w14:paraId="41E2A890" w14:textId="645AB29D" w:rsidR="009A39E2" w:rsidRPr="00BC57A2" w:rsidRDefault="007C0830" w:rsidP="009A39E2">
      <w:pPr>
        <w:pStyle w:val="TDC4"/>
        <w:tabs>
          <w:tab w:val="right" w:leader="dot" w:pos="8828"/>
        </w:tabs>
        <w:jc w:val="both"/>
        <w:rPr>
          <w:rFonts w:ascii="Verdana" w:eastAsiaTheme="minorEastAsia" w:hAnsi="Verdana"/>
          <w:noProof/>
          <w:sz w:val="18"/>
          <w:szCs w:val="18"/>
          <w:lang w:val="es-CR" w:eastAsia="es-CR"/>
        </w:rPr>
      </w:pPr>
      <w:hyperlink w:anchor="_Toc34337554" w:history="1">
        <w:r w:rsidR="009A39E2" w:rsidRPr="00BC57A2">
          <w:rPr>
            <w:rStyle w:val="Hipervnculo"/>
            <w:rFonts w:ascii="Verdana" w:hAnsi="Verdana" w:cs="Tahoma"/>
            <w:i/>
            <w:noProof/>
            <w:color w:val="auto"/>
            <w:sz w:val="18"/>
            <w:szCs w:val="18"/>
          </w:rPr>
          <w:t>B.2.3 Evaluación de la conducta estatal seguida</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_Toc34337554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53</w:t>
        </w:r>
        <w:r w:rsidR="009A39E2" w:rsidRPr="00BC57A2">
          <w:rPr>
            <w:rFonts w:ascii="Verdana" w:hAnsi="Verdana"/>
            <w:noProof/>
            <w:webHidden/>
            <w:sz w:val="18"/>
            <w:szCs w:val="18"/>
          </w:rPr>
          <w:fldChar w:fldCharType="end"/>
        </w:r>
      </w:hyperlink>
    </w:p>
    <w:p w14:paraId="2F69745B" w14:textId="6EC32855" w:rsidR="009A39E2" w:rsidRPr="00BC57A2" w:rsidRDefault="007C0830" w:rsidP="009A39E2">
      <w:pPr>
        <w:pStyle w:val="TDC5"/>
        <w:tabs>
          <w:tab w:val="right" w:leader="dot" w:pos="8828"/>
        </w:tabs>
        <w:jc w:val="both"/>
        <w:rPr>
          <w:rFonts w:ascii="Verdana" w:eastAsiaTheme="minorEastAsia" w:hAnsi="Verdana"/>
          <w:noProof/>
          <w:sz w:val="18"/>
          <w:szCs w:val="18"/>
          <w:lang w:val="es-CR" w:eastAsia="es-CR"/>
        </w:rPr>
      </w:pPr>
      <w:hyperlink w:anchor="_Toc34337555" w:history="1">
        <w:r w:rsidR="009A39E2" w:rsidRPr="00BC57A2">
          <w:rPr>
            <w:rStyle w:val="Hipervnculo"/>
            <w:rFonts w:ascii="Verdana" w:hAnsi="Verdana" w:cs="Tahoma"/>
            <w:i/>
            <w:noProof/>
            <w:color w:val="auto"/>
            <w:sz w:val="18"/>
            <w:szCs w:val="18"/>
          </w:rPr>
          <w:t>B.2.3.1 Aducida afectación a la personalidad jurídica en el caso</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_Toc34337555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54</w:t>
        </w:r>
        <w:r w:rsidR="009A39E2" w:rsidRPr="00BC57A2">
          <w:rPr>
            <w:rFonts w:ascii="Verdana" w:hAnsi="Verdana"/>
            <w:noProof/>
            <w:webHidden/>
            <w:sz w:val="18"/>
            <w:szCs w:val="18"/>
          </w:rPr>
          <w:fldChar w:fldCharType="end"/>
        </w:r>
      </w:hyperlink>
    </w:p>
    <w:p w14:paraId="7BA18AF1" w14:textId="2A08FF11" w:rsidR="009A39E2" w:rsidRPr="00BC57A2" w:rsidRDefault="007C0830" w:rsidP="009A39E2">
      <w:pPr>
        <w:pStyle w:val="TDC5"/>
        <w:tabs>
          <w:tab w:val="right" w:leader="dot" w:pos="8828"/>
        </w:tabs>
        <w:jc w:val="both"/>
        <w:rPr>
          <w:rFonts w:ascii="Verdana" w:eastAsiaTheme="minorEastAsia" w:hAnsi="Verdana"/>
          <w:noProof/>
          <w:sz w:val="18"/>
          <w:szCs w:val="18"/>
          <w:lang w:val="es-CR" w:eastAsia="es-CR"/>
        </w:rPr>
      </w:pPr>
      <w:hyperlink w:anchor="_Toc34337556" w:history="1">
        <w:r w:rsidR="009A39E2" w:rsidRPr="00BC57A2">
          <w:rPr>
            <w:rStyle w:val="Hipervnculo"/>
            <w:rFonts w:ascii="Verdana" w:hAnsi="Verdana" w:cs="Tahoma"/>
            <w:i/>
            <w:noProof/>
            <w:color w:val="auto"/>
            <w:sz w:val="18"/>
            <w:szCs w:val="18"/>
          </w:rPr>
          <w:t>B.2.3.2 Incidencia del derecho interno</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_Toc34337556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55</w:t>
        </w:r>
        <w:r w:rsidR="009A39E2" w:rsidRPr="00BC57A2">
          <w:rPr>
            <w:rFonts w:ascii="Verdana" w:hAnsi="Verdana"/>
            <w:noProof/>
            <w:webHidden/>
            <w:sz w:val="18"/>
            <w:szCs w:val="18"/>
          </w:rPr>
          <w:fldChar w:fldCharType="end"/>
        </w:r>
      </w:hyperlink>
    </w:p>
    <w:p w14:paraId="7F5C2F1E" w14:textId="1BDDF581" w:rsidR="009A39E2" w:rsidRPr="00BC57A2" w:rsidRDefault="007C0830" w:rsidP="009A39E2">
      <w:pPr>
        <w:pStyle w:val="TDC5"/>
        <w:tabs>
          <w:tab w:val="right" w:leader="dot" w:pos="8828"/>
        </w:tabs>
        <w:jc w:val="both"/>
        <w:rPr>
          <w:rFonts w:ascii="Verdana" w:eastAsiaTheme="minorEastAsia" w:hAnsi="Verdana"/>
          <w:noProof/>
          <w:sz w:val="18"/>
          <w:szCs w:val="18"/>
          <w:lang w:val="es-CR" w:eastAsia="es-CR"/>
        </w:rPr>
      </w:pPr>
      <w:hyperlink w:anchor="_Toc34337557" w:history="1">
        <w:r w:rsidR="009A39E2" w:rsidRPr="00BC57A2">
          <w:rPr>
            <w:rStyle w:val="Hipervnculo"/>
            <w:rFonts w:ascii="Verdana" w:hAnsi="Verdana" w:cs="Tahoma"/>
            <w:i/>
            <w:noProof/>
            <w:color w:val="auto"/>
            <w:sz w:val="18"/>
            <w:szCs w:val="18"/>
          </w:rPr>
          <w:t>B.2.3.3 Conclusión sobre el reconocimiento y determinación de la propiedad</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_Toc34337557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58</w:t>
        </w:r>
        <w:r w:rsidR="009A39E2" w:rsidRPr="00BC57A2">
          <w:rPr>
            <w:rFonts w:ascii="Verdana" w:hAnsi="Verdana"/>
            <w:noProof/>
            <w:webHidden/>
            <w:sz w:val="18"/>
            <w:szCs w:val="18"/>
          </w:rPr>
          <w:fldChar w:fldCharType="end"/>
        </w:r>
      </w:hyperlink>
    </w:p>
    <w:p w14:paraId="0E887D93" w14:textId="4143FE14" w:rsidR="009A39E2" w:rsidRPr="00BC57A2" w:rsidRDefault="007C0830" w:rsidP="009A39E2">
      <w:pPr>
        <w:pStyle w:val="TDC2"/>
        <w:rPr>
          <w:rFonts w:ascii="Verdana" w:eastAsiaTheme="minorEastAsia" w:hAnsi="Verdana"/>
          <w:b w:val="0"/>
          <w:bCs w:val="0"/>
          <w:noProof/>
          <w:sz w:val="18"/>
          <w:szCs w:val="18"/>
          <w:lang w:val="es-CR" w:eastAsia="es-CR"/>
        </w:rPr>
      </w:pPr>
      <w:hyperlink w:anchor="_Toc34337558" w:history="1">
        <w:r w:rsidR="009A39E2" w:rsidRPr="00BC57A2">
          <w:rPr>
            <w:rStyle w:val="Hipervnculo"/>
            <w:rFonts w:ascii="Verdana" w:hAnsi="Verdana"/>
            <w:i/>
            <w:noProof/>
            <w:color w:val="auto"/>
            <w:sz w:val="18"/>
            <w:szCs w:val="18"/>
          </w:rPr>
          <w:t>C)</w:t>
        </w:r>
        <w:r w:rsidR="00BC57A2" w:rsidRPr="00BC57A2">
          <w:rPr>
            <w:rStyle w:val="Hipervnculo"/>
            <w:rFonts w:ascii="Verdana" w:hAnsi="Verdana"/>
            <w:i/>
            <w:noProof/>
            <w:color w:val="auto"/>
            <w:sz w:val="18"/>
            <w:szCs w:val="18"/>
          </w:rPr>
          <w:t xml:space="preserve"> </w:t>
        </w:r>
        <w:r w:rsidR="009A39E2" w:rsidRPr="00BC57A2">
          <w:rPr>
            <w:rStyle w:val="Hipervnculo"/>
            <w:rFonts w:ascii="Verdana" w:hAnsi="Verdana"/>
            <w:i/>
            <w:noProof/>
            <w:color w:val="auto"/>
            <w:sz w:val="18"/>
            <w:szCs w:val="18"/>
          </w:rPr>
          <w:t>Derecho a la participación en relación con proyectos u obras sobre la propiedad comunitaria</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_Toc34337558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59</w:t>
        </w:r>
        <w:r w:rsidR="009A39E2" w:rsidRPr="00BC57A2">
          <w:rPr>
            <w:rFonts w:ascii="Verdana" w:hAnsi="Verdana"/>
            <w:noProof/>
            <w:webHidden/>
            <w:sz w:val="18"/>
            <w:szCs w:val="18"/>
          </w:rPr>
          <w:fldChar w:fldCharType="end"/>
        </w:r>
      </w:hyperlink>
    </w:p>
    <w:p w14:paraId="254624A1" w14:textId="3DDFB5BF" w:rsidR="009A39E2" w:rsidRPr="00BC57A2" w:rsidRDefault="007C0830" w:rsidP="009A39E2">
      <w:pPr>
        <w:pStyle w:val="TDC3"/>
        <w:tabs>
          <w:tab w:val="right" w:leader="dot" w:pos="8828"/>
        </w:tabs>
        <w:jc w:val="both"/>
        <w:rPr>
          <w:rFonts w:ascii="Verdana" w:eastAsiaTheme="minorEastAsia" w:hAnsi="Verdana"/>
          <w:noProof/>
          <w:sz w:val="18"/>
          <w:szCs w:val="18"/>
          <w:lang w:val="es-CR" w:eastAsia="es-CR"/>
        </w:rPr>
      </w:pPr>
      <w:hyperlink w:anchor="_Toc34337559" w:history="1">
        <w:r w:rsidR="009A39E2" w:rsidRPr="00BC57A2">
          <w:rPr>
            <w:rStyle w:val="Hipervnculo"/>
            <w:rFonts w:ascii="Verdana" w:hAnsi="Verdana" w:cs="Tahoma"/>
            <w:b/>
            <w:i/>
            <w:noProof/>
            <w:color w:val="auto"/>
            <w:sz w:val="18"/>
            <w:szCs w:val="18"/>
          </w:rPr>
          <w:t>C.1 Argumentos de la Comisión y de las partes</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_Toc34337559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59</w:t>
        </w:r>
        <w:r w:rsidR="009A39E2" w:rsidRPr="00BC57A2">
          <w:rPr>
            <w:rFonts w:ascii="Verdana" w:hAnsi="Verdana"/>
            <w:noProof/>
            <w:webHidden/>
            <w:sz w:val="18"/>
            <w:szCs w:val="18"/>
          </w:rPr>
          <w:fldChar w:fldCharType="end"/>
        </w:r>
      </w:hyperlink>
    </w:p>
    <w:p w14:paraId="0EF7FF1F" w14:textId="69CCEFF4" w:rsidR="009A39E2" w:rsidRPr="00BC57A2" w:rsidRDefault="007C0830" w:rsidP="009A39E2">
      <w:pPr>
        <w:pStyle w:val="TDC3"/>
        <w:tabs>
          <w:tab w:val="right" w:leader="dot" w:pos="8828"/>
        </w:tabs>
        <w:jc w:val="both"/>
        <w:rPr>
          <w:rFonts w:ascii="Verdana" w:eastAsiaTheme="minorEastAsia" w:hAnsi="Verdana"/>
          <w:noProof/>
          <w:sz w:val="18"/>
          <w:szCs w:val="18"/>
          <w:lang w:val="es-CR" w:eastAsia="es-CR"/>
        </w:rPr>
      </w:pPr>
      <w:hyperlink w:anchor="_Toc34337560" w:history="1">
        <w:r w:rsidR="009A39E2" w:rsidRPr="00BC57A2">
          <w:rPr>
            <w:rStyle w:val="Hipervnculo"/>
            <w:rFonts w:ascii="Verdana" w:hAnsi="Verdana" w:cs="Tahoma"/>
            <w:b/>
            <w:i/>
            <w:noProof/>
            <w:color w:val="auto"/>
            <w:sz w:val="18"/>
            <w:szCs w:val="18"/>
          </w:rPr>
          <w:t>C.2 Consideraciones de la Corte</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_Toc34337560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60</w:t>
        </w:r>
        <w:r w:rsidR="009A39E2" w:rsidRPr="00BC57A2">
          <w:rPr>
            <w:rFonts w:ascii="Verdana" w:hAnsi="Verdana"/>
            <w:noProof/>
            <w:webHidden/>
            <w:sz w:val="18"/>
            <w:szCs w:val="18"/>
          </w:rPr>
          <w:fldChar w:fldCharType="end"/>
        </w:r>
      </w:hyperlink>
    </w:p>
    <w:p w14:paraId="5B02F870" w14:textId="06FD463D" w:rsidR="009A39E2" w:rsidRPr="00BC57A2" w:rsidRDefault="007C0830" w:rsidP="009A39E2">
      <w:pPr>
        <w:pStyle w:val="TDC4"/>
        <w:tabs>
          <w:tab w:val="right" w:leader="dot" w:pos="8828"/>
        </w:tabs>
        <w:jc w:val="both"/>
        <w:rPr>
          <w:rFonts w:ascii="Verdana" w:eastAsiaTheme="minorEastAsia" w:hAnsi="Verdana"/>
          <w:noProof/>
          <w:sz w:val="18"/>
          <w:szCs w:val="18"/>
          <w:lang w:val="es-CR" w:eastAsia="es-CR"/>
        </w:rPr>
      </w:pPr>
      <w:hyperlink w:anchor="_Toc34337561" w:history="1">
        <w:r w:rsidR="009A39E2" w:rsidRPr="00BC57A2">
          <w:rPr>
            <w:rStyle w:val="Hipervnculo"/>
            <w:rFonts w:ascii="Verdana" w:hAnsi="Verdana"/>
            <w:i/>
            <w:noProof/>
            <w:color w:val="auto"/>
            <w:sz w:val="18"/>
            <w:szCs w:val="18"/>
          </w:rPr>
          <w:t>C.2.1 Ruta provincial 54</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_Toc34337561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62</w:t>
        </w:r>
        <w:r w:rsidR="009A39E2" w:rsidRPr="00BC57A2">
          <w:rPr>
            <w:rFonts w:ascii="Verdana" w:hAnsi="Verdana"/>
            <w:noProof/>
            <w:webHidden/>
            <w:sz w:val="18"/>
            <w:szCs w:val="18"/>
          </w:rPr>
          <w:fldChar w:fldCharType="end"/>
        </w:r>
      </w:hyperlink>
    </w:p>
    <w:p w14:paraId="1C01D906" w14:textId="64E7001B" w:rsidR="009A39E2" w:rsidRPr="00BC57A2" w:rsidRDefault="007C0830" w:rsidP="009A39E2">
      <w:pPr>
        <w:pStyle w:val="TDC4"/>
        <w:tabs>
          <w:tab w:val="right" w:leader="dot" w:pos="8828"/>
        </w:tabs>
        <w:jc w:val="both"/>
        <w:rPr>
          <w:rFonts w:ascii="Verdana" w:eastAsiaTheme="minorEastAsia" w:hAnsi="Verdana"/>
          <w:noProof/>
          <w:sz w:val="18"/>
          <w:szCs w:val="18"/>
          <w:lang w:val="es-CR" w:eastAsia="es-CR"/>
        </w:rPr>
      </w:pPr>
      <w:hyperlink w:anchor="_Toc34337562" w:history="1">
        <w:r w:rsidR="009A39E2" w:rsidRPr="00BC57A2">
          <w:rPr>
            <w:rStyle w:val="Hipervnculo"/>
            <w:rFonts w:ascii="Verdana" w:hAnsi="Verdana"/>
            <w:i/>
            <w:noProof/>
            <w:color w:val="auto"/>
            <w:sz w:val="18"/>
            <w:szCs w:val="18"/>
          </w:rPr>
          <w:t>C.2.2 Puente internacional y obras conexas</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_Toc34337562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63</w:t>
        </w:r>
        <w:r w:rsidR="009A39E2" w:rsidRPr="00BC57A2">
          <w:rPr>
            <w:rFonts w:ascii="Verdana" w:hAnsi="Verdana"/>
            <w:noProof/>
            <w:webHidden/>
            <w:sz w:val="18"/>
            <w:szCs w:val="18"/>
          </w:rPr>
          <w:fldChar w:fldCharType="end"/>
        </w:r>
      </w:hyperlink>
    </w:p>
    <w:p w14:paraId="0DEF8A15" w14:textId="3BB92886" w:rsidR="009A39E2" w:rsidRPr="00BC57A2" w:rsidRDefault="007C0830" w:rsidP="009A39E2">
      <w:pPr>
        <w:pStyle w:val="TDC4"/>
        <w:tabs>
          <w:tab w:val="right" w:leader="dot" w:pos="8828"/>
        </w:tabs>
        <w:jc w:val="both"/>
        <w:rPr>
          <w:rFonts w:ascii="Verdana" w:eastAsiaTheme="minorEastAsia" w:hAnsi="Verdana"/>
          <w:noProof/>
          <w:sz w:val="18"/>
          <w:szCs w:val="18"/>
          <w:lang w:val="es-CR" w:eastAsia="es-CR"/>
        </w:rPr>
      </w:pPr>
      <w:hyperlink w:anchor="_Toc34337563" w:history="1">
        <w:r w:rsidR="009A39E2" w:rsidRPr="00BC57A2">
          <w:rPr>
            <w:rStyle w:val="Hipervnculo"/>
            <w:rFonts w:ascii="Verdana" w:hAnsi="Verdana"/>
            <w:i/>
            <w:noProof/>
            <w:color w:val="auto"/>
            <w:sz w:val="18"/>
            <w:szCs w:val="18"/>
          </w:rPr>
          <w:t>C.2.3 Conclusión</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_Toc34337563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64</w:t>
        </w:r>
        <w:r w:rsidR="009A39E2" w:rsidRPr="00BC57A2">
          <w:rPr>
            <w:rFonts w:ascii="Verdana" w:hAnsi="Verdana"/>
            <w:noProof/>
            <w:webHidden/>
            <w:sz w:val="18"/>
            <w:szCs w:val="18"/>
          </w:rPr>
          <w:fldChar w:fldCharType="end"/>
        </w:r>
      </w:hyperlink>
    </w:p>
    <w:p w14:paraId="3991055F" w14:textId="77777777" w:rsidR="00BC57A2" w:rsidRDefault="00BC57A2" w:rsidP="00D1698B">
      <w:pPr>
        <w:pStyle w:val="TDC1"/>
        <w:rPr>
          <w:rStyle w:val="Hipervnculo"/>
          <w:rFonts w:ascii="Verdana" w:hAnsi="Verdana"/>
          <w:noProof/>
          <w:color w:val="auto"/>
          <w:sz w:val="18"/>
          <w:szCs w:val="18"/>
        </w:rPr>
      </w:pPr>
    </w:p>
    <w:p w14:paraId="0B87DAC4" w14:textId="4512037E" w:rsidR="009A39E2" w:rsidRPr="00BC57A2" w:rsidRDefault="007C0830" w:rsidP="00D1698B">
      <w:pPr>
        <w:pStyle w:val="TDC1"/>
        <w:rPr>
          <w:rFonts w:eastAsiaTheme="minorEastAsia"/>
          <w:noProof/>
          <w:lang w:val="es-CR" w:eastAsia="es-CR"/>
        </w:rPr>
      </w:pPr>
      <w:hyperlink w:anchor="_Toc34337564" w:history="1">
        <w:r w:rsidR="009A39E2" w:rsidRPr="00BC57A2">
          <w:rPr>
            <w:rStyle w:val="Hipervnculo"/>
            <w:rFonts w:ascii="Verdana" w:hAnsi="Verdana"/>
            <w:noProof/>
            <w:color w:val="auto"/>
            <w:sz w:val="18"/>
            <w:szCs w:val="18"/>
          </w:rPr>
          <w:t>VII.2</w:t>
        </w:r>
      </w:hyperlink>
      <w:r w:rsidR="009A39E2" w:rsidRPr="00BC57A2">
        <w:rPr>
          <w:rStyle w:val="Hipervnculo"/>
          <w:rFonts w:ascii="Verdana" w:hAnsi="Verdana"/>
          <w:noProof/>
          <w:color w:val="auto"/>
          <w:sz w:val="18"/>
          <w:szCs w:val="18"/>
          <w:u w:val="none"/>
        </w:rPr>
        <w:t xml:space="preserve"> </w:t>
      </w:r>
      <w:hyperlink w:anchor="_Toc34337565" w:history="1">
        <w:r w:rsidR="009A39E2" w:rsidRPr="00BC57A2">
          <w:rPr>
            <w:rStyle w:val="Hipervnculo"/>
            <w:rFonts w:ascii="Verdana" w:hAnsi="Verdana"/>
            <w:noProof/>
            <w:color w:val="auto"/>
            <w:sz w:val="18"/>
            <w:szCs w:val="18"/>
          </w:rPr>
          <w:t>DERECHOS DE CIRCULACIÓN Y DE RESIDENCIA, A UN MEDIO AMBIENTE SANO, A UNA ALIMENTACIÓN ADECUADA, AL AGUA Y A PARTICIPAR EN LA VIDA CULTURAL EN RELACIÓN CON LAS OBLIGACIONES DE RESPETAR Y GARANTIZAR LOS DERECHOS</w:t>
        </w:r>
        <w:r w:rsidR="009A39E2" w:rsidRPr="00BC57A2">
          <w:rPr>
            <w:noProof/>
            <w:webHidden/>
          </w:rPr>
          <w:tab/>
        </w:r>
        <w:r w:rsidR="009A39E2" w:rsidRPr="00BC57A2">
          <w:rPr>
            <w:noProof/>
            <w:webHidden/>
          </w:rPr>
          <w:fldChar w:fldCharType="begin"/>
        </w:r>
        <w:r w:rsidR="009A39E2" w:rsidRPr="00BC57A2">
          <w:rPr>
            <w:noProof/>
            <w:webHidden/>
          </w:rPr>
          <w:instrText xml:space="preserve"> PAGEREF _Toc34337565 \h </w:instrText>
        </w:r>
        <w:r w:rsidR="009A39E2" w:rsidRPr="00BC57A2">
          <w:rPr>
            <w:noProof/>
            <w:webHidden/>
          </w:rPr>
        </w:r>
        <w:r w:rsidR="009A39E2" w:rsidRPr="00BC57A2">
          <w:rPr>
            <w:noProof/>
            <w:webHidden/>
          </w:rPr>
          <w:fldChar w:fldCharType="separate"/>
        </w:r>
        <w:r w:rsidR="00F5089C">
          <w:rPr>
            <w:noProof/>
            <w:webHidden/>
          </w:rPr>
          <w:t>64</w:t>
        </w:r>
        <w:r w:rsidR="009A39E2" w:rsidRPr="00BC57A2">
          <w:rPr>
            <w:noProof/>
            <w:webHidden/>
          </w:rPr>
          <w:fldChar w:fldCharType="end"/>
        </w:r>
      </w:hyperlink>
    </w:p>
    <w:p w14:paraId="75E04F17" w14:textId="70979965" w:rsidR="009A39E2" w:rsidRPr="00BC57A2" w:rsidRDefault="007C0830" w:rsidP="009A39E2">
      <w:pPr>
        <w:pStyle w:val="TDC2"/>
        <w:rPr>
          <w:rFonts w:ascii="Verdana" w:eastAsiaTheme="minorEastAsia" w:hAnsi="Verdana"/>
          <w:b w:val="0"/>
          <w:bCs w:val="0"/>
          <w:noProof/>
          <w:sz w:val="18"/>
          <w:szCs w:val="18"/>
          <w:lang w:val="es-CR" w:eastAsia="es-CR"/>
        </w:rPr>
      </w:pPr>
      <w:hyperlink w:anchor="_Toc34337566" w:history="1">
        <w:r w:rsidR="009A39E2" w:rsidRPr="00BC57A2">
          <w:rPr>
            <w:rStyle w:val="Hipervnculo"/>
            <w:rFonts w:ascii="Verdana" w:hAnsi="Verdana"/>
            <w:i/>
            <w:noProof/>
            <w:color w:val="auto"/>
            <w:sz w:val="18"/>
            <w:szCs w:val="18"/>
          </w:rPr>
          <w:t>A)</w:t>
        </w:r>
        <w:r w:rsidR="00BC57A2" w:rsidRPr="00BC57A2">
          <w:rPr>
            <w:rStyle w:val="Hipervnculo"/>
            <w:rFonts w:ascii="Verdana" w:hAnsi="Verdana"/>
            <w:i/>
            <w:noProof/>
            <w:color w:val="auto"/>
            <w:sz w:val="18"/>
            <w:szCs w:val="18"/>
          </w:rPr>
          <w:t xml:space="preserve"> </w:t>
        </w:r>
        <w:r w:rsidR="009A39E2" w:rsidRPr="00BC57A2">
          <w:rPr>
            <w:rStyle w:val="Hipervnculo"/>
            <w:rFonts w:ascii="Verdana" w:hAnsi="Verdana"/>
            <w:i/>
            <w:noProof/>
            <w:color w:val="auto"/>
            <w:sz w:val="18"/>
            <w:szCs w:val="18"/>
          </w:rPr>
          <w:t>Argumentos de las partes</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_Toc34337566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64</w:t>
        </w:r>
        <w:r w:rsidR="009A39E2" w:rsidRPr="00BC57A2">
          <w:rPr>
            <w:rFonts w:ascii="Verdana" w:hAnsi="Verdana"/>
            <w:noProof/>
            <w:webHidden/>
            <w:sz w:val="18"/>
            <w:szCs w:val="18"/>
          </w:rPr>
          <w:fldChar w:fldCharType="end"/>
        </w:r>
      </w:hyperlink>
    </w:p>
    <w:p w14:paraId="394726E8" w14:textId="17258F58" w:rsidR="009A39E2" w:rsidRPr="00BC57A2" w:rsidRDefault="007C0830" w:rsidP="009A39E2">
      <w:pPr>
        <w:pStyle w:val="TDC2"/>
        <w:rPr>
          <w:rFonts w:ascii="Verdana" w:eastAsiaTheme="minorEastAsia" w:hAnsi="Verdana"/>
          <w:b w:val="0"/>
          <w:bCs w:val="0"/>
          <w:noProof/>
          <w:sz w:val="18"/>
          <w:szCs w:val="18"/>
          <w:lang w:val="es-CR" w:eastAsia="es-CR"/>
        </w:rPr>
      </w:pPr>
      <w:hyperlink w:anchor="_Toc34337567" w:history="1">
        <w:r w:rsidR="009A39E2" w:rsidRPr="00BC57A2">
          <w:rPr>
            <w:rStyle w:val="Hipervnculo"/>
            <w:rFonts w:ascii="Verdana" w:hAnsi="Verdana"/>
            <w:i/>
            <w:noProof/>
            <w:color w:val="auto"/>
            <w:sz w:val="18"/>
            <w:szCs w:val="18"/>
          </w:rPr>
          <w:t>B)</w:t>
        </w:r>
        <w:r w:rsidR="00BC57A2" w:rsidRPr="00BC57A2">
          <w:rPr>
            <w:rStyle w:val="Hipervnculo"/>
            <w:rFonts w:ascii="Verdana" w:hAnsi="Verdana"/>
            <w:i/>
            <w:noProof/>
            <w:color w:val="auto"/>
            <w:sz w:val="18"/>
            <w:szCs w:val="18"/>
          </w:rPr>
          <w:t xml:space="preserve"> </w:t>
        </w:r>
        <w:r w:rsidR="009A39E2" w:rsidRPr="00BC57A2">
          <w:rPr>
            <w:rStyle w:val="Hipervnculo"/>
            <w:rFonts w:ascii="Verdana" w:hAnsi="Verdana"/>
            <w:i/>
            <w:noProof/>
            <w:color w:val="auto"/>
            <w:sz w:val="18"/>
            <w:szCs w:val="18"/>
          </w:rPr>
          <w:t>Consideraciones de la Corte</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_Toc34337567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67</w:t>
        </w:r>
        <w:r w:rsidR="009A39E2" w:rsidRPr="00BC57A2">
          <w:rPr>
            <w:rFonts w:ascii="Verdana" w:hAnsi="Verdana"/>
            <w:noProof/>
            <w:webHidden/>
            <w:sz w:val="18"/>
            <w:szCs w:val="18"/>
          </w:rPr>
          <w:fldChar w:fldCharType="end"/>
        </w:r>
      </w:hyperlink>
    </w:p>
    <w:p w14:paraId="79AC6E5D" w14:textId="64758E82" w:rsidR="009A39E2" w:rsidRPr="00BC57A2" w:rsidRDefault="007C0830" w:rsidP="009A39E2">
      <w:pPr>
        <w:pStyle w:val="TDC3"/>
        <w:tabs>
          <w:tab w:val="right" w:leader="dot" w:pos="8828"/>
        </w:tabs>
        <w:jc w:val="both"/>
        <w:rPr>
          <w:rFonts w:ascii="Verdana" w:eastAsiaTheme="minorEastAsia" w:hAnsi="Verdana"/>
          <w:noProof/>
          <w:sz w:val="18"/>
          <w:szCs w:val="18"/>
          <w:lang w:val="es-CR" w:eastAsia="es-CR"/>
        </w:rPr>
      </w:pPr>
      <w:hyperlink w:anchor="_Toc34337568" w:history="1">
        <w:r w:rsidR="009A39E2" w:rsidRPr="00BC57A2">
          <w:rPr>
            <w:rStyle w:val="Hipervnculo"/>
            <w:rFonts w:ascii="Verdana" w:hAnsi="Verdana"/>
            <w:b/>
            <w:i/>
            <w:noProof/>
            <w:color w:val="auto"/>
            <w:sz w:val="18"/>
            <w:szCs w:val="18"/>
          </w:rPr>
          <w:t>B.1 Los derechos a un medio ambiente sano, a la alimentación adecuada, al agua y a participar en la vida cultural</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_Toc34337568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69</w:t>
        </w:r>
        <w:r w:rsidR="009A39E2" w:rsidRPr="00BC57A2">
          <w:rPr>
            <w:rFonts w:ascii="Verdana" w:hAnsi="Verdana"/>
            <w:noProof/>
            <w:webHidden/>
            <w:sz w:val="18"/>
            <w:szCs w:val="18"/>
          </w:rPr>
          <w:fldChar w:fldCharType="end"/>
        </w:r>
      </w:hyperlink>
    </w:p>
    <w:p w14:paraId="6712EF0D" w14:textId="61465D8D" w:rsidR="009A39E2" w:rsidRPr="00BC57A2" w:rsidRDefault="007C0830" w:rsidP="009A39E2">
      <w:pPr>
        <w:pStyle w:val="TDC4"/>
        <w:tabs>
          <w:tab w:val="right" w:leader="dot" w:pos="8828"/>
        </w:tabs>
        <w:jc w:val="both"/>
        <w:rPr>
          <w:rFonts w:ascii="Verdana" w:eastAsiaTheme="minorEastAsia" w:hAnsi="Verdana"/>
          <w:noProof/>
          <w:sz w:val="18"/>
          <w:szCs w:val="18"/>
          <w:lang w:val="es-CR" w:eastAsia="es-CR"/>
        </w:rPr>
      </w:pPr>
      <w:hyperlink w:anchor="_Toc34337569" w:history="1">
        <w:r w:rsidR="009A39E2" w:rsidRPr="00BC57A2">
          <w:rPr>
            <w:rStyle w:val="Hipervnculo"/>
            <w:rFonts w:ascii="Verdana" w:hAnsi="Verdana"/>
            <w:i/>
            <w:noProof/>
            <w:color w:val="auto"/>
            <w:sz w:val="18"/>
            <w:szCs w:val="18"/>
          </w:rPr>
          <w:t>B.1.1 Reconocimiento normativo y contenido relevante</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_Toc34337569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69</w:t>
        </w:r>
        <w:r w:rsidR="009A39E2" w:rsidRPr="00BC57A2">
          <w:rPr>
            <w:rFonts w:ascii="Verdana" w:hAnsi="Verdana"/>
            <w:noProof/>
            <w:webHidden/>
            <w:sz w:val="18"/>
            <w:szCs w:val="18"/>
          </w:rPr>
          <w:fldChar w:fldCharType="end"/>
        </w:r>
      </w:hyperlink>
    </w:p>
    <w:p w14:paraId="5C69BCEF" w14:textId="3785EC01" w:rsidR="009A39E2" w:rsidRPr="00BC57A2" w:rsidRDefault="007C0830" w:rsidP="009A39E2">
      <w:pPr>
        <w:pStyle w:val="TDC5"/>
        <w:tabs>
          <w:tab w:val="right" w:leader="dot" w:pos="8828"/>
        </w:tabs>
        <w:jc w:val="both"/>
        <w:rPr>
          <w:rFonts w:ascii="Verdana" w:eastAsiaTheme="minorEastAsia" w:hAnsi="Verdana"/>
          <w:noProof/>
          <w:sz w:val="18"/>
          <w:szCs w:val="18"/>
          <w:lang w:val="es-CR" w:eastAsia="es-CR"/>
        </w:rPr>
      </w:pPr>
      <w:hyperlink w:anchor="_Toc34337570" w:history="1">
        <w:r w:rsidR="009A39E2" w:rsidRPr="00BC57A2">
          <w:rPr>
            <w:rStyle w:val="Hipervnculo"/>
            <w:rFonts w:ascii="Verdana" w:hAnsi="Verdana"/>
            <w:i/>
            <w:noProof/>
            <w:color w:val="auto"/>
            <w:sz w:val="18"/>
            <w:szCs w:val="18"/>
          </w:rPr>
          <w:t>B.1.1.1 El derecho a un medio ambiente sano</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_Toc34337570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69</w:t>
        </w:r>
        <w:r w:rsidR="009A39E2" w:rsidRPr="00BC57A2">
          <w:rPr>
            <w:rFonts w:ascii="Verdana" w:hAnsi="Verdana"/>
            <w:noProof/>
            <w:webHidden/>
            <w:sz w:val="18"/>
            <w:szCs w:val="18"/>
          </w:rPr>
          <w:fldChar w:fldCharType="end"/>
        </w:r>
      </w:hyperlink>
    </w:p>
    <w:p w14:paraId="5F81F649" w14:textId="64D74F1A" w:rsidR="009A39E2" w:rsidRPr="00BC57A2" w:rsidRDefault="007C0830" w:rsidP="009A39E2">
      <w:pPr>
        <w:pStyle w:val="TDC5"/>
        <w:tabs>
          <w:tab w:val="right" w:leader="dot" w:pos="8828"/>
        </w:tabs>
        <w:jc w:val="both"/>
        <w:rPr>
          <w:rFonts w:ascii="Verdana" w:eastAsiaTheme="minorEastAsia" w:hAnsi="Verdana"/>
          <w:noProof/>
          <w:sz w:val="18"/>
          <w:szCs w:val="18"/>
          <w:lang w:val="es-CR" w:eastAsia="es-CR"/>
        </w:rPr>
      </w:pPr>
      <w:hyperlink w:anchor="_Toc34337571" w:history="1">
        <w:r w:rsidR="009A39E2" w:rsidRPr="00BC57A2">
          <w:rPr>
            <w:rStyle w:val="Hipervnculo"/>
            <w:rFonts w:ascii="Verdana" w:hAnsi="Verdana"/>
            <w:i/>
            <w:noProof/>
            <w:color w:val="auto"/>
            <w:sz w:val="18"/>
            <w:szCs w:val="18"/>
          </w:rPr>
          <w:t>B.1.1.2 El derecho a la alimentación adecuada</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_Toc34337571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73</w:t>
        </w:r>
        <w:r w:rsidR="009A39E2" w:rsidRPr="00BC57A2">
          <w:rPr>
            <w:rFonts w:ascii="Verdana" w:hAnsi="Verdana"/>
            <w:noProof/>
            <w:webHidden/>
            <w:sz w:val="18"/>
            <w:szCs w:val="18"/>
          </w:rPr>
          <w:fldChar w:fldCharType="end"/>
        </w:r>
      </w:hyperlink>
    </w:p>
    <w:p w14:paraId="17D24A14" w14:textId="7FE72C30" w:rsidR="009A39E2" w:rsidRPr="00BC57A2" w:rsidRDefault="007C0830" w:rsidP="009A39E2">
      <w:pPr>
        <w:pStyle w:val="TDC5"/>
        <w:tabs>
          <w:tab w:val="right" w:leader="dot" w:pos="8828"/>
        </w:tabs>
        <w:jc w:val="both"/>
        <w:rPr>
          <w:rFonts w:ascii="Verdana" w:eastAsiaTheme="minorEastAsia" w:hAnsi="Verdana"/>
          <w:noProof/>
          <w:sz w:val="18"/>
          <w:szCs w:val="18"/>
          <w:lang w:val="es-CR" w:eastAsia="es-CR"/>
        </w:rPr>
      </w:pPr>
      <w:hyperlink w:anchor="_Toc34337572" w:history="1">
        <w:r w:rsidR="009A39E2" w:rsidRPr="00BC57A2">
          <w:rPr>
            <w:rStyle w:val="Hipervnculo"/>
            <w:rFonts w:ascii="Verdana" w:hAnsi="Verdana"/>
            <w:i/>
            <w:noProof/>
            <w:color w:val="auto"/>
            <w:sz w:val="18"/>
            <w:szCs w:val="18"/>
          </w:rPr>
          <w:t>B.1.1.3 El derecho al agua</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_Toc34337572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77</w:t>
        </w:r>
        <w:r w:rsidR="009A39E2" w:rsidRPr="00BC57A2">
          <w:rPr>
            <w:rFonts w:ascii="Verdana" w:hAnsi="Verdana"/>
            <w:noProof/>
            <w:webHidden/>
            <w:sz w:val="18"/>
            <w:szCs w:val="18"/>
          </w:rPr>
          <w:fldChar w:fldCharType="end"/>
        </w:r>
      </w:hyperlink>
    </w:p>
    <w:p w14:paraId="7970A8E5" w14:textId="5CAD7F19" w:rsidR="009A39E2" w:rsidRPr="00BC57A2" w:rsidRDefault="007C0830" w:rsidP="009A39E2">
      <w:pPr>
        <w:pStyle w:val="TDC5"/>
        <w:tabs>
          <w:tab w:val="right" w:leader="dot" w:pos="8828"/>
        </w:tabs>
        <w:jc w:val="both"/>
        <w:rPr>
          <w:rFonts w:ascii="Verdana" w:eastAsiaTheme="minorEastAsia" w:hAnsi="Verdana"/>
          <w:noProof/>
          <w:sz w:val="18"/>
          <w:szCs w:val="18"/>
          <w:lang w:val="es-CR" w:eastAsia="es-CR"/>
        </w:rPr>
      </w:pPr>
      <w:hyperlink w:anchor="_Toc34337573" w:history="1">
        <w:r w:rsidR="009A39E2" w:rsidRPr="00BC57A2">
          <w:rPr>
            <w:rStyle w:val="Hipervnculo"/>
            <w:rFonts w:ascii="Verdana" w:hAnsi="Verdana"/>
            <w:i/>
            <w:noProof/>
            <w:color w:val="auto"/>
            <w:sz w:val="18"/>
            <w:szCs w:val="18"/>
          </w:rPr>
          <w:t>B.1.1.4 El derecho a participar en la vida cultural</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_Toc34337573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81</w:t>
        </w:r>
        <w:r w:rsidR="009A39E2" w:rsidRPr="00BC57A2">
          <w:rPr>
            <w:rFonts w:ascii="Verdana" w:hAnsi="Verdana"/>
            <w:noProof/>
            <w:webHidden/>
            <w:sz w:val="18"/>
            <w:szCs w:val="18"/>
          </w:rPr>
          <w:fldChar w:fldCharType="end"/>
        </w:r>
      </w:hyperlink>
    </w:p>
    <w:p w14:paraId="720C4BE7" w14:textId="0771C87B" w:rsidR="009A39E2" w:rsidRPr="00BC57A2" w:rsidRDefault="007C0830" w:rsidP="009A39E2">
      <w:pPr>
        <w:pStyle w:val="TDC4"/>
        <w:tabs>
          <w:tab w:val="right" w:leader="dot" w:pos="8828"/>
        </w:tabs>
        <w:jc w:val="both"/>
        <w:rPr>
          <w:rFonts w:ascii="Verdana" w:eastAsiaTheme="minorEastAsia" w:hAnsi="Verdana"/>
          <w:noProof/>
          <w:sz w:val="18"/>
          <w:szCs w:val="18"/>
          <w:lang w:val="es-CR" w:eastAsia="es-CR"/>
        </w:rPr>
      </w:pPr>
      <w:hyperlink w:anchor="_Toc34337574" w:history="1">
        <w:r w:rsidR="009A39E2" w:rsidRPr="00BC57A2">
          <w:rPr>
            <w:rStyle w:val="Hipervnculo"/>
            <w:rFonts w:ascii="Verdana" w:hAnsi="Verdana"/>
            <w:i/>
            <w:noProof/>
            <w:color w:val="auto"/>
            <w:sz w:val="18"/>
            <w:szCs w:val="18"/>
          </w:rPr>
          <w:t>B.1.2 Interdependencia entre los derechos a un ambiente sano, a la alimentación adecuada, al agua y a la identidad cultural y especificidades en relación con pueblos indígenas</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_Toc34337574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85</w:t>
        </w:r>
        <w:r w:rsidR="009A39E2" w:rsidRPr="00BC57A2">
          <w:rPr>
            <w:rFonts w:ascii="Verdana" w:hAnsi="Verdana"/>
            <w:noProof/>
            <w:webHidden/>
            <w:sz w:val="18"/>
            <w:szCs w:val="18"/>
          </w:rPr>
          <w:fldChar w:fldCharType="end"/>
        </w:r>
      </w:hyperlink>
    </w:p>
    <w:p w14:paraId="5CC8E0B7" w14:textId="2688EBC4" w:rsidR="009A39E2" w:rsidRPr="00BC57A2" w:rsidRDefault="007C0830" w:rsidP="009A39E2">
      <w:pPr>
        <w:pStyle w:val="TDC3"/>
        <w:tabs>
          <w:tab w:val="right" w:leader="dot" w:pos="8828"/>
        </w:tabs>
        <w:jc w:val="both"/>
        <w:rPr>
          <w:rFonts w:ascii="Verdana" w:eastAsiaTheme="minorEastAsia" w:hAnsi="Verdana"/>
          <w:noProof/>
          <w:sz w:val="18"/>
          <w:szCs w:val="18"/>
          <w:lang w:val="es-CR" w:eastAsia="es-CR"/>
        </w:rPr>
      </w:pPr>
      <w:hyperlink w:anchor="_Toc34337575" w:history="1">
        <w:r w:rsidR="009A39E2" w:rsidRPr="00BC57A2">
          <w:rPr>
            <w:rStyle w:val="Hipervnculo"/>
            <w:rFonts w:ascii="Verdana" w:hAnsi="Verdana"/>
            <w:b/>
            <w:i/>
            <w:noProof/>
            <w:color w:val="auto"/>
            <w:sz w:val="18"/>
            <w:szCs w:val="18"/>
          </w:rPr>
          <w:t xml:space="preserve">B.2. Hechos relevantes del caso y </w:t>
        </w:r>
        <w:r w:rsidR="00E21C50">
          <w:rPr>
            <w:rStyle w:val="Hipervnculo"/>
            <w:rFonts w:ascii="Verdana" w:hAnsi="Verdana"/>
            <w:b/>
            <w:i/>
            <w:noProof/>
            <w:color w:val="auto"/>
            <w:sz w:val="18"/>
            <w:szCs w:val="18"/>
          </w:rPr>
          <w:t>análisis de la responsabilidad e</w:t>
        </w:r>
        <w:r w:rsidR="009A39E2" w:rsidRPr="00BC57A2">
          <w:rPr>
            <w:rStyle w:val="Hipervnculo"/>
            <w:rFonts w:ascii="Verdana" w:hAnsi="Verdana"/>
            <w:b/>
            <w:i/>
            <w:noProof/>
            <w:color w:val="auto"/>
            <w:sz w:val="18"/>
            <w:szCs w:val="18"/>
          </w:rPr>
          <w:t>statal</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_Toc34337575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90</w:t>
        </w:r>
        <w:r w:rsidR="009A39E2" w:rsidRPr="00BC57A2">
          <w:rPr>
            <w:rFonts w:ascii="Verdana" w:hAnsi="Verdana"/>
            <w:noProof/>
            <w:webHidden/>
            <w:sz w:val="18"/>
            <w:szCs w:val="18"/>
          </w:rPr>
          <w:fldChar w:fldCharType="end"/>
        </w:r>
      </w:hyperlink>
    </w:p>
    <w:p w14:paraId="2161B9CE" w14:textId="66233A79" w:rsidR="009A39E2" w:rsidRPr="00BC57A2" w:rsidRDefault="007C0830" w:rsidP="009A39E2">
      <w:pPr>
        <w:pStyle w:val="TDC4"/>
        <w:tabs>
          <w:tab w:val="right" w:leader="dot" w:pos="8828"/>
        </w:tabs>
        <w:jc w:val="both"/>
        <w:rPr>
          <w:rFonts w:ascii="Verdana" w:eastAsiaTheme="minorEastAsia" w:hAnsi="Verdana"/>
          <w:noProof/>
          <w:sz w:val="18"/>
          <w:szCs w:val="18"/>
          <w:lang w:val="es-CR" w:eastAsia="es-CR"/>
        </w:rPr>
      </w:pPr>
      <w:hyperlink w:anchor="_Toc34337576" w:history="1">
        <w:r w:rsidR="009A39E2" w:rsidRPr="00BC57A2">
          <w:rPr>
            <w:rStyle w:val="Hipervnculo"/>
            <w:rFonts w:ascii="Verdana" w:hAnsi="Verdana"/>
            <w:i/>
            <w:noProof/>
            <w:color w:val="auto"/>
            <w:sz w:val="18"/>
            <w:szCs w:val="18"/>
          </w:rPr>
          <w:t>B.2.1 Hechos</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_Toc34337576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90</w:t>
        </w:r>
        <w:r w:rsidR="009A39E2" w:rsidRPr="00BC57A2">
          <w:rPr>
            <w:rFonts w:ascii="Verdana" w:hAnsi="Verdana"/>
            <w:noProof/>
            <w:webHidden/>
            <w:sz w:val="18"/>
            <w:szCs w:val="18"/>
          </w:rPr>
          <w:fldChar w:fldCharType="end"/>
        </w:r>
      </w:hyperlink>
    </w:p>
    <w:p w14:paraId="3D21C7D6" w14:textId="0B4DF893" w:rsidR="009A39E2" w:rsidRPr="00BC57A2" w:rsidRDefault="007C0830" w:rsidP="009A39E2">
      <w:pPr>
        <w:pStyle w:val="TDC5"/>
        <w:tabs>
          <w:tab w:val="right" w:leader="dot" w:pos="8828"/>
        </w:tabs>
        <w:jc w:val="both"/>
        <w:rPr>
          <w:rFonts w:ascii="Verdana" w:eastAsiaTheme="minorEastAsia" w:hAnsi="Verdana"/>
          <w:noProof/>
          <w:sz w:val="18"/>
          <w:szCs w:val="18"/>
          <w:lang w:val="es-CR" w:eastAsia="es-CR"/>
        </w:rPr>
      </w:pPr>
      <w:hyperlink w:anchor="_Toc34337577" w:history="1">
        <w:r w:rsidR="009A39E2" w:rsidRPr="00BC57A2">
          <w:rPr>
            <w:rStyle w:val="Hipervnculo"/>
            <w:rFonts w:ascii="Verdana" w:hAnsi="Verdana"/>
            <w:i/>
            <w:noProof/>
            <w:color w:val="auto"/>
            <w:sz w:val="18"/>
            <w:szCs w:val="18"/>
          </w:rPr>
          <w:t>B.2.1.1 Ganado, tala ilegal y alambrados</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_Toc34337577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90</w:t>
        </w:r>
        <w:r w:rsidR="009A39E2" w:rsidRPr="00BC57A2">
          <w:rPr>
            <w:rFonts w:ascii="Verdana" w:hAnsi="Verdana"/>
            <w:noProof/>
            <w:webHidden/>
            <w:sz w:val="18"/>
            <w:szCs w:val="18"/>
          </w:rPr>
          <w:fldChar w:fldCharType="end"/>
        </w:r>
      </w:hyperlink>
    </w:p>
    <w:p w14:paraId="53FC38D4" w14:textId="1639591A" w:rsidR="009A39E2" w:rsidRPr="00BC57A2" w:rsidRDefault="007C0830" w:rsidP="009A39E2">
      <w:pPr>
        <w:pStyle w:val="TDC5"/>
        <w:tabs>
          <w:tab w:val="right" w:leader="dot" w:pos="8828"/>
        </w:tabs>
        <w:jc w:val="both"/>
        <w:rPr>
          <w:rFonts w:ascii="Verdana" w:eastAsiaTheme="minorEastAsia" w:hAnsi="Verdana"/>
          <w:noProof/>
          <w:sz w:val="18"/>
          <w:szCs w:val="18"/>
          <w:lang w:val="es-CR" w:eastAsia="es-CR"/>
        </w:rPr>
      </w:pPr>
      <w:hyperlink w:anchor="_Toc34337578" w:history="1">
        <w:r w:rsidR="009A39E2" w:rsidRPr="00BC57A2">
          <w:rPr>
            <w:rStyle w:val="Hipervnculo"/>
            <w:rFonts w:ascii="Verdana" w:hAnsi="Verdana"/>
            <w:i/>
            <w:noProof/>
            <w:color w:val="auto"/>
            <w:sz w:val="18"/>
            <w:szCs w:val="18"/>
          </w:rPr>
          <w:t>B.2.1.2 Acciones desarrolladas por el Estado</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_Toc34337578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93</w:t>
        </w:r>
        <w:r w:rsidR="009A39E2" w:rsidRPr="00BC57A2">
          <w:rPr>
            <w:rFonts w:ascii="Verdana" w:hAnsi="Verdana"/>
            <w:noProof/>
            <w:webHidden/>
            <w:sz w:val="18"/>
            <w:szCs w:val="18"/>
          </w:rPr>
          <w:fldChar w:fldCharType="end"/>
        </w:r>
      </w:hyperlink>
    </w:p>
    <w:p w14:paraId="0E1CFFED" w14:textId="1B9F5913" w:rsidR="009A39E2" w:rsidRPr="00BC57A2" w:rsidRDefault="007C0830" w:rsidP="009A39E2">
      <w:pPr>
        <w:pStyle w:val="TDC4"/>
        <w:tabs>
          <w:tab w:val="right" w:leader="dot" w:pos="8828"/>
        </w:tabs>
        <w:jc w:val="both"/>
        <w:rPr>
          <w:rFonts w:ascii="Verdana" w:eastAsiaTheme="minorEastAsia" w:hAnsi="Verdana"/>
          <w:noProof/>
          <w:sz w:val="18"/>
          <w:szCs w:val="18"/>
          <w:lang w:val="es-CR" w:eastAsia="es-CR"/>
        </w:rPr>
      </w:pPr>
      <w:hyperlink w:anchor="_Toc34337579" w:history="1">
        <w:r w:rsidR="009A39E2" w:rsidRPr="00BC57A2">
          <w:rPr>
            <w:rStyle w:val="Hipervnculo"/>
            <w:rFonts w:ascii="Verdana" w:hAnsi="Verdana"/>
            <w:i/>
            <w:noProof/>
            <w:color w:val="auto"/>
            <w:sz w:val="18"/>
            <w:szCs w:val="18"/>
          </w:rPr>
          <w:t>B.2.2 Análisis de la responsabilidad estatal</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_Toc34337579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95</w:t>
        </w:r>
        <w:r w:rsidR="009A39E2" w:rsidRPr="00BC57A2">
          <w:rPr>
            <w:rFonts w:ascii="Verdana" w:hAnsi="Verdana"/>
            <w:noProof/>
            <w:webHidden/>
            <w:sz w:val="18"/>
            <w:szCs w:val="18"/>
          </w:rPr>
          <w:fldChar w:fldCharType="end"/>
        </w:r>
      </w:hyperlink>
    </w:p>
    <w:p w14:paraId="0992D196" w14:textId="77777777" w:rsidR="00BC57A2" w:rsidRDefault="00BC57A2" w:rsidP="00D1698B">
      <w:pPr>
        <w:pStyle w:val="TDC1"/>
        <w:rPr>
          <w:rStyle w:val="Hipervnculo"/>
          <w:rFonts w:ascii="Verdana" w:hAnsi="Verdana"/>
          <w:noProof/>
          <w:color w:val="auto"/>
          <w:sz w:val="18"/>
          <w:szCs w:val="18"/>
        </w:rPr>
      </w:pPr>
    </w:p>
    <w:p w14:paraId="607F1A97" w14:textId="7E37EB6B" w:rsidR="009A39E2" w:rsidRPr="00BC57A2" w:rsidRDefault="007C0830" w:rsidP="00D1698B">
      <w:pPr>
        <w:pStyle w:val="TDC1"/>
        <w:rPr>
          <w:rFonts w:eastAsiaTheme="minorEastAsia"/>
          <w:noProof/>
          <w:lang w:val="es-CR" w:eastAsia="es-CR"/>
        </w:rPr>
      </w:pPr>
      <w:hyperlink w:anchor="_Toc34337580" w:history="1">
        <w:r w:rsidR="009A39E2" w:rsidRPr="00BC57A2">
          <w:rPr>
            <w:rStyle w:val="Hipervnculo"/>
            <w:rFonts w:ascii="Verdana" w:hAnsi="Verdana"/>
            <w:noProof/>
            <w:color w:val="auto"/>
            <w:sz w:val="18"/>
            <w:szCs w:val="18"/>
            <w:lang w:val="es-ES"/>
          </w:rPr>
          <w:t>VII.3</w:t>
        </w:r>
      </w:hyperlink>
      <w:r w:rsidR="009A39E2" w:rsidRPr="00BC57A2">
        <w:rPr>
          <w:rStyle w:val="Hipervnculo"/>
          <w:rFonts w:ascii="Verdana" w:hAnsi="Verdana"/>
          <w:noProof/>
          <w:color w:val="auto"/>
          <w:sz w:val="18"/>
          <w:szCs w:val="18"/>
          <w:u w:val="none"/>
        </w:rPr>
        <w:t xml:space="preserve"> </w:t>
      </w:r>
      <w:hyperlink w:anchor="_Toc34337581" w:history="1">
        <w:r w:rsidR="009A39E2" w:rsidRPr="00BC57A2">
          <w:rPr>
            <w:rStyle w:val="Hipervnculo"/>
            <w:rFonts w:ascii="Verdana" w:hAnsi="Verdana"/>
            <w:noProof/>
            <w:color w:val="auto"/>
            <w:sz w:val="18"/>
            <w:szCs w:val="18"/>
            <w:lang w:val="es-ES"/>
          </w:rPr>
          <w:t>DERECHOS A LAS GARANTIAS Y PROTECCIÓN JUDICIALES EN RELACIÓN CON LAS OBLIGACIONES DE RESPETAR Y GARANTIZAR LOS DERECHOS RESPECTO A ACCIONES JUDICIALES PRESENTADAS POR LHAKA HONHAT</w:t>
        </w:r>
        <w:r w:rsidR="009A39E2" w:rsidRPr="00BC57A2">
          <w:rPr>
            <w:noProof/>
            <w:webHidden/>
          </w:rPr>
          <w:tab/>
        </w:r>
        <w:r w:rsidR="009A39E2" w:rsidRPr="00BC57A2">
          <w:rPr>
            <w:noProof/>
            <w:webHidden/>
          </w:rPr>
          <w:fldChar w:fldCharType="begin"/>
        </w:r>
        <w:r w:rsidR="009A39E2" w:rsidRPr="00BC57A2">
          <w:rPr>
            <w:noProof/>
            <w:webHidden/>
          </w:rPr>
          <w:instrText xml:space="preserve"> PAGEREF _Toc34337581 \h </w:instrText>
        </w:r>
        <w:r w:rsidR="009A39E2" w:rsidRPr="00BC57A2">
          <w:rPr>
            <w:noProof/>
            <w:webHidden/>
          </w:rPr>
        </w:r>
        <w:r w:rsidR="009A39E2" w:rsidRPr="00BC57A2">
          <w:rPr>
            <w:noProof/>
            <w:webHidden/>
          </w:rPr>
          <w:fldChar w:fldCharType="separate"/>
        </w:r>
        <w:r w:rsidR="00F5089C">
          <w:rPr>
            <w:noProof/>
            <w:webHidden/>
          </w:rPr>
          <w:t>99</w:t>
        </w:r>
        <w:r w:rsidR="009A39E2" w:rsidRPr="00BC57A2">
          <w:rPr>
            <w:noProof/>
            <w:webHidden/>
          </w:rPr>
          <w:fldChar w:fldCharType="end"/>
        </w:r>
      </w:hyperlink>
    </w:p>
    <w:p w14:paraId="072C0E6A" w14:textId="7B8C3051" w:rsidR="009A39E2" w:rsidRPr="00BC57A2" w:rsidRDefault="007C0830" w:rsidP="009A39E2">
      <w:pPr>
        <w:pStyle w:val="TDC2"/>
        <w:rPr>
          <w:rFonts w:ascii="Verdana" w:eastAsiaTheme="minorEastAsia" w:hAnsi="Verdana"/>
          <w:b w:val="0"/>
          <w:bCs w:val="0"/>
          <w:noProof/>
          <w:sz w:val="18"/>
          <w:szCs w:val="18"/>
          <w:lang w:val="es-CR" w:eastAsia="es-CR"/>
        </w:rPr>
      </w:pPr>
      <w:hyperlink w:anchor="_Toc34337582" w:history="1">
        <w:r w:rsidR="009A39E2" w:rsidRPr="00BC57A2">
          <w:rPr>
            <w:rStyle w:val="Hipervnculo"/>
            <w:rFonts w:ascii="Verdana" w:hAnsi="Verdana"/>
            <w:i/>
            <w:noProof/>
            <w:color w:val="auto"/>
            <w:sz w:val="18"/>
            <w:szCs w:val="18"/>
            <w:lang w:val="es-ES"/>
          </w:rPr>
          <w:t>A)</w:t>
        </w:r>
        <w:r w:rsidR="00BC57A2" w:rsidRPr="00BC57A2">
          <w:rPr>
            <w:rStyle w:val="Hipervnculo"/>
            <w:rFonts w:ascii="Verdana" w:hAnsi="Verdana"/>
            <w:i/>
            <w:noProof/>
            <w:color w:val="auto"/>
            <w:sz w:val="18"/>
            <w:szCs w:val="18"/>
            <w:lang w:val="es-ES"/>
          </w:rPr>
          <w:t xml:space="preserve"> </w:t>
        </w:r>
        <w:r w:rsidR="009A39E2" w:rsidRPr="00BC57A2">
          <w:rPr>
            <w:rStyle w:val="Hipervnculo"/>
            <w:rFonts w:ascii="Verdana" w:hAnsi="Verdana"/>
            <w:i/>
            <w:noProof/>
            <w:color w:val="auto"/>
            <w:sz w:val="18"/>
            <w:szCs w:val="18"/>
            <w:lang w:val="es-ES"/>
          </w:rPr>
          <w:t>Argumentos de las partes</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_Toc34337582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100</w:t>
        </w:r>
        <w:r w:rsidR="009A39E2" w:rsidRPr="00BC57A2">
          <w:rPr>
            <w:rFonts w:ascii="Verdana" w:hAnsi="Verdana"/>
            <w:noProof/>
            <w:webHidden/>
            <w:sz w:val="18"/>
            <w:szCs w:val="18"/>
          </w:rPr>
          <w:fldChar w:fldCharType="end"/>
        </w:r>
      </w:hyperlink>
    </w:p>
    <w:p w14:paraId="4031C024" w14:textId="00562984" w:rsidR="009A39E2" w:rsidRPr="00BC57A2" w:rsidRDefault="007C0830" w:rsidP="009A39E2">
      <w:pPr>
        <w:pStyle w:val="TDC2"/>
        <w:rPr>
          <w:rFonts w:ascii="Verdana" w:eastAsiaTheme="minorEastAsia" w:hAnsi="Verdana"/>
          <w:b w:val="0"/>
          <w:bCs w:val="0"/>
          <w:noProof/>
          <w:sz w:val="18"/>
          <w:szCs w:val="18"/>
          <w:lang w:val="es-CR" w:eastAsia="es-CR"/>
        </w:rPr>
      </w:pPr>
      <w:hyperlink w:anchor="_Toc34337583" w:history="1">
        <w:r w:rsidR="009A39E2" w:rsidRPr="00BC57A2">
          <w:rPr>
            <w:rStyle w:val="Hipervnculo"/>
            <w:rFonts w:ascii="Verdana" w:eastAsia="Times New Roman" w:hAnsi="Verdana" w:cs="Times New Roman"/>
            <w:i/>
            <w:noProof/>
            <w:color w:val="auto"/>
            <w:sz w:val="18"/>
            <w:szCs w:val="18"/>
          </w:rPr>
          <w:t>B)</w:t>
        </w:r>
        <w:r w:rsidR="00BC57A2" w:rsidRPr="00BC57A2">
          <w:rPr>
            <w:rStyle w:val="Hipervnculo"/>
            <w:rFonts w:ascii="Verdana" w:eastAsia="Times New Roman" w:hAnsi="Verdana" w:cs="Times New Roman"/>
            <w:i/>
            <w:noProof/>
            <w:color w:val="auto"/>
            <w:sz w:val="18"/>
            <w:szCs w:val="18"/>
          </w:rPr>
          <w:t xml:space="preserve"> </w:t>
        </w:r>
        <w:r w:rsidR="009A39E2" w:rsidRPr="00BC57A2">
          <w:rPr>
            <w:rStyle w:val="Hipervnculo"/>
            <w:rFonts w:ascii="Verdana" w:eastAsia="Times New Roman" w:hAnsi="Verdana" w:cs="Times New Roman"/>
            <w:i/>
            <w:noProof/>
            <w:color w:val="auto"/>
            <w:sz w:val="18"/>
            <w:szCs w:val="18"/>
          </w:rPr>
          <w:t>Consideraciones de la Corte</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_Toc34337583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101</w:t>
        </w:r>
        <w:r w:rsidR="009A39E2" w:rsidRPr="00BC57A2">
          <w:rPr>
            <w:rFonts w:ascii="Verdana" w:hAnsi="Verdana"/>
            <w:noProof/>
            <w:webHidden/>
            <w:sz w:val="18"/>
            <w:szCs w:val="18"/>
          </w:rPr>
          <w:fldChar w:fldCharType="end"/>
        </w:r>
      </w:hyperlink>
    </w:p>
    <w:p w14:paraId="4FA4F16E" w14:textId="3F08CE48" w:rsidR="009A39E2" w:rsidRPr="00BC57A2" w:rsidRDefault="007C0830" w:rsidP="009A39E2">
      <w:pPr>
        <w:pStyle w:val="TDC3"/>
        <w:tabs>
          <w:tab w:val="right" w:leader="dot" w:pos="8828"/>
        </w:tabs>
        <w:jc w:val="both"/>
        <w:rPr>
          <w:rFonts w:ascii="Verdana" w:eastAsiaTheme="minorEastAsia" w:hAnsi="Verdana"/>
          <w:noProof/>
          <w:sz w:val="18"/>
          <w:szCs w:val="18"/>
          <w:lang w:val="es-CR" w:eastAsia="es-CR"/>
        </w:rPr>
      </w:pPr>
      <w:hyperlink w:anchor="_Toc34337584" w:history="1">
        <w:r w:rsidR="009A39E2" w:rsidRPr="00BC57A2">
          <w:rPr>
            <w:rStyle w:val="Hipervnculo"/>
            <w:rFonts w:ascii="Verdana" w:hAnsi="Verdana"/>
            <w:b/>
            <w:i/>
            <w:noProof/>
            <w:color w:val="auto"/>
            <w:sz w:val="18"/>
            <w:szCs w:val="18"/>
            <w:lang w:val="es-ES"/>
          </w:rPr>
          <w:t>B.1. Consideraciones generales</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_Toc34337584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101</w:t>
        </w:r>
        <w:r w:rsidR="009A39E2" w:rsidRPr="00BC57A2">
          <w:rPr>
            <w:rFonts w:ascii="Verdana" w:hAnsi="Verdana"/>
            <w:noProof/>
            <w:webHidden/>
            <w:sz w:val="18"/>
            <w:szCs w:val="18"/>
          </w:rPr>
          <w:fldChar w:fldCharType="end"/>
        </w:r>
      </w:hyperlink>
    </w:p>
    <w:p w14:paraId="05CEE653" w14:textId="2467D9F7" w:rsidR="009A39E2" w:rsidRPr="00BC57A2" w:rsidRDefault="007C0830" w:rsidP="009A39E2">
      <w:pPr>
        <w:pStyle w:val="TDC3"/>
        <w:tabs>
          <w:tab w:val="right" w:leader="dot" w:pos="8828"/>
        </w:tabs>
        <w:jc w:val="both"/>
        <w:rPr>
          <w:rFonts w:ascii="Verdana" w:eastAsiaTheme="minorEastAsia" w:hAnsi="Verdana"/>
          <w:noProof/>
          <w:sz w:val="18"/>
          <w:szCs w:val="18"/>
          <w:lang w:val="es-CR" w:eastAsia="es-CR"/>
        </w:rPr>
      </w:pPr>
      <w:hyperlink w:anchor="_Toc34337585" w:history="1">
        <w:r w:rsidR="009A39E2" w:rsidRPr="00BC57A2">
          <w:rPr>
            <w:rStyle w:val="Hipervnculo"/>
            <w:rFonts w:ascii="Verdana" w:hAnsi="Verdana"/>
            <w:b/>
            <w:i/>
            <w:noProof/>
            <w:color w:val="auto"/>
            <w:sz w:val="18"/>
            <w:szCs w:val="18"/>
            <w:lang w:val="es-ES"/>
          </w:rPr>
          <w:t>B.2 Examen de las circunstancias del caso</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_Toc34337585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102</w:t>
        </w:r>
        <w:r w:rsidR="009A39E2" w:rsidRPr="00BC57A2">
          <w:rPr>
            <w:rFonts w:ascii="Verdana" w:hAnsi="Verdana"/>
            <w:noProof/>
            <w:webHidden/>
            <w:sz w:val="18"/>
            <w:szCs w:val="18"/>
          </w:rPr>
          <w:fldChar w:fldCharType="end"/>
        </w:r>
      </w:hyperlink>
    </w:p>
    <w:p w14:paraId="6D66BE10" w14:textId="056E5A88" w:rsidR="009A39E2" w:rsidRPr="00BC57A2" w:rsidRDefault="007C0830" w:rsidP="009A39E2">
      <w:pPr>
        <w:pStyle w:val="TDC4"/>
        <w:tabs>
          <w:tab w:val="right" w:leader="dot" w:pos="8828"/>
        </w:tabs>
        <w:jc w:val="both"/>
        <w:rPr>
          <w:rFonts w:ascii="Verdana" w:eastAsiaTheme="minorEastAsia" w:hAnsi="Verdana"/>
          <w:noProof/>
          <w:sz w:val="18"/>
          <w:szCs w:val="18"/>
          <w:lang w:val="es-CR" w:eastAsia="es-CR"/>
        </w:rPr>
      </w:pPr>
      <w:hyperlink w:anchor="_Toc34337586" w:history="1">
        <w:r w:rsidR="009A39E2" w:rsidRPr="00BC57A2">
          <w:rPr>
            <w:rStyle w:val="Hipervnculo"/>
            <w:rFonts w:ascii="Verdana" w:hAnsi="Verdana"/>
            <w:i/>
            <w:noProof/>
            <w:color w:val="auto"/>
            <w:sz w:val="18"/>
            <w:szCs w:val="18"/>
            <w:lang w:val="es-ES"/>
          </w:rPr>
          <w:t>B.2.1 Acción de amparo respecto a la construcción del puente internacional</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_Toc34337586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102</w:t>
        </w:r>
        <w:r w:rsidR="009A39E2" w:rsidRPr="00BC57A2">
          <w:rPr>
            <w:rFonts w:ascii="Verdana" w:hAnsi="Verdana"/>
            <w:noProof/>
            <w:webHidden/>
            <w:sz w:val="18"/>
            <w:szCs w:val="18"/>
          </w:rPr>
          <w:fldChar w:fldCharType="end"/>
        </w:r>
      </w:hyperlink>
    </w:p>
    <w:p w14:paraId="199669B2" w14:textId="43300788" w:rsidR="009A39E2" w:rsidRPr="00BC57A2" w:rsidRDefault="007C0830" w:rsidP="009A39E2">
      <w:pPr>
        <w:pStyle w:val="TDC4"/>
        <w:tabs>
          <w:tab w:val="right" w:leader="dot" w:pos="8828"/>
        </w:tabs>
        <w:jc w:val="both"/>
        <w:rPr>
          <w:rFonts w:ascii="Verdana" w:eastAsiaTheme="minorEastAsia" w:hAnsi="Verdana"/>
          <w:noProof/>
          <w:sz w:val="18"/>
          <w:szCs w:val="18"/>
          <w:lang w:val="es-CR" w:eastAsia="es-CR"/>
        </w:rPr>
      </w:pPr>
      <w:hyperlink w:anchor="_Toc34337587" w:history="1">
        <w:r w:rsidR="009A39E2" w:rsidRPr="00BC57A2">
          <w:rPr>
            <w:rStyle w:val="Hipervnculo"/>
            <w:rFonts w:ascii="Verdana" w:hAnsi="Verdana"/>
            <w:i/>
            <w:noProof/>
            <w:color w:val="auto"/>
            <w:sz w:val="18"/>
            <w:szCs w:val="18"/>
            <w:lang w:val="es-ES"/>
          </w:rPr>
          <w:t>B.2.2 Acciones sobre el Decreto 461/99 y la Resolución 423/99</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_Toc34337587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103</w:t>
        </w:r>
        <w:r w:rsidR="009A39E2" w:rsidRPr="00BC57A2">
          <w:rPr>
            <w:rFonts w:ascii="Verdana" w:hAnsi="Verdana"/>
            <w:noProof/>
            <w:webHidden/>
            <w:sz w:val="18"/>
            <w:szCs w:val="18"/>
          </w:rPr>
          <w:fldChar w:fldCharType="end"/>
        </w:r>
      </w:hyperlink>
    </w:p>
    <w:p w14:paraId="3A618B22" w14:textId="510250A1" w:rsidR="009A39E2" w:rsidRPr="00BC57A2" w:rsidRDefault="007C0830" w:rsidP="009A39E2">
      <w:pPr>
        <w:pStyle w:val="TDC4"/>
        <w:tabs>
          <w:tab w:val="right" w:leader="dot" w:pos="8828"/>
        </w:tabs>
        <w:jc w:val="both"/>
        <w:rPr>
          <w:rFonts w:ascii="Verdana" w:eastAsiaTheme="minorEastAsia" w:hAnsi="Verdana"/>
          <w:noProof/>
          <w:sz w:val="18"/>
          <w:szCs w:val="18"/>
          <w:lang w:val="es-CR" w:eastAsia="es-CR"/>
        </w:rPr>
      </w:pPr>
      <w:hyperlink w:anchor="_Toc34337588" w:history="1">
        <w:r w:rsidR="009A39E2" w:rsidRPr="00BC57A2">
          <w:rPr>
            <w:rStyle w:val="Hipervnculo"/>
            <w:rFonts w:ascii="Verdana" w:hAnsi="Verdana"/>
            <w:i/>
            <w:noProof/>
            <w:color w:val="auto"/>
            <w:sz w:val="18"/>
            <w:szCs w:val="18"/>
            <w:lang w:val="es-ES"/>
          </w:rPr>
          <w:t>B.2.3. Acción judicial contra el referéndum de 2005</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_Toc34337588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104</w:t>
        </w:r>
        <w:r w:rsidR="009A39E2" w:rsidRPr="00BC57A2">
          <w:rPr>
            <w:rFonts w:ascii="Verdana" w:hAnsi="Verdana"/>
            <w:noProof/>
            <w:webHidden/>
            <w:sz w:val="18"/>
            <w:szCs w:val="18"/>
          </w:rPr>
          <w:fldChar w:fldCharType="end"/>
        </w:r>
      </w:hyperlink>
    </w:p>
    <w:p w14:paraId="4B237D67" w14:textId="7822A08B" w:rsidR="009A39E2" w:rsidRPr="00BC57A2" w:rsidRDefault="007C0830" w:rsidP="009A39E2">
      <w:pPr>
        <w:pStyle w:val="TDC3"/>
        <w:tabs>
          <w:tab w:val="right" w:leader="dot" w:pos="8828"/>
        </w:tabs>
        <w:jc w:val="both"/>
        <w:rPr>
          <w:rFonts w:ascii="Verdana" w:eastAsiaTheme="minorEastAsia" w:hAnsi="Verdana"/>
          <w:noProof/>
          <w:sz w:val="18"/>
          <w:szCs w:val="18"/>
          <w:lang w:val="es-CR" w:eastAsia="es-CR"/>
        </w:rPr>
      </w:pPr>
      <w:hyperlink w:anchor="_Toc34337589" w:history="1">
        <w:r w:rsidR="009A39E2" w:rsidRPr="00BC57A2">
          <w:rPr>
            <w:rStyle w:val="Hipervnculo"/>
            <w:rFonts w:ascii="Verdana" w:hAnsi="Verdana"/>
            <w:b/>
            <w:i/>
            <w:noProof/>
            <w:color w:val="auto"/>
            <w:sz w:val="18"/>
            <w:szCs w:val="18"/>
            <w:lang w:val="es-ES"/>
          </w:rPr>
          <w:t>B.3. Conclusión</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_Toc34337589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104</w:t>
        </w:r>
        <w:r w:rsidR="009A39E2" w:rsidRPr="00BC57A2">
          <w:rPr>
            <w:rFonts w:ascii="Verdana" w:hAnsi="Verdana"/>
            <w:noProof/>
            <w:webHidden/>
            <w:sz w:val="18"/>
            <w:szCs w:val="18"/>
          </w:rPr>
          <w:fldChar w:fldCharType="end"/>
        </w:r>
      </w:hyperlink>
    </w:p>
    <w:p w14:paraId="2B8EC165" w14:textId="77777777" w:rsidR="00BC57A2" w:rsidRPr="00BC57A2" w:rsidRDefault="00BC57A2" w:rsidP="00D1698B">
      <w:pPr>
        <w:pStyle w:val="TDC1"/>
        <w:rPr>
          <w:rStyle w:val="Hipervnculo"/>
          <w:rFonts w:ascii="Verdana" w:hAnsi="Verdana"/>
          <w:noProof/>
          <w:color w:val="auto"/>
          <w:sz w:val="18"/>
          <w:szCs w:val="18"/>
        </w:rPr>
      </w:pPr>
    </w:p>
    <w:p w14:paraId="1E9E0587" w14:textId="3BC3F09B" w:rsidR="009A39E2" w:rsidRPr="00BC57A2" w:rsidRDefault="007C0830" w:rsidP="00D1698B">
      <w:pPr>
        <w:pStyle w:val="TDC1"/>
        <w:rPr>
          <w:rFonts w:ascii="Verdana" w:eastAsiaTheme="minorEastAsia" w:hAnsi="Verdana"/>
          <w:noProof/>
          <w:sz w:val="18"/>
          <w:szCs w:val="18"/>
          <w:lang w:val="es-CR" w:eastAsia="es-CR"/>
        </w:rPr>
      </w:pPr>
      <w:hyperlink w:anchor="_Toc34337590" w:history="1">
        <w:r w:rsidR="009A39E2" w:rsidRPr="00BC57A2">
          <w:rPr>
            <w:rStyle w:val="Hipervnculo"/>
            <w:rFonts w:ascii="Verdana" w:hAnsi="Verdana"/>
            <w:noProof/>
            <w:color w:val="auto"/>
            <w:sz w:val="18"/>
            <w:szCs w:val="18"/>
            <w:lang w:val="es-ES"/>
          </w:rPr>
          <w:t>VIII</w:t>
        </w:r>
      </w:hyperlink>
      <w:r w:rsidR="008A416C" w:rsidRPr="008A416C">
        <w:rPr>
          <w:rStyle w:val="Hipervnculo"/>
          <w:rFonts w:ascii="Verdana" w:hAnsi="Verdana"/>
          <w:noProof/>
          <w:color w:val="auto"/>
          <w:sz w:val="18"/>
          <w:szCs w:val="18"/>
          <w:u w:val="none"/>
          <w:lang w:val="es-ES"/>
        </w:rPr>
        <w:t>.</w:t>
      </w:r>
      <w:r w:rsidR="009A39E2" w:rsidRPr="00BC57A2">
        <w:rPr>
          <w:rStyle w:val="Hipervnculo"/>
          <w:rFonts w:ascii="Verdana" w:hAnsi="Verdana"/>
          <w:noProof/>
          <w:color w:val="auto"/>
          <w:sz w:val="18"/>
          <w:szCs w:val="18"/>
          <w:u w:val="none"/>
        </w:rPr>
        <w:t xml:space="preserve"> </w:t>
      </w:r>
      <w:hyperlink w:anchor="_Toc34337591" w:history="1">
        <w:r w:rsidR="009A39E2" w:rsidRPr="00BC57A2">
          <w:rPr>
            <w:rStyle w:val="Hipervnculo"/>
            <w:rFonts w:ascii="Verdana" w:hAnsi="Verdana"/>
            <w:noProof/>
            <w:color w:val="auto"/>
            <w:sz w:val="18"/>
            <w:szCs w:val="18"/>
            <w:lang w:val="es-ES"/>
          </w:rPr>
          <w:t>REPARACIONES</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_Toc34337591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104</w:t>
        </w:r>
        <w:r w:rsidR="009A39E2" w:rsidRPr="00BC57A2">
          <w:rPr>
            <w:rFonts w:ascii="Verdana" w:hAnsi="Verdana"/>
            <w:noProof/>
            <w:webHidden/>
            <w:sz w:val="18"/>
            <w:szCs w:val="18"/>
          </w:rPr>
          <w:fldChar w:fldCharType="end"/>
        </w:r>
      </w:hyperlink>
    </w:p>
    <w:p w14:paraId="2F46CA9C" w14:textId="78A5C688" w:rsidR="009A39E2" w:rsidRPr="00BC57A2" w:rsidRDefault="007C0830" w:rsidP="009A39E2">
      <w:pPr>
        <w:pStyle w:val="TDC2"/>
        <w:rPr>
          <w:rFonts w:ascii="Verdana" w:eastAsiaTheme="minorEastAsia" w:hAnsi="Verdana"/>
          <w:b w:val="0"/>
          <w:bCs w:val="0"/>
          <w:noProof/>
          <w:sz w:val="18"/>
          <w:szCs w:val="18"/>
          <w:lang w:val="es-CR" w:eastAsia="es-CR"/>
        </w:rPr>
      </w:pPr>
      <w:hyperlink w:anchor="_Toc34337592" w:history="1">
        <w:r w:rsidR="009A39E2" w:rsidRPr="00BC57A2">
          <w:rPr>
            <w:rStyle w:val="Hipervnculo"/>
            <w:rFonts w:ascii="Verdana" w:hAnsi="Verdana"/>
            <w:i/>
            <w:noProof/>
            <w:color w:val="auto"/>
            <w:sz w:val="18"/>
            <w:szCs w:val="18"/>
          </w:rPr>
          <w:t>A)</w:t>
        </w:r>
        <w:r w:rsidR="00BC57A2" w:rsidRPr="00BC57A2">
          <w:rPr>
            <w:rStyle w:val="Hipervnculo"/>
            <w:rFonts w:ascii="Verdana" w:hAnsi="Verdana"/>
            <w:i/>
            <w:noProof/>
            <w:color w:val="auto"/>
            <w:sz w:val="18"/>
            <w:szCs w:val="18"/>
          </w:rPr>
          <w:t xml:space="preserve"> </w:t>
        </w:r>
        <w:r w:rsidR="009A39E2" w:rsidRPr="00BC57A2">
          <w:rPr>
            <w:rStyle w:val="Hipervnculo"/>
            <w:rFonts w:ascii="Verdana" w:hAnsi="Verdana"/>
            <w:i/>
            <w:noProof/>
            <w:color w:val="auto"/>
            <w:sz w:val="18"/>
            <w:szCs w:val="18"/>
          </w:rPr>
          <w:t>Parte Lesionada</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_Toc34337592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105</w:t>
        </w:r>
        <w:r w:rsidR="009A39E2" w:rsidRPr="00BC57A2">
          <w:rPr>
            <w:rFonts w:ascii="Verdana" w:hAnsi="Verdana"/>
            <w:noProof/>
            <w:webHidden/>
            <w:sz w:val="18"/>
            <w:szCs w:val="18"/>
          </w:rPr>
          <w:fldChar w:fldCharType="end"/>
        </w:r>
      </w:hyperlink>
    </w:p>
    <w:p w14:paraId="49D78FD9" w14:textId="41854AE8" w:rsidR="009A39E2" w:rsidRPr="00BC57A2" w:rsidRDefault="007C0830" w:rsidP="009A39E2">
      <w:pPr>
        <w:pStyle w:val="TDC2"/>
        <w:rPr>
          <w:rFonts w:ascii="Verdana" w:eastAsiaTheme="minorEastAsia" w:hAnsi="Verdana"/>
          <w:b w:val="0"/>
          <w:bCs w:val="0"/>
          <w:noProof/>
          <w:sz w:val="18"/>
          <w:szCs w:val="18"/>
          <w:lang w:val="es-CR" w:eastAsia="es-CR"/>
        </w:rPr>
      </w:pPr>
      <w:hyperlink w:anchor="_Toc34337593" w:history="1">
        <w:r w:rsidR="009A39E2" w:rsidRPr="00BC57A2">
          <w:rPr>
            <w:rStyle w:val="Hipervnculo"/>
            <w:rFonts w:ascii="Verdana" w:hAnsi="Verdana"/>
            <w:i/>
            <w:noProof/>
            <w:color w:val="auto"/>
            <w:sz w:val="18"/>
            <w:szCs w:val="18"/>
          </w:rPr>
          <w:t>B)</w:t>
        </w:r>
        <w:r w:rsidR="00BC57A2" w:rsidRPr="00BC57A2">
          <w:rPr>
            <w:rStyle w:val="Hipervnculo"/>
            <w:rFonts w:ascii="Verdana" w:hAnsi="Verdana"/>
            <w:i/>
            <w:noProof/>
            <w:color w:val="auto"/>
            <w:sz w:val="18"/>
            <w:szCs w:val="18"/>
          </w:rPr>
          <w:t xml:space="preserve"> </w:t>
        </w:r>
        <w:r w:rsidR="009A39E2" w:rsidRPr="00BC57A2">
          <w:rPr>
            <w:rStyle w:val="Hipervnculo"/>
            <w:rFonts w:ascii="Verdana" w:hAnsi="Verdana"/>
            <w:i/>
            <w:noProof/>
            <w:color w:val="auto"/>
            <w:sz w:val="18"/>
            <w:szCs w:val="18"/>
          </w:rPr>
          <w:t>Medidas de restitución</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_Toc34337593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105</w:t>
        </w:r>
        <w:r w:rsidR="009A39E2" w:rsidRPr="00BC57A2">
          <w:rPr>
            <w:rFonts w:ascii="Verdana" w:hAnsi="Verdana"/>
            <w:noProof/>
            <w:webHidden/>
            <w:sz w:val="18"/>
            <w:szCs w:val="18"/>
          </w:rPr>
          <w:fldChar w:fldCharType="end"/>
        </w:r>
      </w:hyperlink>
    </w:p>
    <w:p w14:paraId="6DB6551E" w14:textId="19D930EE" w:rsidR="009A39E2" w:rsidRPr="00BC57A2" w:rsidRDefault="007C0830" w:rsidP="009A39E2">
      <w:pPr>
        <w:pStyle w:val="TDC3"/>
        <w:tabs>
          <w:tab w:val="right" w:leader="dot" w:pos="8828"/>
        </w:tabs>
        <w:jc w:val="both"/>
        <w:rPr>
          <w:rFonts w:ascii="Verdana" w:eastAsiaTheme="minorEastAsia" w:hAnsi="Verdana"/>
          <w:noProof/>
          <w:sz w:val="18"/>
          <w:szCs w:val="18"/>
          <w:lang w:val="es-CR" w:eastAsia="es-CR"/>
        </w:rPr>
      </w:pPr>
      <w:hyperlink w:anchor="_Toc34337594" w:history="1">
        <w:r w:rsidR="009A39E2" w:rsidRPr="00BC57A2">
          <w:rPr>
            <w:rStyle w:val="Hipervnculo"/>
            <w:rFonts w:ascii="Verdana" w:hAnsi="Verdana"/>
            <w:b/>
            <w:i/>
            <w:noProof/>
            <w:color w:val="auto"/>
            <w:sz w:val="18"/>
            <w:szCs w:val="18"/>
          </w:rPr>
          <w:t>B.1 Plazo para el cumplimiento de las medias de restitución ordenadas</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_Toc34337594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108</w:t>
        </w:r>
        <w:r w:rsidR="009A39E2" w:rsidRPr="00BC57A2">
          <w:rPr>
            <w:rFonts w:ascii="Verdana" w:hAnsi="Verdana"/>
            <w:noProof/>
            <w:webHidden/>
            <w:sz w:val="18"/>
            <w:szCs w:val="18"/>
          </w:rPr>
          <w:fldChar w:fldCharType="end"/>
        </w:r>
      </w:hyperlink>
    </w:p>
    <w:p w14:paraId="06EC3F36" w14:textId="20DCFB74" w:rsidR="009A39E2" w:rsidRPr="00BC57A2" w:rsidRDefault="007C0830" w:rsidP="009A39E2">
      <w:pPr>
        <w:pStyle w:val="TDC3"/>
        <w:tabs>
          <w:tab w:val="right" w:leader="dot" w:pos="8828"/>
        </w:tabs>
        <w:jc w:val="both"/>
        <w:rPr>
          <w:rFonts w:ascii="Verdana" w:eastAsiaTheme="minorEastAsia" w:hAnsi="Verdana"/>
          <w:noProof/>
          <w:sz w:val="18"/>
          <w:szCs w:val="18"/>
          <w:lang w:val="es-CR" w:eastAsia="es-CR"/>
        </w:rPr>
      </w:pPr>
      <w:hyperlink w:anchor="_Toc34337595" w:history="1">
        <w:r w:rsidR="009A39E2" w:rsidRPr="00BC57A2">
          <w:rPr>
            <w:rStyle w:val="Hipervnculo"/>
            <w:rFonts w:ascii="Verdana" w:hAnsi="Verdana"/>
            <w:b/>
            <w:i/>
            <w:noProof/>
            <w:color w:val="auto"/>
            <w:sz w:val="18"/>
            <w:szCs w:val="18"/>
          </w:rPr>
          <w:t>B.2 Medidas para la restitución del derecho de propiedad</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_Toc34337595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108</w:t>
        </w:r>
        <w:r w:rsidR="009A39E2" w:rsidRPr="00BC57A2">
          <w:rPr>
            <w:rFonts w:ascii="Verdana" w:hAnsi="Verdana"/>
            <w:noProof/>
            <w:webHidden/>
            <w:sz w:val="18"/>
            <w:szCs w:val="18"/>
          </w:rPr>
          <w:fldChar w:fldCharType="end"/>
        </w:r>
      </w:hyperlink>
    </w:p>
    <w:p w14:paraId="3041AFE4" w14:textId="247BCD83" w:rsidR="009A39E2" w:rsidRPr="00BC57A2" w:rsidRDefault="007C0830" w:rsidP="009A39E2">
      <w:pPr>
        <w:pStyle w:val="TDC4"/>
        <w:tabs>
          <w:tab w:val="right" w:leader="dot" w:pos="8828"/>
        </w:tabs>
        <w:jc w:val="both"/>
        <w:rPr>
          <w:rFonts w:ascii="Verdana" w:eastAsiaTheme="minorEastAsia" w:hAnsi="Verdana"/>
          <w:noProof/>
          <w:sz w:val="18"/>
          <w:szCs w:val="18"/>
          <w:lang w:val="es-CR" w:eastAsia="es-CR"/>
        </w:rPr>
      </w:pPr>
      <w:hyperlink w:anchor="_Toc34337596" w:history="1">
        <w:r w:rsidR="009A39E2" w:rsidRPr="00BC57A2">
          <w:rPr>
            <w:rStyle w:val="Hipervnculo"/>
            <w:rFonts w:ascii="Verdana" w:hAnsi="Verdana"/>
            <w:i/>
            <w:noProof/>
            <w:color w:val="auto"/>
            <w:sz w:val="18"/>
            <w:szCs w:val="18"/>
          </w:rPr>
          <w:t>B.2.1 Delimitación, demarcación y titulación</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_Toc34337596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108</w:t>
        </w:r>
        <w:r w:rsidR="009A39E2" w:rsidRPr="00BC57A2">
          <w:rPr>
            <w:rFonts w:ascii="Verdana" w:hAnsi="Verdana"/>
            <w:noProof/>
            <w:webHidden/>
            <w:sz w:val="18"/>
            <w:szCs w:val="18"/>
          </w:rPr>
          <w:fldChar w:fldCharType="end"/>
        </w:r>
      </w:hyperlink>
    </w:p>
    <w:p w14:paraId="63059D49" w14:textId="43187B68" w:rsidR="009A39E2" w:rsidRPr="00BC57A2" w:rsidRDefault="007C0830" w:rsidP="009A39E2">
      <w:pPr>
        <w:pStyle w:val="TDC4"/>
        <w:tabs>
          <w:tab w:val="right" w:leader="dot" w:pos="8828"/>
        </w:tabs>
        <w:jc w:val="both"/>
        <w:rPr>
          <w:rFonts w:ascii="Verdana" w:eastAsiaTheme="minorEastAsia" w:hAnsi="Verdana"/>
          <w:noProof/>
          <w:sz w:val="18"/>
          <w:szCs w:val="18"/>
          <w:lang w:val="es-CR" w:eastAsia="es-CR"/>
        </w:rPr>
      </w:pPr>
      <w:hyperlink w:anchor="_Toc34337597" w:history="1">
        <w:r w:rsidR="009A39E2" w:rsidRPr="00BC57A2">
          <w:rPr>
            <w:rStyle w:val="Hipervnculo"/>
            <w:rFonts w:ascii="Verdana" w:hAnsi="Verdana"/>
            <w:i/>
            <w:noProof/>
            <w:color w:val="auto"/>
            <w:sz w:val="18"/>
            <w:szCs w:val="18"/>
          </w:rPr>
          <w:t>B.2.2 Obligación de consulta previa</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_Toc34337597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109</w:t>
        </w:r>
        <w:r w:rsidR="009A39E2" w:rsidRPr="00BC57A2">
          <w:rPr>
            <w:rFonts w:ascii="Verdana" w:hAnsi="Verdana"/>
            <w:noProof/>
            <w:webHidden/>
            <w:sz w:val="18"/>
            <w:szCs w:val="18"/>
          </w:rPr>
          <w:fldChar w:fldCharType="end"/>
        </w:r>
      </w:hyperlink>
    </w:p>
    <w:p w14:paraId="696FE317" w14:textId="312BC042" w:rsidR="009A39E2" w:rsidRPr="00BC57A2" w:rsidRDefault="007C0830" w:rsidP="009A39E2">
      <w:pPr>
        <w:pStyle w:val="TDC4"/>
        <w:tabs>
          <w:tab w:val="right" w:leader="dot" w:pos="8828"/>
        </w:tabs>
        <w:jc w:val="both"/>
        <w:rPr>
          <w:rFonts w:ascii="Verdana" w:eastAsiaTheme="minorEastAsia" w:hAnsi="Verdana"/>
          <w:noProof/>
          <w:sz w:val="18"/>
          <w:szCs w:val="18"/>
          <w:lang w:val="es-CR" w:eastAsia="es-CR"/>
        </w:rPr>
      </w:pPr>
      <w:hyperlink w:anchor="_Toc34337598" w:history="1">
        <w:r w:rsidR="009A39E2" w:rsidRPr="00BC57A2">
          <w:rPr>
            <w:rStyle w:val="Hipervnculo"/>
            <w:rFonts w:ascii="Verdana" w:hAnsi="Verdana"/>
            <w:i/>
            <w:noProof/>
            <w:color w:val="auto"/>
            <w:sz w:val="18"/>
            <w:szCs w:val="18"/>
          </w:rPr>
          <w:t>B.2.3 Traslado de la población criolla</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_Toc34337598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109</w:t>
        </w:r>
        <w:r w:rsidR="009A39E2" w:rsidRPr="00BC57A2">
          <w:rPr>
            <w:rFonts w:ascii="Verdana" w:hAnsi="Verdana"/>
            <w:noProof/>
            <w:webHidden/>
            <w:sz w:val="18"/>
            <w:szCs w:val="18"/>
          </w:rPr>
          <w:fldChar w:fldCharType="end"/>
        </w:r>
      </w:hyperlink>
    </w:p>
    <w:p w14:paraId="0467E6F0" w14:textId="76779C0F" w:rsidR="009A39E2" w:rsidRPr="00BC57A2" w:rsidRDefault="007C0830" w:rsidP="009A39E2">
      <w:pPr>
        <w:pStyle w:val="TDC3"/>
        <w:tabs>
          <w:tab w:val="right" w:leader="dot" w:pos="8828"/>
        </w:tabs>
        <w:jc w:val="both"/>
        <w:rPr>
          <w:rFonts w:ascii="Verdana" w:eastAsiaTheme="minorEastAsia" w:hAnsi="Verdana"/>
          <w:noProof/>
          <w:sz w:val="18"/>
          <w:szCs w:val="18"/>
          <w:lang w:val="es-CR" w:eastAsia="es-CR"/>
        </w:rPr>
      </w:pPr>
      <w:hyperlink w:anchor="_Toc34337599" w:history="1">
        <w:r w:rsidR="009A39E2" w:rsidRPr="00BC57A2">
          <w:rPr>
            <w:rStyle w:val="Hipervnculo"/>
            <w:rFonts w:ascii="Verdana" w:hAnsi="Verdana"/>
            <w:b/>
            <w:i/>
            <w:noProof/>
            <w:color w:val="auto"/>
            <w:sz w:val="18"/>
            <w:szCs w:val="18"/>
          </w:rPr>
          <w:t>B.3 Medidas para la restitución de los derechos al medio ambiente sano, a la alimentación, al agua y a la identidad cultural</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_Toc34337599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110</w:t>
        </w:r>
        <w:r w:rsidR="009A39E2" w:rsidRPr="00BC57A2">
          <w:rPr>
            <w:rFonts w:ascii="Verdana" w:hAnsi="Verdana"/>
            <w:noProof/>
            <w:webHidden/>
            <w:sz w:val="18"/>
            <w:szCs w:val="18"/>
          </w:rPr>
          <w:fldChar w:fldCharType="end"/>
        </w:r>
      </w:hyperlink>
    </w:p>
    <w:p w14:paraId="21134926" w14:textId="65C0DE36" w:rsidR="009A39E2" w:rsidRPr="00BC57A2" w:rsidRDefault="007C0830" w:rsidP="009A39E2">
      <w:pPr>
        <w:pStyle w:val="TDC4"/>
        <w:tabs>
          <w:tab w:val="right" w:leader="dot" w:pos="8828"/>
        </w:tabs>
        <w:jc w:val="both"/>
        <w:rPr>
          <w:rFonts w:ascii="Verdana" w:eastAsiaTheme="minorEastAsia" w:hAnsi="Verdana"/>
          <w:noProof/>
          <w:sz w:val="18"/>
          <w:szCs w:val="18"/>
          <w:lang w:val="es-CR" w:eastAsia="es-CR"/>
        </w:rPr>
      </w:pPr>
      <w:hyperlink w:anchor="_Toc34337600" w:history="1">
        <w:r w:rsidR="009A39E2" w:rsidRPr="00BC57A2">
          <w:rPr>
            <w:rStyle w:val="Hipervnculo"/>
            <w:rFonts w:ascii="Verdana" w:hAnsi="Verdana"/>
            <w:i/>
            <w:noProof/>
            <w:color w:val="auto"/>
            <w:sz w:val="18"/>
            <w:szCs w:val="18"/>
            <w:lang w:val="es-CR"/>
          </w:rPr>
          <w:t>B.3.1. Acciones dirigidas al agua, la alimentación y los recursos forestales</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_Toc34337600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111</w:t>
        </w:r>
        <w:r w:rsidR="009A39E2" w:rsidRPr="00BC57A2">
          <w:rPr>
            <w:rFonts w:ascii="Verdana" w:hAnsi="Verdana"/>
            <w:noProof/>
            <w:webHidden/>
            <w:sz w:val="18"/>
            <w:szCs w:val="18"/>
          </w:rPr>
          <w:fldChar w:fldCharType="end"/>
        </w:r>
      </w:hyperlink>
    </w:p>
    <w:p w14:paraId="7BEA06FA" w14:textId="7A1BBAEB" w:rsidR="009A39E2" w:rsidRPr="00BC57A2" w:rsidRDefault="007C0830" w:rsidP="009A39E2">
      <w:pPr>
        <w:pStyle w:val="TDC4"/>
        <w:tabs>
          <w:tab w:val="right" w:leader="dot" w:pos="8828"/>
        </w:tabs>
        <w:jc w:val="both"/>
        <w:rPr>
          <w:rFonts w:ascii="Verdana" w:eastAsiaTheme="minorEastAsia" w:hAnsi="Verdana"/>
          <w:noProof/>
          <w:sz w:val="18"/>
          <w:szCs w:val="18"/>
          <w:lang w:val="es-CR" w:eastAsia="es-CR"/>
        </w:rPr>
      </w:pPr>
      <w:hyperlink w:anchor="_Toc34337601" w:history="1">
        <w:r w:rsidR="009A39E2" w:rsidRPr="00BC57A2">
          <w:rPr>
            <w:rStyle w:val="Hipervnculo"/>
            <w:rFonts w:ascii="Verdana" w:hAnsi="Verdana"/>
            <w:i/>
            <w:noProof/>
            <w:color w:val="auto"/>
            <w:sz w:val="18"/>
            <w:szCs w:val="18"/>
            <w:lang w:val="es-CR"/>
          </w:rPr>
          <w:t>B.3.2 Fondo de Desarrollo Comunitario para la cultura indígena</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_Toc34337601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112</w:t>
        </w:r>
        <w:r w:rsidR="009A39E2" w:rsidRPr="00BC57A2">
          <w:rPr>
            <w:rFonts w:ascii="Verdana" w:hAnsi="Verdana"/>
            <w:noProof/>
            <w:webHidden/>
            <w:sz w:val="18"/>
            <w:szCs w:val="18"/>
          </w:rPr>
          <w:fldChar w:fldCharType="end"/>
        </w:r>
      </w:hyperlink>
    </w:p>
    <w:p w14:paraId="5C1A8C4B" w14:textId="42F3320C" w:rsidR="009A39E2" w:rsidRPr="00BC57A2" w:rsidRDefault="007C0830" w:rsidP="009A39E2">
      <w:pPr>
        <w:pStyle w:val="TDC3"/>
        <w:tabs>
          <w:tab w:val="right" w:leader="dot" w:pos="8828"/>
        </w:tabs>
        <w:jc w:val="both"/>
        <w:rPr>
          <w:rFonts w:ascii="Verdana" w:eastAsiaTheme="minorEastAsia" w:hAnsi="Verdana"/>
          <w:noProof/>
          <w:sz w:val="18"/>
          <w:szCs w:val="18"/>
          <w:lang w:val="es-CR" w:eastAsia="es-CR"/>
        </w:rPr>
      </w:pPr>
      <w:hyperlink w:anchor="_Toc34337602" w:history="1">
        <w:r w:rsidR="009A39E2" w:rsidRPr="00BC57A2">
          <w:rPr>
            <w:rStyle w:val="Hipervnculo"/>
            <w:rFonts w:ascii="Verdana" w:hAnsi="Verdana"/>
            <w:b/>
            <w:i/>
            <w:noProof/>
            <w:color w:val="auto"/>
            <w:sz w:val="18"/>
            <w:szCs w:val="18"/>
            <w:lang w:val="es-CR"/>
          </w:rPr>
          <w:t xml:space="preserve">B.4.Consideraciones adicionales, </w:t>
        </w:r>
        <w:r w:rsidR="009A39E2" w:rsidRPr="00BC57A2">
          <w:rPr>
            <w:rStyle w:val="Hipervnculo"/>
            <w:rFonts w:ascii="Verdana" w:hAnsi="Verdana"/>
            <w:b/>
            <w:i/>
            <w:noProof/>
            <w:color w:val="auto"/>
            <w:sz w:val="18"/>
            <w:szCs w:val="18"/>
          </w:rPr>
          <w:t>informes estatales, plan de trabajo y acciones para la supervisión de las medias ordenadas</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_Toc34337602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113</w:t>
        </w:r>
        <w:r w:rsidR="009A39E2" w:rsidRPr="00BC57A2">
          <w:rPr>
            <w:rFonts w:ascii="Verdana" w:hAnsi="Verdana"/>
            <w:noProof/>
            <w:webHidden/>
            <w:sz w:val="18"/>
            <w:szCs w:val="18"/>
          </w:rPr>
          <w:fldChar w:fldCharType="end"/>
        </w:r>
      </w:hyperlink>
    </w:p>
    <w:p w14:paraId="0185139C" w14:textId="06E42655" w:rsidR="009A39E2" w:rsidRPr="00BC57A2" w:rsidRDefault="007C0830" w:rsidP="009A39E2">
      <w:pPr>
        <w:pStyle w:val="TDC2"/>
        <w:rPr>
          <w:rFonts w:ascii="Verdana" w:eastAsiaTheme="minorEastAsia" w:hAnsi="Verdana"/>
          <w:b w:val="0"/>
          <w:bCs w:val="0"/>
          <w:noProof/>
          <w:sz w:val="18"/>
          <w:szCs w:val="18"/>
          <w:lang w:val="es-CR" w:eastAsia="es-CR"/>
        </w:rPr>
      </w:pPr>
      <w:hyperlink w:anchor="_Toc34337603" w:history="1">
        <w:r w:rsidR="009A39E2" w:rsidRPr="00BC57A2">
          <w:rPr>
            <w:rStyle w:val="Hipervnculo"/>
            <w:rFonts w:ascii="Verdana" w:hAnsi="Verdana"/>
            <w:i/>
            <w:noProof/>
            <w:color w:val="auto"/>
            <w:sz w:val="18"/>
            <w:szCs w:val="18"/>
          </w:rPr>
          <w:t>C)</w:t>
        </w:r>
        <w:r w:rsidR="00BC57A2" w:rsidRPr="00BC57A2">
          <w:rPr>
            <w:rStyle w:val="Hipervnculo"/>
            <w:rFonts w:ascii="Verdana" w:hAnsi="Verdana"/>
            <w:i/>
            <w:noProof/>
            <w:color w:val="auto"/>
            <w:sz w:val="18"/>
            <w:szCs w:val="18"/>
          </w:rPr>
          <w:t xml:space="preserve"> </w:t>
        </w:r>
        <w:r w:rsidR="009A39E2" w:rsidRPr="00BC57A2">
          <w:rPr>
            <w:rStyle w:val="Hipervnculo"/>
            <w:rFonts w:ascii="Verdana" w:hAnsi="Verdana"/>
            <w:i/>
            <w:noProof/>
            <w:color w:val="auto"/>
            <w:sz w:val="18"/>
            <w:szCs w:val="18"/>
          </w:rPr>
          <w:t>Medidas de Satisfacción</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_Toc34337603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114</w:t>
        </w:r>
        <w:r w:rsidR="009A39E2" w:rsidRPr="00BC57A2">
          <w:rPr>
            <w:rFonts w:ascii="Verdana" w:hAnsi="Verdana"/>
            <w:noProof/>
            <w:webHidden/>
            <w:sz w:val="18"/>
            <w:szCs w:val="18"/>
          </w:rPr>
          <w:fldChar w:fldCharType="end"/>
        </w:r>
      </w:hyperlink>
    </w:p>
    <w:p w14:paraId="694DEC89" w14:textId="6DB4D464" w:rsidR="009A39E2" w:rsidRPr="00BC57A2" w:rsidRDefault="007C0830" w:rsidP="009A39E2">
      <w:pPr>
        <w:pStyle w:val="TDC2"/>
        <w:rPr>
          <w:rFonts w:ascii="Verdana" w:eastAsiaTheme="minorEastAsia" w:hAnsi="Verdana"/>
          <w:b w:val="0"/>
          <w:bCs w:val="0"/>
          <w:noProof/>
          <w:sz w:val="18"/>
          <w:szCs w:val="18"/>
          <w:lang w:val="es-CR" w:eastAsia="es-CR"/>
        </w:rPr>
      </w:pPr>
      <w:hyperlink w:anchor="_Toc34337604" w:history="1">
        <w:r w:rsidR="009A39E2" w:rsidRPr="00BC57A2">
          <w:rPr>
            <w:rStyle w:val="Hipervnculo"/>
            <w:rFonts w:ascii="Verdana" w:hAnsi="Verdana"/>
            <w:i/>
            <w:noProof/>
            <w:color w:val="auto"/>
            <w:sz w:val="18"/>
            <w:szCs w:val="18"/>
          </w:rPr>
          <w:t>D)</w:t>
        </w:r>
        <w:r w:rsidR="00BC57A2" w:rsidRPr="00BC57A2">
          <w:rPr>
            <w:rStyle w:val="Hipervnculo"/>
            <w:rFonts w:ascii="Verdana" w:hAnsi="Verdana"/>
            <w:i/>
            <w:noProof/>
            <w:color w:val="auto"/>
            <w:sz w:val="18"/>
            <w:szCs w:val="18"/>
          </w:rPr>
          <w:t xml:space="preserve"> </w:t>
        </w:r>
        <w:r w:rsidR="009A39E2" w:rsidRPr="00BC57A2">
          <w:rPr>
            <w:rStyle w:val="Hipervnculo"/>
            <w:rFonts w:ascii="Verdana" w:hAnsi="Verdana"/>
            <w:i/>
            <w:noProof/>
            <w:color w:val="auto"/>
            <w:sz w:val="18"/>
            <w:szCs w:val="18"/>
          </w:rPr>
          <w:t>Medidas de no repetición</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_Toc34337604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115</w:t>
        </w:r>
        <w:r w:rsidR="009A39E2" w:rsidRPr="00BC57A2">
          <w:rPr>
            <w:rFonts w:ascii="Verdana" w:hAnsi="Verdana"/>
            <w:noProof/>
            <w:webHidden/>
            <w:sz w:val="18"/>
            <w:szCs w:val="18"/>
          </w:rPr>
          <w:fldChar w:fldCharType="end"/>
        </w:r>
      </w:hyperlink>
    </w:p>
    <w:p w14:paraId="6D782BB2" w14:textId="699FC542" w:rsidR="009A39E2" w:rsidRPr="00BC57A2" w:rsidRDefault="007C0830" w:rsidP="009A39E2">
      <w:pPr>
        <w:pStyle w:val="TDC2"/>
        <w:rPr>
          <w:rFonts w:ascii="Verdana" w:eastAsiaTheme="minorEastAsia" w:hAnsi="Verdana"/>
          <w:b w:val="0"/>
          <w:bCs w:val="0"/>
          <w:noProof/>
          <w:sz w:val="18"/>
          <w:szCs w:val="18"/>
          <w:lang w:val="es-CR" w:eastAsia="es-CR"/>
        </w:rPr>
      </w:pPr>
      <w:hyperlink w:anchor="_Toc34337605" w:history="1">
        <w:r w:rsidR="009A39E2" w:rsidRPr="00BC57A2">
          <w:rPr>
            <w:rStyle w:val="Hipervnculo"/>
            <w:rFonts w:ascii="Verdana" w:hAnsi="Verdana"/>
            <w:i/>
            <w:noProof/>
            <w:color w:val="auto"/>
            <w:sz w:val="18"/>
            <w:szCs w:val="18"/>
          </w:rPr>
          <w:t>E)</w:t>
        </w:r>
        <w:r w:rsidR="00BC57A2" w:rsidRPr="00BC57A2">
          <w:rPr>
            <w:rStyle w:val="Hipervnculo"/>
            <w:rFonts w:ascii="Verdana" w:hAnsi="Verdana"/>
            <w:i/>
            <w:noProof/>
            <w:color w:val="auto"/>
            <w:sz w:val="18"/>
            <w:szCs w:val="18"/>
          </w:rPr>
          <w:t xml:space="preserve"> </w:t>
        </w:r>
        <w:r w:rsidR="009A39E2" w:rsidRPr="00BC57A2">
          <w:rPr>
            <w:rStyle w:val="Hipervnculo"/>
            <w:rFonts w:ascii="Verdana" w:hAnsi="Verdana"/>
            <w:i/>
            <w:noProof/>
            <w:color w:val="auto"/>
            <w:sz w:val="18"/>
            <w:szCs w:val="18"/>
          </w:rPr>
          <w:t>Otras medidas solicitadas</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_Toc34337605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118</w:t>
        </w:r>
        <w:r w:rsidR="009A39E2" w:rsidRPr="00BC57A2">
          <w:rPr>
            <w:rFonts w:ascii="Verdana" w:hAnsi="Verdana"/>
            <w:noProof/>
            <w:webHidden/>
            <w:sz w:val="18"/>
            <w:szCs w:val="18"/>
          </w:rPr>
          <w:fldChar w:fldCharType="end"/>
        </w:r>
      </w:hyperlink>
    </w:p>
    <w:p w14:paraId="36312E7F" w14:textId="31930BC3" w:rsidR="009A39E2" w:rsidRPr="00BC57A2" w:rsidRDefault="007C0830" w:rsidP="009A39E2">
      <w:pPr>
        <w:pStyle w:val="TDC2"/>
        <w:rPr>
          <w:rFonts w:ascii="Verdana" w:eastAsiaTheme="minorEastAsia" w:hAnsi="Verdana"/>
          <w:b w:val="0"/>
          <w:bCs w:val="0"/>
          <w:noProof/>
          <w:sz w:val="18"/>
          <w:szCs w:val="18"/>
          <w:lang w:val="es-CR" w:eastAsia="es-CR"/>
        </w:rPr>
      </w:pPr>
      <w:hyperlink w:anchor="_Toc34337606" w:history="1">
        <w:r w:rsidR="009A39E2" w:rsidRPr="00BC57A2">
          <w:rPr>
            <w:rStyle w:val="Hipervnculo"/>
            <w:rFonts w:ascii="Verdana" w:hAnsi="Verdana"/>
            <w:i/>
            <w:noProof/>
            <w:color w:val="auto"/>
            <w:sz w:val="18"/>
            <w:szCs w:val="18"/>
          </w:rPr>
          <w:t>F)</w:t>
        </w:r>
        <w:r w:rsidR="00BC57A2" w:rsidRPr="00BC57A2">
          <w:rPr>
            <w:rStyle w:val="Hipervnculo"/>
            <w:rFonts w:ascii="Verdana" w:hAnsi="Verdana"/>
            <w:i/>
            <w:noProof/>
            <w:color w:val="auto"/>
            <w:sz w:val="18"/>
            <w:szCs w:val="18"/>
          </w:rPr>
          <w:t xml:space="preserve"> </w:t>
        </w:r>
        <w:r w:rsidR="009A39E2" w:rsidRPr="00BC57A2">
          <w:rPr>
            <w:rStyle w:val="Hipervnculo"/>
            <w:rFonts w:ascii="Verdana" w:hAnsi="Verdana"/>
            <w:i/>
            <w:noProof/>
            <w:color w:val="auto"/>
            <w:sz w:val="18"/>
            <w:szCs w:val="18"/>
          </w:rPr>
          <w:t>Costas y gastos</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_Toc34337606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118</w:t>
        </w:r>
        <w:r w:rsidR="009A39E2" w:rsidRPr="00BC57A2">
          <w:rPr>
            <w:rFonts w:ascii="Verdana" w:hAnsi="Verdana"/>
            <w:noProof/>
            <w:webHidden/>
            <w:sz w:val="18"/>
            <w:szCs w:val="18"/>
          </w:rPr>
          <w:fldChar w:fldCharType="end"/>
        </w:r>
      </w:hyperlink>
    </w:p>
    <w:p w14:paraId="17D18818" w14:textId="65C59360" w:rsidR="009A39E2" w:rsidRPr="00BC57A2" w:rsidRDefault="007C0830" w:rsidP="009A39E2">
      <w:pPr>
        <w:pStyle w:val="TDC2"/>
        <w:rPr>
          <w:rFonts w:ascii="Verdana" w:eastAsiaTheme="minorEastAsia" w:hAnsi="Verdana"/>
          <w:b w:val="0"/>
          <w:bCs w:val="0"/>
          <w:noProof/>
          <w:sz w:val="18"/>
          <w:szCs w:val="18"/>
          <w:lang w:val="es-CR" w:eastAsia="es-CR"/>
        </w:rPr>
      </w:pPr>
      <w:hyperlink w:anchor="_Toc34337607" w:history="1">
        <w:r w:rsidR="009A39E2" w:rsidRPr="00BC57A2">
          <w:rPr>
            <w:rStyle w:val="Hipervnculo"/>
            <w:rFonts w:ascii="Verdana" w:hAnsi="Verdana"/>
            <w:i/>
            <w:noProof/>
            <w:color w:val="auto"/>
            <w:sz w:val="18"/>
            <w:szCs w:val="18"/>
          </w:rPr>
          <w:t>G)</w:t>
        </w:r>
        <w:r w:rsidR="00BC57A2" w:rsidRPr="00BC57A2">
          <w:rPr>
            <w:rStyle w:val="Hipervnculo"/>
            <w:rFonts w:ascii="Verdana" w:hAnsi="Verdana"/>
            <w:i/>
            <w:noProof/>
            <w:color w:val="auto"/>
            <w:sz w:val="18"/>
            <w:szCs w:val="18"/>
          </w:rPr>
          <w:t xml:space="preserve"> </w:t>
        </w:r>
        <w:r w:rsidR="009A39E2" w:rsidRPr="00BC57A2">
          <w:rPr>
            <w:rStyle w:val="Hipervnculo"/>
            <w:rFonts w:ascii="Verdana" w:hAnsi="Verdana"/>
            <w:i/>
            <w:noProof/>
            <w:color w:val="auto"/>
            <w:sz w:val="18"/>
            <w:szCs w:val="18"/>
          </w:rPr>
          <w:t>Modalidad de cumplimiento</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_Toc34337607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119</w:t>
        </w:r>
        <w:r w:rsidR="009A39E2" w:rsidRPr="00BC57A2">
          <w:rPr>
            <w:rFonts w:ascii="Verdana" w:hAnsi="Verdana"/>
            <w:noProof/>
            <w:webHidden/>
            <w:sz w:val="18"/>
            <w:szCs w:val="18"/>
          </w:rPr>
          <w:fldChar w:fldCharType="end"/>
        </w:r>
      </w:hyperlink>
    </w:p>
    <w:p w14:paraId="5C5EBEE8" w14:textId="77777777" w:rsidR="00BC57A2" w:rsidRPr="00BC57A2" w:rsidRDefault="00BC57A2" w:rsidP="00D1698B">
      <w:pPr>
        <w:pStyle w:val="TDC1"/>
        <w:rPr>
          <w:rStyle w:val="Hipervnculo"/>
          <w:rFonts w:ascii="Verdana" w:hAnsi="Verdana"/>
          <w:noProof/>
          <w:color w:val="auto"/>
          <w:sz w:val="18"/>
          <w:szCs w:val="18"/>
        </w:rPr>
      </w:pPr>
    </w:p>
    <w:p w14:paraId="39CEC158" w14:textId="76483F5A" w:rsidR="009A39E2" w:rsidRPr="00D1698B" w:rsidRDefault="007C0830" w:rsidP="00D1698B">
      <w:pPr>
        <w:pStyle w:val="TDC1"/>
        <w:rPr>
          <w:rFonts w:ascii="Verdana" w:eastAsiaTheme="minorEastAsia" w:hAnsi="Verdana"/>
          <w:noProof/>
          <w:sz w:val="18"/>
          <w:szCs w:val="18"/>
          <w:lang w:val="es-CR" w:eastAsia="es-CR"/>
        </w:rPr>
      </w:pPr>
      <w:hyperlink w:anchor="_Toc34337608" w:history="1">
        <w:r w:rsidR="009A39E2" w:rsidRPr="00D1698B">
          <w:rPr>
            <w:rStyle w:val="Hipervnculo"/>
            <w:rFonts w:ascii="Verdana" w:hAnsi="Verdana"/>
            <w:noProof/>
            <w:color w:val="auto"/>
            <w:sz w:val="18"/>
            <w:szCs w:val="18"/>
          </w:rPr>
          <w:t>IX</w:t>
        </w:r>
      </w:hyperlink>
      <w:r w:rsidR="008A416C" w:rsidRPr="00D1698B">
        <w:rPr>
          <w:rStyle w:val="Hipervnculo"/>
          <w:rFonts w:ascii="Verdana" w:hAnsi="Verdana"/>
          <w:noProof/>
          <w:color w:val="auto"/>
          <w:sz w:val="18"/>
          <w:szCs w:val="18"/>
          <w:u w:val="none"/>
        </w:rPr>
        <w:t>.</w:t>
      </w:r>
      <w:r w:rsidR="009A39E2" w:rsidRPr="00D1698B">
        <w:rPr>
          <w:rStyle w:val="Hipervnculo"/>
          <w:rFonts w:ascii="Verdana" w:hAnsi="Verdana"/>
          <w:noProof/>
          <w:color w:val="auto"/>
          <w:sz w:val="18"/>
          <w:szCs w:val="18"/>
          <w:u w:val="none"/>
        </w:rPr>
        <w:t xml:space="preserve"> </w:t>
      </w:r>
      <w:hyperlink w:anchor="_Toc34337609" w:history="1">
        <w:r w:rsidR="009A39E2" w:rsidRPr="00D1698B">
          <w:rPr>
            <w:rStyle w:val="Hipervnculo"/>
            <w:rFonts w:ascii="Verdana" w:hAnsi="Verdana"/>
            <w:noProof/>
            <w:color w:val="auto"/>
            <w:sz w:val="18"/>
            <w:szCs w:val="18"/>
          </w:rPr>
          <w:t>PUNTOS RESOLUTIVOS</w:t>
        </w:r>
        <w:r w:rsidR="009A39E2" w:rsidRPr="00D1698B">
          <w:rPr>
            <w:rFonts w:ascii="Verdana" w:hAnsi="Verdana"/>
            <w:noProof/>
            <w:webHidden/>
            <w:sz w:val="18"/>
            <w:szCs w:val="18"/>
          </w:rPr>
          <w:tab/>
        </w:r>
        <w:r w:rsidR="009A39E2" w:rsidRPr="00D1698B">
          <w:rPr>
            <w:rFonts w:ascii="Verdana" w:hAnsi="Verdana"/>
            <w:noProof/>
            <w:webHidden/>
            <w:sz w:val="18"/>
            <w:szCs w:val="18"/>
          </w:rPr>
          <w:fldChar w:fldCharType="begin"/>
        </w:r>
        <w:r w:rsidR="009A39E2" w:rsidRPr="00D1698B">
          <w:rPr>
            <w:rFonts w:ascii="Verdana" w:hAnsi="Verdana"/>
            <w:noProof/>
            <w:webHidden/>
            <w:sz w:val="18"/>
            <w:szCs w:val="18"/>
          </w:rPr>
          <w:instrText xml:space="preserve"> PAGEREF _Toc34337609 \h </w:instrText>
        </w:r>
        <w:r w:rsidR="009A39E2" w:rsidRPr="00D1698B">
          <w:rPr>
            <w:rFonts w:ascii="Verdana" w:hAnsi="Verdana"/>
            <w:noProof/>
            <w:webHidden/>
            <w:sz w:val="18"/>
            <w:szCs w:val="18"/>
          </w:rPr>
        </w:r>
        <w:r w:rsidR="009A39E2" w:rsidRPr="00D1698B">
          <w:rPr>
            <w:rFonts w:ascii="Verdana" w:hAnsi="Verdana"/>
            <w:noProof/>
            <w:webHidden/>
            <w:sz w:val="18"/>
            <w:szCs w:val="18"/>
          </w:rPr>
          <w:fldChar w:fldCharType="separate"/>
        </w:r>
        <w:r w:rsidR="00F5089C">
          <w:rPr>
            <w:rFonts w:ascii="Verdana" w:hAnsi="Verdana"/>
            <w:noProof/>
            <w:webHidden/>
            <w:sz w:val="18"/>
            <w:szCs w:val="18"/>
          </w:rPr>
          <w:t>120</w:t>
        </w:r>
        <w:r w:rsidR="009A39E2" w:rsidRPr="00D1698B">
          <w:rPr>
            <w:rFonts w:ascii="Verdana" w:hAnsi="Verdana"/>
            <w:noProof/>
            <w:webHidden/>
            <w:sz w:val="18"/>
            <w:szCs w:val="18"/>
          </w:rPr>
          <w:fldChar w:fldCharType="end"/>
        </w:r>
      </w:hyperlink>
    </w:p>
    <w:p w14:paraId="4BDC187F" w14:textId="77777777" w:rsidR="00BC57A2" w:rsidRPr="00D1698B" w:rsidRDefault="00BC57A2" w:rsidP="00D1698B">
      <w:pPr>
        <w:pStyle w:val="TDC1"/>
        <w:rPr>
          <w:rStyle w:val="Hipervnculo"/>
          <w:rFonts w:ascii="Verdana" w:hAnsi="Verdana"/>
          <w:noProof/>
          <w:color w:val="auto"/>
          <w:sz w:val="18"/>
          <w:szCs w:val="18"/>
        </w:rPr>
      </w:pPr>
    </w:p>
    <w:p w14:paraId="55A49D92" w14:textId="146DBA9A" w:rsidR="009A39E2" w:rsidRPr="00D1698B" w:rsidRDefault="007C0830" w:rsidP="00D1698B">
      <w:pPr>
        <w:pStyle w:val="TDC1"/>
        <w:rPr>
          <w:rFonts w:ascii="Verdana" w:eastAsiaTheme="minorEastAsia" w:hAnsi="Verdana"/>
          <w:noProof/>
          <w:sz w:val="18"/>
          <w:szCs w:val="18"/>
          <w:lang w:val="es-CR" w:eastAsia="es-CR"/>
        </w:rPr>
      </w:pPr>
      <w:hyperlink w:anchor="_Toc34337610" w:history="1">
        <w:r w:rsidR="009A39E2" w:rsidRPr="00D1698B">
          <w:rPr>
            <w:rStyle w:val="Hipervnculo"/>
            <w:rFonts w:ascii="Verdana" w:hAnsi="Verdana"/>
            <w:noProof/>
            <w:color w:val="auto"/>
            <w:sz w:val="18"/>
            <w:szCs w:val="18"/>
            <w:lang w:val="es-ES"/>
          </w:rPr>
          <w:t>ANEXO I</w:t>
        </w:r>
        <w:r w:rsidR="009A39E2" w:rsidRPr="00D1698B">
          <w:rPr>
            <w:rFonts w:ascii="Verdana" w:hAnsi="Verdana"/>
            <w:noProof/>
            <w:webHidden/>
            <w:sz w:val="18"/>
            <w:szCs w:val="18"/>
          </w:rPr>
          <w:tab/>
        </w:r>
        <w:r w:rsidR="009A39E2" w:rsidRPr="00D1698B">
          <w:rPr>
            <w:rFonts w:ascii="Verdana" w:hAnsi="Verdana"/>
            <w:noProof/>
            <w:webHidden/>
            <w:sz w:val="18"/>
            <w:szCs w:val="18"/>
          </w:rPr>
          <w:fldChar w:fldCharType="begin"/>
        </w:r>
        <w:r w:rsidR="009A39E2" w:rsidRPr="00D1698B">
          <w:rPr>
            <w:rFonts w:ascii="Verdana" w:hAnsi="Verdana"/>
            <w:noProof/>
            <w:webHidden/>
            <w:sz w:val="18"/>
            <w:szCs w:val="18"/>
          </w:rPr>
          <w:instrText xml:space="preserve"> PAGEREF _Toc34337610 \h </w:instrText>
        </w:r>
        <w:r w:rsidR="009A39E2" w:rsidRPr="00D1698B">
          <w:rPr>
            <w:rFonts w:ascii="Verdana" w:hAnsi="Verdana"/>
            <w:noProof/>
            <w:webHidden/>
            <w:sz w:val="18"/>
            <w:szCs w:val="18"/>
          </w:rPr>
        </w:r>
        <w:r w:rsidR="009A39E2" w:rsidRPr="00D1698B">
          <w:rPr>
            <w:rFonts w:ascii="Verdana" w:hAnsi="Verdana"/>
            <w:noProof/>
            <w:webHidden/>
            <w:sz w:val="18"/>
            <w:szCs w:val="18"/>
          </w:rPr>
          <w:fldChar w:fldCharType="separate"/>
        </w:r>
        <w:r w:rsidR="00F5089C">
          <w:rPr>
            <w:rFonts w:ascii="Verdana" w:hAnsi="Verdana"/>
            <w:noProof/>
            <w:webHidden/>
            <w:sz w:val="18"/>
            <w:szCs w:val="18"/>
          </w:rPr>
          <w:t>125</w:t>
        </w:r>
        <w:r w:rsidR="009A39E2" w:rsidRPr="00D1698B">
          <w:rPr>
            <w:rFonts w:ascii="Verdana" w:hAnsi="Verdana"/>
            <w:noProof/>
            <w:webHidden/>
            <w:sz w:val="18"/>
            <w:szCs w:val="18"/>
          </w:rPr>
          <w:fldChar w:fldCharType="end"/>
        </w:r>
      </w:hyperlink>
    </w:p>
    <w:p w14:paraId="273DD749" w14:textId="1CBA0C65" w:rsidR="009A39E2" w:rsidRPr="00D1698B" w:rsidRDefault="007C0830" w:rsidP="00D1698B">
      <w:pPr>
        <w:pStyle w:val="TDC1"/>
        <w:rPr>
          <w:rFonts w:ascii="Verdana" w:eastAsiaTheme="minorEastAsia" w:hAnsi="Verdana"/>
          <w:noProof/>
          <w:sz w:val="18"/>
          <w:szCs w:val="18"/>
          <w:lang w:val="es-CR" w:eastAsia="es-CR"/>
        </w:rPr>
      </w:pPr>
      <w:hyperlink w:anchor="_Toc34337611" w:history="1">
        <w:r w:rsidR="009A39E2" w:rsidRPr="00D1698B">
          <w:rPr>
            <w:rStyle w:val="Hipervnculo"/>
            <w:rFonts w:ascii="Verdana" w:hAnsi="Verdana"/>
            <w:noProof/>
            <w:color w:val="auto"/>
            <w:sz w:val="18"/>
            <w:szCs w:val="18"/>
            <w:lang w:val="es-ES"/>
          </w:rPr>
          <w:t>ANEXO II</w:t>
        </w:r>
        <w:r w:rsidR="009A39E2" w:rsidRPr="00D1698B">
          <w:rPr>
            <w:rFonts w:ascii="Verdana" w:hAnsi="Verdana"/>
            <w:noProof/>
            <w:webHidden/>
            <w:sz w:val="18"/>
            <w:szCs w:val="18"/>
          </w:rPr>
          <w:tab/>
        </w:r>
        <w:r w:rsidR="009A39E2" w:rsidRPr="00D1698B">
          <w:rPr>
            <w:rFonts w:ascii="Verdana" w:hAnsi="Verdana"/>
            <w:noProof/>
            <w:webHidden/>
            <w:sz w:val="18"/>
            <w:szCs w:val="18"/>
          </w:rPr>
          <w:fldChar w:fldCharType="begin"/>
        </w:r>
        <w:r w:rsidR="009A39E2" w:rsidRPr="00D1698B">
          <w:rPr>
            <w:rFonts w:ascii="Verdana" w:hAnsi="Verdana"/>
            <w:noProof/>
            <w:webHidden/>
            <w:sz w:val="18"/>
            <w:szCs w:val="18"/>
          </w:rPr>
          <w:instrText xml:space="preserve"> PAGEREF _Toc34337611 \h </w:instrText>
        </w:r>
        <w:r w:rsidR="009A39E2" w:rsidRPr="00D1698B">
          <w:rPr>
            <w:rFonts w:ascii="Verdana" w:hAnsi="Verdana"/>
            <w:noProof/>
            <w:webHidden/>
            <w:sz w:val="18"/>
            <w:szCs w:val="18"/>
          </w:rPr>
        </w:r>
        <w:r w:rsidR="009A39E2" w:rsidRPr="00D1698B">
          <w:rPr>
            <w:rFonts w:ascii="Verdana" w:hAnsi="Verdana"/>
            <w:noProof/>
            <w:webHidden/>
            <w:sz w:val="18"/>
            <w:szCs w:val="18"/>
          </w:rPr>
          <w:fldChar w:fldCharType="separate"/>
        </w:r>
        <w:r w:rsidR="00F5089C">
          <w:rPr>
            <w:rFonts w:ascii="Verdana" w:hAnsi="Verdana"/>
            <w:noProof/>
            <w:webHidden/>
            <w:sz w:val="18"/>
            <w:szCs w:val="18"/>
          </w:rPr>
          <w:t>126</w:t>
        </w:r>
        <w:r w:rsidR="009A39E2" w:rsidRPr="00D1698B">
          <w:rPr>
            <w:rFonts w:ascii="Verdana" w:hAnsi="Verdana"/>
            <w:noProof/>
            <w:webHidden/>
            <w:sz w:val="18"/>
            <w:szCs w:val="18"/>
          </w:rPr>
          <w:fldChar w:fldCharType="end"/>
        </w:r>
      </w:hyperlink>
    </w:p>
    <w:p w14:paraId="0A78DEEB" w14:textId="75CBEBCB" w:rsidR="009A39E2" w:rsidRPr="00D1698B" w:rsidRDefault="007C0830" w:rsidP="00D1698B">
      <w:pPr>
        <w:pStyle w:val="TDC1"/>
        <w:rPr>
          <w:rFonts w:ascii="Verdana" w:eastAsiaTheme="minorEastAsia" w:hAnsi="Verdana"/>
          <w:noProof/>
          <w:sz w:val="18"/>
          <w:szCs w:val="18"/>
          <w:lang w:val="es-CR" w:eastAsia="es-CR"/>
        </w:rPr>
      </w:pPr>
      <w:hyperlink w:anchor="_Toc34337612" w:history="1">
        <w:r w:rsidR="009A39E2" w:rsidRPr="00D1698B">
          <w:rPr>
            <w:rStyle w:val="Hipervnculo"/>
            <w:rFonts w:ascii="Verdana" w:hAnsi="Verdana"/>
            <w:noProof/>
            <w:color w:val="auto"/>
            <w:sz w:val="18"/>
            <w:szCs w:val="18"/>
            <w:lang w:val="es-ES"/>
          </w:rPr>
          <w:t>ANEXO III</w:t>
        </w:r>
        <w:r w:rsidR="009A39E2" w:rsidRPr="00D1698B">
          <w:rPr>
            <w:rFonts w:ascii="Verdana" w:hAnsi="Verdana"/>
            <w:noProof/>
            <w:webHidden/>
            <w:sz w:val="18"/>
            <w:szCs w:val="18"/>
          </w:rPr>
          <w:tab/>
        </w:r>
        <w:r w:rsidR="009A39E2" w:rsidRPr="00D1698B">
          <w:rPr>
            <w:rFonts w:ascii="Verdana" w:hAnsi="Verdana"/>
            <w:noProof/>
            <w:webHidden/>
            <w:sz w:val="18"/>
            <w:szCs w:val="18"/>
          </w:rPr>
          <w:fldChar w:fldCharType="begin"/>
        </w:r>
        <w:r w:rsidR="009A39E2" w:rsidRPr="00D1698B">
          <w:rPr>
            <w:rFonts w:ascii="Verdana" w:hAnsi="Verdana"/>
            <w:noProof/>
            <w:webHidden/>
            <w:sz w:val="18"/>
            <w:szCs w:val="18"/>
          </w:rPr>
          <w:instrText xml:space="preserve"> PAGEREF _Toc34337612 \h </w:instrText>
        </w:r>
        <w:r w:rsidR="009A39E2" w:rsidRPr="00D1698B">
          <w:rPr>
            <w:rFonts w:ascii="Verdana" w:hAnsi="Verdana"/>
            <w:noProof/>
            <w:webHidden/>
            <w:sz w:val="18"/>
            <w:szCs w:val="18"/>
          </w:rPr>
        </w:r>
        <w:r w:rsidR="009A39E2" w:rsidRPr="00D1698B">
          <w:rPr>
            <w:rFonts w:ascii="Verdana" w:hAnsi="Verdana"/>
            <w:noProof/>
            <w:webHidden/>
            <w:sz w:val="18"/>
            <w:szCs w:val="18"/>
          </w:rPr>
          <w:fldChar w:fldCharType="separate"/>
        </w:r>
        <w:r w:rsidR="00F5089C">
          <w:rPr>
            <w:rFonts w:ascii="Verdana" w:hAnsi="Verdana"/>
            <w:noProof/>
            <w:webHidden/>
            <w:sz w:val="18"/>
            <w:szCs w:val="18"/>
          </w:rPr>
          <w:t>127</w:t>
        </w:r>
        <w:r w:rsidR="009A39E2" w:rsidRPr="00D1698B">
          <w:rPr>
            <w:rFonts w:ascii="Verdana" w:hAnsi="Verdana"/>
            <w:noProof/>
            <w:webHidden/>
            <w:sz w:val="18"/>
            <w:szCs w:val="18"/>
          </w:rPr>
          <w:fldChar w:fldCharType="end"/>
        </w:r>
      </w:hyperlink>
    </w:p>
    <w:p w14:paraId="5A0C9737" w14:textId="4B67F2F5" w:rsidR="009A39E2" w:rsidRPr="00D1698B" w:rsidRDefault="007C0830" w:rsidP="00D1698B">
      <w:pPr>
        <w:pStyle w:val="TDC1"/>
        <w:rPr>
          <w:rFonts w:ascii="Verdana" w:eastAsiaTheme="minorEastAsia" w:hAnsi="Verdana"/>
          <w:noProof/>
          <w:sz w:val="18"/>
          <w:szCs w:val="18"/>
          <w:lang w:val="es-CR" w:eastAsia="es-CR"/>
        </w:rPr>
      </w:pPr>
      <w:hyperlink w:anchor="_Toc34337613" w:history="1">
        <w:r w:rsidR="009A39E2" w:rsidRPr="00D1698B">
          <w:rPr>
            <w:rStyle w:val="Hipervnculo"/>
            <w:rFonts w:ascii="Verdana" w:hAnsi="Verdana"/>
            <w:noProof/>
            <w:color w:val="auto"/>
            <w:sz w:val="18"/>
            <w:szCs w:val="18"/>
            <w:lang w:val="es-ES"/>
          </w:rPr>
          <w:t>ANEXO IV</w:t>
        </w:r>
        <w:r w:rsidR="009A39E2" w:rsidRPr="00D1698B">
          <w:rPr>
            <w:rFonts w:ascii="Verdana" w:hAnsi="Verdana"/>
            <w:noProof/>
            <w:webHidden/>
            <w:sz w:val="18"/>
            <w:szCs w:val="18"/>
          </w:rPr>
          <w:tab/>
        </w:r>
        <w:r w:rsidR="009A39E2" w:rsidRPr="00D1698B">
          <w:rPr>
            <w:rFonts w:ascii="Verdana" w:hAnsi="Verdana"/>
            <w:noProof/>
            <w:webHidden/>
            <w:sz w:val="18"/>
            <w:szCs w:val="18"/>
          </w:rPr>
          <w:fldChar w:fldCharType="begin"/>
        </w:r>
        <w:r w:rsidR="009A39E2" w:rsidRPr="00D1698B">
          <w:rPr>
            <w:rFonts w:ascii="Verdana" w:hAnsi="Verdana"/>
            <w:noProof/>
            <w:webHidden/>
            <w:sz w:val="18"/>
            <w:szCs w:val="18"/>
          </w:rPr>
          <w:instrText xml:space="preserve"> PAGEREF _Toc34337613 \h </w:instrText>
        </w:r>
        <w:r w:rsidR="009A39E2" w:rsidRPr="00D1698B">
          <w:rPr>
            <w:rFonts w:ascii="Verdana" w:hAnsi="Verdana"/>
            <w:noProof/>
            <w:webHidden/>
            <w:sz w:val="18"/>
            <w:szCs w:val="18"/>
          </w:rPr>
        </w:r>
        <w:r w:rsidR="009A39E2" w:rsidRPr="00D1698B">
          <w:rPr>
            <w:rFonts w:ascii="Verdana" w:hAnsi="Verdana"/>
            <w:noProof/>
            <w:webHidden/>
            <w:sz w:val="18"/>
            <w:szCs w:val="18"/>
          </w:rPr>
          <w:fldChar w:fldCharType="separate"/>
        </w:r>
        <w:r w:rsidR="00F5089C">
          <w:rPr>
            <w:rFonts w:ascii="Verdana" w:hAnsi="Verdana"/>
            <w:noProof/>
            <w:webHidden/>
            <w:sz w:val="18"/>
            <w:szCs w:val="18"/>
          </w:rPr>
          <w:t>129</w:t>
        </w:r>
        <w:r w:rsidR="009A39E2" w:rsidRPr="00D1698B">
          <w:rPr>
            <w:rFonts w:ascii="Verdana" w:hAnsi="Verdana"/>
            <w:noProof/>
            <w:webHidden/>
            <w:sz w:val="18"/>
            <w:szCs w:val="18"/>
          </w:rPr>
          <w:fldChar w:fldCharType="end"/>
        </w:r>
      </w:hyperlink>
    </w:p>
    <w:p w14:paraId="3011FB83" w14:textId="5703AB95" w:rsidR="009A39E2" w:rsidRPr="00D1698B" w:rsidRDefault="007C0830" w:rsidP="00D1698B">
      <w:pPr>
        <w:pStyle w:val="TDC1"/>
        <w:rPr>
          <w:rFonts w:ascii="Verdana" w:eastAsiaTheme="minorEastAsia" w:hAnsi="Verdana"/>
          <w:noProof/>
          <w:sz w:val="18"/>
          <w:szCs w:val="18"/>
          <w:lang w:val="es-CR" w:eastAsia="es-CR"/>
        </w:rPr>
      </w:pPr>
      <w:hyperlink w:anchor="_Toc34337614" w:history="1">
        <w:r w:rsidR="009A39E2" w:rsidRPr="00D1698B">
          <w:rPr>
            <w:rStyle w:val="Hipervnculo"/>
            <w:rFonts w:ascii="Verdana" w:hAnsi="Verdana"/>
            <w:noProof/>
            <w:color w:val="auto"/>
            <w:sz w:val="18"/>
            <w:szCs w:val="18"/>
            <w:lang w:val="es-ES"/>
          </w:rPr>
          <w:t>ANEXO V</w:t>
        </w:r>
        <w:r w:rsidR="009A39E2" w:rsidRPr="00D1698B">
          <w:rPr>
            <w:rFonts w:ascii="Verdana" w:hAnsi="Verdana"/>
            <w:noProof/>
            <w:webHidden/>
            <w:sz w:val="18"/>
            <w:szCs w:val="18"/>
          </w:rPr>
          <w:tab/>
        </w:r>
        <w:r w:rsidR="009A39E2" w:rsidRPr="00D1698B">
          <w:rPr>
            <w:rFonts w:ascii="Verdana" w:hAnsi="Verdana"/>
            <w:noProof/>
            <w:webHidden/>
            <w:sz w:val="18"/>
            <w:szCs w:val="18"/>
          </w:rPr>
          <w:fldChar w:fldCharType="begin"/>
        </w:r>
        <w:r w:rsidR="009A39E2" w:rsidRPr="00D1698B">
          <w:rPr>
            <w:rFonts w:ascii="Verdana" w:hAnsi="Verdana"/>
            <w:noProof/>
            <w:webHidden/>
            <w:sz w:val="18"/>
            <w:szCs w:val="18"/>
          </w:rPr>
          <w:instrText xml:space="preserve"> PAGEREF _Toc34337614 \h </w:instrText>
        </w:r>
        <w:r w:rsidR="009A39E2" w:rsidRPr="00D1698B">
          <w:rPr>
            <w:rFonts w:ascii="Verdana" w:hAnsi="Verdana"/>
            <w:noProof/>
            <w:webHidden/>
            <w:sz w:val="18"/>
            <w:szCs w:val="18"/>
          </w:rPr>
        </w:r>
        <w:r w:rsidR="009A39E2" w:rsidRPr="00D1698B">
          <w:rPr>
            <w:rFonts w:ascii="Verdana" w:hAnsi="Verdana"/>
            <w:noProof/>
            <w:webHidden/>
            <w:sz w:val="18"/>
            <w:szCs w:val="18"/>
          </w:rPr>
          <w:fldChar w:fldCharType="separate"/>
        </w:r>
        <w:r w:rsidR="00F5089C">
          <w:rPr>
            <w:rFonts w:ascii="Verdana" w:hAnsi="Verdana"/>
            <w:noProof/>
            <w:webHidden/>
            <w:sz w:val="18"/>
            <w:szCs w:val="18"/>
          </w:rPr>
          <w:t>131</w:t>
        </w:r>
        <w:r w:rsidR="009A39E2" w:rsidRPr="00D1698B">
          <w:rPr>
            <w:rFonts w:ascii="Verdana" w:hAnsi="Verdana"/>
            <w:noProof/>
            <w:webHidden/>
            <w:sz w:val="18"/>
            <w:szCs w:val="18"/>
          </w:rPr>
          <w:fldChar w:fldCharType="end"/>
        </w:r>
      </w:hyperlink>
    </w:p>
    <w:p w14:paraId="3CEAA4F6" w14:textId="77777777" w:rsidR="009805F2" w:rsidRPr="00BC57A2" w:rsidRDefault="009805F2" w:rsidP="009A39E2">
      <w:pPr>
        <w:spacing w:after="0" w:line="216" w:lineRule="auto"/>
        <w:jc w:val="both"/>
        <w:rPr>
          <w:rFonts w:ascii="Verdana" w:hAnsi="Verdana"/>
          <w:b/>
          <w:sz w:val="18"/>
          <w:szCs w:val="18"/>
          <w:lang w:val="es-CR"/>
        </w:rPr>
      </w:pPr>
      <w:r w:rsidRPr="00BC57A2">
        <w:rPr>
          <w:rFonts w:ascii="Verdana" w:hAnsi="Verdana"/>
          <w:b/>
          <w:sz w:val="18"/>
          <w:szCs w:val="18"/>
          <w:lang w:val="es-CR"/>
        </w:rPr>
        <w:fldChar w:fldCharType="end"/>
      </w:r>
    </w:p>
    <w:p w14:paraId="10C73914" w14:textId="77777777" w:rsidR="009805F2" w:rsidRPr="00BC57A2" w:rsidRDefault="009805F2" w:rsidP="009805F2">
      <w:pPr>
        <w:spacing w:after="0" w:line="216" w:lineRule="auto"/>
        <w:jc w:val="center"/>
        <w:rPr>
          <w:rFonts w:ascii="Verdana" w:hAnsi="Verdana"/>
          <w:b/>
          <w:sz w:val="18"/>
          <w:szCs w:val="18"/>
          <w:lang w:val="es-CR"/>
        </w:rPr>
      </w:pPr>
    </w:p>
    <w:p w14:paraId="45E56139" w14:textId="77777777" w:rsidR="009805F2" w:rsidRDefault="009805F2" w:rsidP="009805F2">
      <w:pPr>
        <w:spacing w:after="0" w:line="216" w:lineRule="auto"/>
        <w:jc w:val="center"/>
        <w:rPr>
          <w:rFonts w:ascii="Verdana" w:hAnsi="Verdana"/>
          <w:b/>
          <w:sz w:val="18"/>
          <w:szCs w:val="18"/>
          <w:lang w:val="es-CR"/>
        </w:rPr>
      </w:pPr>
    </w:p>
    <w:p w14:paraId="0BCFA0F3" w14:textId="77777777" w:rsidR="009805F2" w:rsidRDefault="009805F2" w:rsidP="009805F2">
      <w:pPr>
        <w:spacing w:after="0" w:line="216" w:lineRule="auto"/>
        <w:jc w:val="center"/>
        <w:rPr>
          <w:rFonts w:ascii="Verdana" w:hAnsi="Verdana"/>
          <w:b/>
          <w:sz w:val="18"/>
          <w:szCs w:val="18"/>
          <w:lang w:val="es-CR"/>
        </w:rPr>
      </w:pPr>
    </w:p>
    <w:p w14:paraId="375E4A91" w14:textId="77777777" w:rsidR="009805F2" w:rsidRDefault="009805F2" w:rsidP="009805F2">
      <w:pPr>
        <w:spacing w:after="0" w:line="216" w:lineRule="auto"/>
        <w:jc w:val="center"/>
        <w:rPr>
          <w:rFonts w:ascii="Verdana" w:hAnsi="Verdana"/>
          <w:b/>
          <w:sz w:val="18"/>
          <w:szCs w:val="18"/>
          <w:lang w:val="es-CR"/>
        </w:rPr>
      </w:pPr>
    </w:p>
    <w:p w14:paraId="375F70AC" w14:textId="77777777" w:rsidR="009805F2" w:rsidRDefault="009805F2" w:rsidP="009805F2">
      <w:pPr>
        <w:spacing w:after="0" w:line="216" w:lineRule="auto"/>
        <w:jc w:val="center"/>
        <w:rPr>
          <w:rFonts w:ascii="Verdana" w:hAnsi="Verdana"/>
          <w:b/>
          <w:sz w:val="18"/>
          <w:szCs w:val="18"/>
          <w:lang w:val="es-CR"/>
        </w:rPr>
      </w:pPr>
    </w:p>
    <w:p w14:paraId="637241B6" w14:textId="77777777" w:rsidR="009805F2" w:rsidRDefault="009805F2" w:rsidP="009805F2">
      <w:pPr>
        <w:spacing w:after="0" w:line="216" w:lineRule="auto"/>
        <w:jc w:val="center"/>
        <w:rPr>
          <w:rFonts w:ascii="Verdana" w:hAnsi="Verdana"/>
          <w:b/>
          <w:sz w:val="18"/>
          <w:szCs w:val="18"/>
          <w:lang w:val="es-CR"/>
        </w:rPr>
      </w:pPr>
    </w:p>
    <w:p w14:paraId="314FCB0B" w14:textId="77777777" w:rsidR="009805F2" w:rsidRDefault="009805F2" w:rsidP="009805F2">
      <w:pPr>
        <w:spacing w:after="0" w:line="216" w:lineRule="auto"/>
        <w:jc w:val="center"/>
        <w:rPr>
          <w:rFonts w:ascii="Verdana" w:hAnsi="Verdana"/>
          <w:b/>
          <w:sz w:val="18"/>
          <w:szCs w:val="18"/>
          <w:lang w:val="es-CR"/>
        </w:rPr>
      </w:pPr>
    </w:p>
    <w:p w14:paraId="5D2D3C5C" w14:textId="77777777" w:rsidR="009805F2" w:rsidRDefault="009805F2" w:rsidP="009805F2">
      <w:pPr>
        <w:spacing w:after="0" w:line="216" w:lineRule="auto"/>
        <w:jc w:val="center"/>
        <w:rPr>
          <w:rFonts w:ascii="Verdana" w:hAnsi="Verdana"/>
          <w:b/>
          <w:sz w:val="18"/>
          <w:szCs w:val="18"/>
          <w:lang w:val="es-CR"/>
        </w:rPr>
      </w:pPr>
    </w:p>
    <w:p w14:paraId="2B718DAF" w14:textId="77777777" w:rsidR="009805F2" w:rsidRDefault="009805F2">
      <w:pPr>
        <w:spacing w:after="160" w:line="259" w:lineRule="auto"/>
        <w:rPr>
          <w:rFonts w:ascii="Verdana" w:hAnsi="Verdana"/>
          <w:b/>
          <w:sz w:val="18"/>
          <w:szCs w:val="18"/>
          <w:lang w:val="es-CR"/>
        </w:rPr>
      </w:pPr>
      <w:r>
        <w:rPr>
          <w:rFonts w:ascii="Verdana" w:hAnsi="Verdana"/>
          <w:b/>
          <w:sz w:val="18"/>
          <w:szCs w:val="18"/>
          <w:lang w:val="es-CR"/>
        </w:rPr>
        <w:br w:type="page"/>
      </w:r>
    </w:p>
    <w:p w14:paraId="3E553A81" w14:textId="77777777" w:rsidR="009805F2" w:rsidRPr="009805F2" w:rsidRDefault="009805F2" w:rsidP="009805F2">
      <w:pPr>
        <w:spacing w:after="0" w:line="216" w:lineRule="auto"/>
        <w:jc w:val="center"/>
        <w:rPr>
          <w:rFonts w:ascii="Verdana" w:hAnsi="Verdana"/>
          <w:b/>
          <w:sz w:val="18"/>
          <w:szCs w:val="18"/>
          <w:lang w:val="es-CR"/>
        </w:rPr>
      </w:pPr>
    </w:p>
    <w:p w14:paraId="66B24F16" w14:textId="3FC582DC" w:rsidR="009805F2" w:rsidRDefault="009805F2" w:rsidP="009805F2">
      <w:pPr>
        <w:pStyle w:val="Ttulo1"/>
        <w:tabs>
          <w:tab w:val="center" w:pos="4419"/>
          <w:tab w:val="left" w:pos="5023"/>
        </w:tabs>
        <w:spacing w:before="0" w:line="240" w:lineRule="auto"/>
        <w:jc w:val="center"/>
        <w:rPr>
          <w:rFonts w:ascii="Verdana" w:eastAsia="Batang" w:hAnsi="Verdana" w:cs="Times"/>
          <w:color w:val="auto"/>
          <w:sz w:val="20"/>
          <w:szCs w:val="24"/>
          <w:lang w:val="es-CR" w:eastAsia="es-CR"/>
        </w:rPr>
      </w:pPr>
      <w:bookmarkStart w:id="1" w:name="_Toc32218811"/>
      <w:bookmarkStart w:id="2" w:name="_Toc32227078"/>
      <w:bookmarkStart w:id="3" w:name="_Toc34337507"/>
      <w:bookmarkStart w:id="4" w:name="_Toc22224850"/>
      <w:r w:rsidRPr="00873FEC">
        <w:rPr>
          <w:rFonts w:ascii="Verdana" w:eastAsia="Batang" w:hAnsi="Verdana" w:cs="Times"/>
          <w:color w:val="auto"/>
          <w:sz w:val="20"/>
          <w:szCs w:val="24"/>
          <w:lang w:val="es-CR" w:eastAsia="es-CR"/>
        </w:rPr>
        <w:t>I</w:t>
      </w:r>
      <w:bookmarkEnd w:id="1"/>
      <w:bookmarkEnd w:id="2"/>
      <w:bookmarkEnd w:id="3"/>
    </w:p>
    <w:p w14:paraId="6190F23B" w14:textId="77777777" w:rsidR="009805F2" w:rsidRPr="00873FEC" w:rsidRDefault="009805F2" w:rsidP="009805F2">
      <w:pPr>
        <w:pStyle w:val="Ttulo1"/>
        <w:tabs>
          <w:tab w:val="center" w:pos="4419"/>
          <w:tab w:val="left" w:pos="5023"/>
        </w:tabs>
        <w:spacing w:before="0" w:line="240" w:lineRule="auto"/>
        <w:jc w:val="center"/>
        <w:rPr>
          <w:rFonts w:ascii="Verdana" w:eastAsia="Batang" w:hAnsi="Verdana" w:cs="Times"/>
          <w:color w:val="auto"/>
          <w:sz w:val="20"/>
          <w:szCs w:val="20"/>
          <w:lang w:val="es-CR" w:eastAsia="es-CR"/>
        </w:rPr>
      </w:pPr>
      <w:bookmarkStart w:id="5" w:name="_Toc32218812"/>
      <w:bookmarkStart w:id="6" w:name="_Toc32227079"/>
      <w:bookmarkStart w:id="7" w:name="_Toc34337508"/>
      <w:r w:rsidRPr="00873FEC">
        <w:rPr>
          <w:rFonts w:ascii="Verdana" w:eastAsia="Batang" w:hAnsi="Verdana" w:cs="Times"/>
          <w:color w:val="auto"/>
          <w:sz w:val="20"/>
          <w:szCs w:val="24"/>
          <w:lang w:val="es-CR" w:eastAsia="es-CR"/>
        </w:rPr>
        <w:t>INTRODUCCIÓN DE LA CAUSA Y OBJETO DE LA CONTROVERSIA</w:t>
      </w:r>
      <w:bookmarkEnd w:id="4"/>
      <w:bookmarkEnd w:id="5"/>
      <w:bookmarkEnd w:id="6"/>
      <w:bookmarkEnd w:id="7"/>
    </w:p>
    <w:p w14:paraId="10A9A936" w14:textId="77777777" w:rsidR="009805F2" w:rsidRPr="00873FEC" w:rsidRDefault="009805F2" w:rsidP="009805F2">
      <w:pPr>
        <w:spacing w:after="0" w:line="240" w:lineRule="auto"/>
        <w:jc w:val="both"/>
        <w:rPr>
          <w:rFonts w:ascii="Verdana" w:eastAsia="Batang" w:hAnsi="Verdana" w:cs="Times"/>
          <w:sz w:val="20"/>
          <w:szCs w:val="24"/>
          <w:lang w:eastAsia="es-CR"/>
        </w:rPr>
      </w:pPr>
    </w:p>
    <w:p w14:paraId="57CD460C" w14:textId="40633CEB" w:rsidR="009805F2" w:rsidRPr="00C87725" w:rsidRDefault="009805F2" w:rsidP="009805F2">
      <w:pPr>
        <w:pStyle w:val="Prrafodelista"/>
        <w:numPr>
          <w:ilvl w:val="0"/>
          <w:numId w:val="1"/>
        </w:numPr>
        <w:spacing w:after="0" w:line="240" w:lineRule="auto"/>
        <w:ind w:left="0" w:right="6" w:hanging="11"/>
        <w:jc w:val="both"/>
        <w:rPr>
          <w:rFonts w:ascii="Verdana" w:eastAsia="Batang" w:hAnsi="Verdana" w:cs="Times"/>
          <w:i/>
          <w:sz w:val="20"/>
          <w:szCs w:val="20"/>
          <w:lang w:val="es-CR" w:eastAsia="es-CR"/>
        </w:rPr>
      </w:pPr>
      <w:r w:rsidRPr="00C87725">
        <w:rPr>
          <w:rFonts w:ascii="Verdana" w:eastAsia="Batang" w:hAnsi="Verdana" w:cs="Times"/>
          <w:i/>
          <w:sz w:val="20"/>
          <w:szCs w:val="20"/>
          <w:lang w:eastAsia="es-CR"/>
        </w:rPr>
        <w:t xml:space="preserve">El caso </w:t>
      </w:r>
      <w:r w:rsidRPr="00C87725">
        <w:rPr>
          <w:rFonts w:ascii="Verdana" w:eastAsia="Batang" w:hAnsi="Verdana" w:cs="Times"/>
          <w:i/>
          <w:sz w:val="20"/>
          <w:szCs w:val="20"/>
          <w:lang w:val="es-CR" w:eastAsia="es-CR"/>
        </w:rPr>
        <w:t>sometido</w:t>
      </w:r>
      <w:r w:rsidRPr="00C87725">
        <w:rPr>
          <w:rFonts w:ascii="Verdana" w:eastAsia="Batang" w:hAnsi="Verdana" w:cs="Times"/>
          <w:i/>
          <w:sz w:val="20"/>
          <w:szCs w:val="20"/>
          <w:lang w:eastAsia="es-CR"/>
        </w:rPr>
        <w:t xml:space="preserve"> a la Corte. </w:t>
      </w:r>
      <w:r w:rsidRPr="00C87725">
        <w:rPr>
          <w:rFonts w:ascii="Verdana" w:eastAsia="Calibri" w:hAnsi="Verdana" w:cs="Times"/>
          <w:sz w:val="20"/>
          <w:szCs w:val="20"/>
          <w:lang w:eastAsia="es-CR"/>
        </w:rPr>
        <w:t xml:space="preserve">– </w:t>
      </w:r>
      <w:r w:rsidRPr="00C87725">
        <w:rPr>
          <w:rFonts w:ascii="Verdana" w:eastAsia="Batang" w:hAnsi="Verdana" w:cs="Times"/>
          <w:sz w:val="20"/>
          <w:szCs w:val="20"/>
          <w:lang w:val="es-CR" w:eastAsia="es-CR"/>
        </w:rPr>
        <w:t xml:space="preserve">El 1 de febrero de 2018 la Comisión Interamericana de Derechos Humanos (en adelante también “la Comisión Interamericana” o “la Comisión”) sometió a la Corte el caso </w:t>
      </w:r>
      <w:r w:rsidRPr="00C87725">
        <w:rPr>
          <w:rFonts w:ascii="Verdana" w:eastAsia="Batang" w:hAnsi="Verdana" w:cs="Times"/>
          <w:i/>
          <w:sz w:val="20"/>
          <w:szCs w:val="20"/>
          <w:lang w:val="es-CR" w:eastAsia="es-CR"/>
        </w:rPr>
        <w:t xml:space="preserve">Comunidades </w:t>
      </w:r>
      <w:r w:rsidR="008F367F">
        <w:rPr>
          <w:rFonts w:ascii="Verdana" w:eastAsia="Batang" w:hAnsi="Verdana" w:cs="Times"/>
          <w:i/>
          <w:sz w:val="20"/>
          <w:szCs w:val="20"/>
          <w:lang w:val="es-CR" w:eastAsia="es-CR"/>
        </w:rPr>
        <w:t>indígenas m</w:t>
      </w:r>
      <w:r w:rsidRPr="006A753D">
        <w:rPr>
          <w:rFonts w:ascii="Verdana" w:eastAsia="Batang" w:hAnsi="Verdana" w:cs="Times"/>
          <w:i/>
          <w:sz w:val="20"/>
          <w:szCs w:val="20"/>
          <w:lang w:val="es-CR" w:eastAsia="es-CR"/>
        </w:rPr>
        <w:t>iembros</w:t>
      </w:r>
      <w:r w:rsidRPr="00C87725">
        <w:rPr>
          <w:rFonts w:ascii="Verdana" w:eastAsia="Batang" w:hAnsi="Verdana" w:cs="Times"/>
          <w:i/>
          <w:sz w:val="20"/>
          <w:szCs w:val="20"/>
          <w:lang w:val="es-CR" w:eastAsia="es-CR"/>
        </w:rPr>
        <w:t xml:space="preserve"> de la Asociación Lhaka Honhat (Nuestra Tierra) vs. Argentina</w:t>
      </w:r>
      <w:r w:rsidRPr="00C87725">
        <w:rPr>
          <w:rFonts w:ascii="Verdana" w:eastAsia="Batang" w:hAnsi="Verdana" w:cs="Times"/>
          <w:sz w:val="20"/>
          <w:szCs w:val="20"/>
          <w:lang w:val="es-CR" w:eastAsia="es-CR"/>
        </w:rPr>
        <w:t>.</w:t>
      </w:r>
      <w:r w:rsidRPr="00C87725">
        <w:rPr>
          <w:rFonts w:ascii="Verdana" w:eastAsia="Batang" w:hAnsi="Verdana" w:cs="Times"/>
          <w:color w:val="000000"/>
          <w:sz w:val="20"/>
          <w:szCs w:val="20"/>
          <w:lang w:val="es-CR" w:eastAsia="es-CR"/>
        </w:rPr>
        <w:t xml:space="preserve"> De acuerdo a la Comisión, </w:t>
      </w:r>
      <w:r w:rsidRPr="00C87725">
        <w:rPr>
          <w:rFonts w:ascii="Verdana" w:eastAsia="Batang" w:hAnsi="Verdana" w:cs="Times"/>
          <w:sz w:val="20"/>
          <w:szCs w:val="20"/>
          <w:lang w:val="es-CR" w:eastAsia="es-CR"/>
        </w:rPr>
        <w:t>el caso se refiere a la presunta violación al derecho de propiedad sobre el territorio ancestral de las comunidades indígenas reunidas en la Asociación</w:t>
      </w:r>
      <w:r>
        <w:rPr>
          <w:rFonts w:ascii="Verdana" w:eastAsia="Batang" w:hAnsi="Verdana" w:cs="Times"/>
          <w:sz w:val="20"/>
          <w:szCs w:val="20"/>
          <w:lang w:val="es-CR" w:eastAsia="es-CR"/>
        </w:rPr>
        <w:t xml:space="preserve"> de Comunidades Aborígenes</w:t>
      </w:r>
      <w:r w:rsidRPr="00C87725">
        <w:rPr>
          <w:rFonts w:ascii="Verdana" w:eastAsia="Batang" w:hAnsi="Verdana" w:cs="Times"/>
          <w:sz w:val="20"/>
          <w:szCs w:val="20"/>
          <w:lang w:val="es-CR" w:eastAsia="es-CR"/>
        </w:rPr>
        <w:t xml:space="preserve"> Lhaka Honhat</w:t>
      </w:r>
      <w:r>
        <w:rPr>
          <w:rFonts w:ascii="Verdana" w:eastAsia="Batang" w:hAnsi="Verdana" w:cs="Times"/>
          <w:sz w:val="20"/>
          <w:szCs w:val="20"/>
          <w:lang w:val="es-CR" w:eastAsia="es-CR"/>
        </w:rPr>
        <w:t xml:space="preserve"> (</w:t>
      </w:r>
      <w:r>
        <w:rPr>
          <w:rFonts w:ascii="Verdana" w:eastAsia="Batang" w:hAnsi="Verdana" w:cs="Times"/>
          <w:i/>
          <w:sz w:val="20"/>
          <w:szCs w:val="20"/>
          <w:lang w:val="es-CR" w:eastAsia="es-CR"/>
        </w:rPr>
        <w:t>infra</w:t>
      </w:r>
      <w:r w:rsidRPr="00375E2D">
        <w:rPr>
          <w:rFonts w:ascii="Verdana" w:eastAsia="Batang" w:hAnsi="Verdana" w:cs="Times"/>
          <w:sz w:val="20"/>
          <w:szCs w:val="20"/>
          <w:lang w:val="es-CR" w:eastAsia="es-CR"/>
        </w:rPr>
        <w:t>, párr. 61;</w:t>
      </w:r>
      <w:r>
        <w:rPr>
          <w:rFonts w:ascii="Verdana" w:eastAsia="Batang" w:hAnsi="Verdana" w:cs="Times"/>
          <w:i/>
          <w:sz w:val="20"/>
          <w:szCs w:val="20"/>
          <w:lang w:val="es-CR" w:eastAsia="es-CR"/>
        </w:rPr>
        <w:t xml:space="preserve"> </w:t>
      </w:r>
      <w:r>
        <w:rPr>
          <w:rFonts w:ascii="Verdana" w:eastAsia="Batang" w:hAnsi="Verdana" w:cs="Times"/>
          <w:sz w:val="20"/>
          <w:szCs w:val="20"/>
          <w:lang w:val="es-CR" w:eastAsia="es-CR"/>
        </w:rPr>
        <w:t>en adelante también “Asociación Lhaka Honhat” o “Lhaka Honhat”)</w:t>
      </w:r>
      <w:r w:rsidRPr="00C87725">
        <w:rPr>
          <w:rFonts w:ascii="Verdana" w:eastAsia="Batang" w:hAnsi="Verdana" w:cs="Times"/>
          <w:sz w:val="20"/>
          <w:szCs w:val="20"/>
          <w:lang w:val="es-CR" w:eastAsia="es-CR"/>
        </w:rPr>
        <w:t xml:space="preserve">. </w:t>
      </w:r>
      <w:r>
        <w:rPr>
          <w:rFonts w:ascii="Verdana" w:eastAsia="Batang" w:hAnsi="Verdana" w:cs="Times"/>
          <w:sz w:val="20"/>
          <w:szCs w:val="20"/>
          <w:lang w:val="es-CR" w:eastAsia="es-CR"/>
        </w:rPr>
        <w:t>I</w:t>
      </w:r>
      <w:r w:rsidRPr="00C87725">
        <w:rPr>
          <w:rFonts w:ascii="Verdana" w:eastAsia="Batang" w:hAnsi="Verdana" w:cs="Times"/>
          <w:sz w:val="20"/>
          <w:szCs w:val="20"/>
          <w:lang w:val="es-CR" w:eastAsia="es-CR"/>
        </w:rPr>
        <w:t>ndicó que</w:t>
      </w:r>
      <w:r w:rsidR="00D041BE">
        <w:rPr>
          <w:rFonts w:ascii="Verdana" w:eastAsia="Batang" w:hAnsi="Verdana" w:cs="Times"/>
          <w:sz w:val="20"/>
          <w:szCs w:val="20"/>
          <w:lang w:val="es-CR" w:eastAsia="es-CR"/>
        </w:rPr>
        <w:t>,</w:t>
      </w:r>
      <w:r w:rsidRPr="00C87725">
        <w:rPr>
          <w:rFonts w:ascii="Verdana" w:eastAsia="Batang" w:hAnsi="Verdana" w:cs="Times"/>
          <w:sz w:val="20"/>
          <w:szCs w:val="20"/>
          <w:lang w:val="es-CR" w:eastAsia="es-CR"/>
        </w:rPr>
        <w:t xml:space="preserve"> al momento en que emitió el Informe de Fondo No. 2/12 (en adelante también “Informe de Fondo”)</w:t>
      </w:r>
      <w:r w:rsidR="00D041BE">
        <w:rPr>
          <w:rFonts w:ascii="Verdana" w:eastAsia="Batang" w:hAnsi="Verdana" w:cs="Times"/>
          <w:sz w:val="20"/>
          <w:szCs w:val="20"/>
          <w:lang w:val="es-CR" w:eastAsia="es-CR"/>
        </w:rPr>
        <w:t>,</w:t>
      </w:r>
      <w:r w:rsidRPr="00C87725">
        <w:rPr>
          <w:rFonts w:ascii="Verdana" w:eastAsia="Batang" w:hAnsi="Verdana" w:cs="Times"/>
          <w:sz w:val="20"/>
          <w:szCs w:val="20"/>
          <w:lang w:val="es-CR" w:eastAsia="es-CR"/>
        </w:rPr>
        <w:t xml:space="preserve"> había</w:t>
      </w:r>
      <w:r>
        <w:rPr>
          <w:rFonts w:ascii="Verdana" w:eastAsia="Batang" w:hAnsi="Verdana" w:cs="Times"/>
          <w:sz w:val="20"/>
          <w:szCs w:val="20"/>
          <w:lang w:val="es-CR" w:eastAsia="es-CR"/>
        </w:rPr>
        <w:t>n</w:t>
      </w:r>
      <w:r w:rsidRPr="00C87725">
        <w:rPr>
          <w:rFonts w:ascii="Verdana" w:eastAsia="Batang" w:hAnsi="Verdana" w:cs="Times"/>
          <w:sz w:val="20"/>
          <w:szCs w:val="20"/>
          <w:lang w:val="es-CR" w:eastAsia="es-CR"/>
        </w:rPr>
        <w:t xml:space="preserve"> “transcurrido dos décadas” desde que, en 1991, las comunidades “present[aron] la s</w:t>
      </w:r>
      <w:r>
        <w:rPr>
          <w:rFonts w:ascii="Verdana" w:eastAsia="Batang" w:hAnsi="Verdana" w:cs="Times"/>
          <w:sz w:val="20"/>
          <w:szCs w:val="20"/>
          <w:lang w:val="es-CR" w:eastAsia="es-CR"/>
        </w:rPr>
        <w:t xml:space="preserve">olicitud inicial de titulación”. </w:t>
      </w:r>
      <w:r w:rsidR="00A446E6">
        <w:rPr>
          <w:rFonts w:ascii="Verdana" w:eastAsia="Batang" w:hAnsi="Verdana" w:cs="Times"/>
          <w:sz w:val="20"/>
          <w:szCs w:val="20"/>
          <w:lang w:val="es-CR" w:eastAsia="es-CR"/>
        </w:rPr>
        <w:t>Indicó</w:t>
      </w:r>
      <w:r>
        <w:rPr>
          <w:rFonts w:ascii="Verdana" w:eastAsia="Batang" w:hAnsi="Verdana" w:cs="Times"/>
          <w:sz w:val="20"/>
          <w:szCs w:val="20"/>
          <w:lang w:val="es-CR" w:eastAsia="es-CR"/>
        </w:rPr>
        <w:t xml:space="preserve"> que,</w:t>
      </w:r>
      <w:r w:rsidRPr="00C87725">
        <w:rPr>
          <w:rFonts w:ascii="Verdana" w:eastAsia="Batang" w:hAnsi="Verdana" w:cs="Times"/>
          <w:sz w:val="20"/>
          <w:szCs w:val="20"/>
          <w:lang w:val="es-CR" w:eastAsia="es-CR"/>
        </w:rPr>
        <w:t xml:space="preserve"> pese a ello</w:t>
      </w:r>
      <w:r>
        <w:rPr>
          <w:rFonts w:ascii="Verdana" w:eastAsia="Batang" w:hAnsi="Verdana" w:cs="Times"/>
          <w:sz w:val="20"/>
          <w:szCs w:val="20"/>
          <w:lang w:val="es-CR" w:eastAsia="es-CR"/>
        </w:rPr>
        <w:t>,</w:t>
      </w:r>
      <w:r w:rsidRPr="00C87725">
        <w:rPr>
          <w:rFonts w:ascii="Verdana" w:eastAsia="Batang" w:hAnsi="Verdana" w:cs="Times"/>
          <w:sz w:val="20"/>
          <w:szCs w:val="20"/>
          <w:lang w:val="es-CR" w:eastAsia="es-CR"/>
        </w:rPr>
        <w:t xml:space="preserve"> la República Argentina (en adelante </w:t>
      </w:r>
      <w:r w:rsidRPr="00F136B1">
        <w:rPr>
          <w:rFonts w:ascii="Verdana" w:eastAsia="Batang" w:hAnsi="Verdana" w:cs="Times"/>
          <w:sz w:val="20"/>
          <w:szCs w:val="20"/>
          <w:lang w:val="es-CR" w:eastAsia="es-CR"/>
        </w:rPr>
        <w:t>también</w:t>
      </w:r>
      <w:r w:rsidRPr="00C87725">
        <w:rPr>
          <w:rFonts w:ascii="Verdana" w:eastAsia="Batang" w:hAnsi="Verdana" w:cs="Times"/>
          <w:sz w:val="20"/>
          <w:szCs w:val="20"/>
          <w:lang w:val="es-CR" w:eastAsia="es-CR"/>
        </w:rPr>
        <w:t xml:space="preserve"> “el Estado” o “Argentina”)</w:t>
      </w:r>
      <w:r>
        <w:rPr>
          <w:rStyle w:val="Refdenotaalpie"/>
          <w:rFonts w:ascii="Verdana" w:eastAsia="Batang" w:hAnsi="Verdana"/>
          <w:sz w:val="20"/>
          <w:lang w:val="es-CR" w:eastAsia="es-CR"/>
        </w:rPr>
        <w:footnoteReference w:id="2"/>
      </w:r>
      <w:r w:rsidRPr="00C87725">
        <w:rPr>
          <w:rFonts w:ascii="Verdana" w:eastAsia="Batang" w:hAnsi="Verdana" w:cs="Times"/>
          <w:sz w:val="20"/>
          <w:szCs w:val="20"/>
          <w:lang w:val="es-CR" w:eastAsia="es-CR"/>
        </w:rPr>
        <w:t xml:space="preserve"> no les proveyó “acceso efectivo al título de propiedad sobre su territorio ancestral”</w:t>
      </w:r>
      <w:r>
        <w:rPr>
          <w:rFonts w:ascii="Verdana" w:eastAsia="Batang" w:hAnsi="Verdana" w:cs="Times"/>
          <w:sz w:val="20"/>
          <w:szCs w:val="20"/>
          <w:lang w:val="es-CR" w:eastAsia="es-CR"/>
        </w:rPr>
        <w:t xml:space="preserve">. La tierra en cuestión se encuentra dentro de dos inmuebles, que en conjunto tienen una extensión cercana a </w:t>
      </w:r>
      <w:r w:rsidRPr="00080856">
        <w:rPr>
          <w:rFonts w:ascii="Verdana" w:eastAsia="Batang" w:hAnsi="Verdana" w:cs="Times"/>
          <w:sz w:val="20"/>
          <w:szCs w:val="20"/>
          <w:lang w:val="es-CR" w:eastAsia="es-CR"/>
        </w:rPr>
        <w:t>643.000 hectáreas (ha)</w:t>
      </w:r>
      <w:r>
        <w:rPr>
          <w:rFonts w:ascii="Verdana" w:eastAsia="Batang" w:hAnsi="Verdana" w:cs="Times"/>
          <w:sz w:val="20"/>
          <w:szCs w:val="20"/>
          <w:lang w:val="es-CR" w:eastAsia="es-CR"/>
        </w:rPr>
        <w:t xml:space="preserve">, identificados actualmente con las matrículas catastrales </w:t>
      </w:r>
      <w:r w:rsidRPr="00190177">
        <w:rPr>
          <w:rFonts w:ascii="Verdana" w:hAnsi="Verdana"/>
          <w:sz w:val="20"/>
          <w:szCs w:val="20"/>
          <w:lang w:val="es-CR"/>
        </w:rPr>
        <w:t>175 y 5557 del Departamento Rivadavia, de la Provincia de Salta</w:t>
      </w:r>
      <w:r>
        <w:rPr>
          <w:rFonts w:ascii="Verdana" w:hAnsi="Verdana"/>
          <w:sz w:val="20"/>
          <w:szCs w:val="20"/>
          <w:lang w:val="es-CR"/>
        </w:rPr>
        <w:t xml:space="preserve"> (</w:t>
      </w:r>
      <w:r>
        <w:rPr>
          <w:rFonts w:ascii="Verdana" w:hAnsi="Verdana"/>
          <w:i/>
          <w:sz w:val="20"/>
          <w:szCs w:val="20"/>
          <w:lang w:val="es-CR"/>
        </w:rPr>
        <w:t>infra</w:t>
      </w:r>
      <w:r>
        <w:rPr>
          <w:rFonts w:ascii="Verdana" w:hAnsi="Verdana"/>
          <w:sz w:val="20"/>
          <w:szCs w:val="20"/>
          <w:lang w:val="es-CR"/>
        </w:rPr>
        <w:t xml:space="preserve"> párr. 80; en adelante también, en referencia a ambos inmuebles, “lotes 14 y 55”). Dichos inmuebles fueron considerados formalmente, antes de 2014, como tierras “fiscales”, de propiedad estatal,</w:t>
      </w:r>
      <w:r w:rsidRPr="006B0B86">
        <w:rPr>
          <w:rFonts w:ascii="Verdana" w:eastAsia="Batang" w:hAnsi="Verdana" w:cs="Times"/>
          <w:sz w:val="20"/>
          <w:szCs w:val="20"/>
          <w:lang w:val="es-CR" w:eastAsia="es-CR"/>
        </w:rPr>
        <w:t xml:space="preserve"> </w:t>
      </w:r>
      <w:r>
        <w:rPr>
          <w:rFonts w:ascii="Verdana" w:eastAsia="Batang" w:hAnsi="Verdana" w:cs="Times"/>
          <w:sz w:val="20"/>
          <w:szCs w:val="20"/>
          <w:lang w:val="es-CR" w:eastAsia="es-CR"/>
        </w:rPr>
        <w:t>denomi</w:t>
      </w:r>
      <w:r w:rsidRPr="006B0B86">
        <w:rPr>
          <w:rFonts w:ascii="Verdana" w:eastAsia="Batang" w:hAnsi="Verdana" w:cs="Times"/>
          <w:sz w:val="20"/>
          <w:szCs w:val="20"/>
          <w:lang w:val="es-CR" w:eastAsia="es-CR"/>
        </w:rPr>
        <w:t>nándose “</w:t>
      </w:r>
      <w:r w:rsidRPr="00126FCA">
        <w:rPr>
          <w:rFonts w:ascii="Verdana" w:eastAsia="Batang" w:hAnsi="Verdana" w:cs="Times"/>
          <w:sz w:val="20"/>
          <w:szCs w:val="20"/>
          <w:lang w:val="es-CR" w:eastAsia="es-CR"/>
        </w:rPr>
        <w:t xml:space="preserve">lotes fiscales 14 y 55”. En 2012 fueron </w:t>
      </w:r>
      <w:r w:rsidRPr="00190177">
        <w:rPr>
          <w:rFonts w:ascii="Verdana" w:hAnsi="Verdana"/>
          <w:sz w:val="20"/>
          <w:szCs w:val="20"/>
          <w:lang w:val="es-CR"/>
        </w:rPr>
        <w:t>“asignad[os]” para su “posterior adjudicación” a comunidades indígenas y pobladores no indígenas que habitan la zona, y en 2014 fueron “transferid[o</w:t>
      </w:r>
      <w:r w:rsidRPr="006B0B86">
        <w:rPr>
          <w:rFonts w:ascii="Verdana" w:hAnsi="Verdana"/>
          <w:sz w:val="20"/>
          <w:szCs w:val="20"/>
          <w:lang w:val="es-CR"/>
        </w:rPr>
        <w:t>s]</w:t>
      </w:r>
      <w:r w:rsidRPr="00190177">
        <w:rPr>
          <w:rFonts w:ascii="Verdana" w:hAnsi="Verdana"/>
          <w:sz w:val="20"/>
          <w:szCs w:val="20"/>
          <w:lang w:val="es-CR"/>
        </w:rPr>
        <w:t>”, en forma indivisa, a la misma población</w:t>
      </w:r>
      <w:r>
        <w:rPr>
          <w:rFonts w:ascii="Verdana" w:eastAsia="Batang" w:hAnsi="Verdana" w:cs="Times"/>
          <w:sz w:val="20"/>
          <w:szCs w:val="20"/>
          <w:lang w:val="es-CR" w:eastAsia="es-CR"/>
        </w:rPr>
        <w:t>. La Comisión</w:t>
      </w:r>
      <w:r w:rsidRPr="00C87725">
        <w:rPr>
          <w:rFonts w:ascii="Verdana" w:eastAsia="Batang" w:hAnsi="Verdana" w:cs="Times"/>
          <w:sz w:val="20"/>
          <w:szCs w:val="20"/>
          <w:lang w:val="es-CR" w:eastAsia="es-CR"/>
        </w:rPr>
        <w:t xml:space="preserve"> </w:t>
      </w:r>
      <w:r>
        <w:rPr>
          <w:rFonts w:ascii="Verdana" w:eastAsia="Batang" w:hAnsi="Verdana" w:cs="Times"/>
          <w:sz w:val="20"/>
          <w:szCs w:val="20"/>
          <w:lang w:val="es-CR" w:eastAsia="es-CR"/>
        </w:rPr>
        <w:t>s</w:t>
      </w:r>
      <w:r w:rsidRPr="00C87725">
        <w:rPr>
          <w:rFonts w:ascii="Verdana" w:eastAsia="Batang" w:hAnsi="Verdana" w:cs="Times"/>
          <w:sz w:val="20"/>
          <w:szCs w:val="20"/>
          <w:lang w:val="es-CR" w:eastAsia="es-CR"/>
        </w:rPr>
        <w:t>ostuvo que</w:t>
      </w:r>
      <w:r>
        <w:rPr>
          <w:rFonts w:ascii="Verdana" w:eastAsia="Batang" w:hAnsi="Verdana" w:cs="Times"/>
          <w:sz w:val="20"/>
          <w:szCs w:val="20"/>
          <w:lang w:val="es-CR" w:eastAsia="es-CR"/>
        </w:rPr>
        <w:t>,</w:t>
      </w:r>
      <w:r w:rsidRPr="00C87725">
        <w:rPr>
          <w:rFonts w:ascii="Verdana" w:eastAsia="Batang" w:hAnsi="Verdana" w:cs="Times"/>
          <w:sz w:val="20"/>
          <w:szCs w:val="20"/>
          <w:lang w:val="es-CR" w:eastAsia="es-CR"/>
        </w:rPr>
        <w:t xml:space="preserve"> </w:t>
      </w:r>
      <w:r>
        <w:rPr>
          <w:rFonts w:ascii="Verdana" w:eastAsia="Batang" w:hAnsi="Verdana" w:cs="Times"/>
          <w:sz w:val="20"/>
          <w:szCs w:val="20"/>
          <w:lang w:val="es-CR" w:eastAsia="es-CR"/>
        </w:rPr>
        <w:t xml:space="preserve">además de la falta de titulación, violó </w:t>
      </w:r>
      <w:r w:rsidRPr="00C87725">
        <w:rPr>
          <w:rFonts w:ascii="Verdana" w:eastAsia="Batang" w:hAnsi="Verdana" w:cs="Times"/>
          <w:sz w:val="20"/>
          <w:szCs w:val="20"/>
          <w:lang w:val="es-CR" w:eastAsia="es-CR"/>
        </w:rPr>
        <w:t xml:space="preserve">el derecho a la propiedad </w:t>
      </w:r>
      <w:r>
        <w:rPr>
          <w:rFonts w:ascii="Verdana" w:eastAsia="Batang" w:hAnsi="Verdana" w:cs="Times"/>
          <w:sz w:val="20"/>
          <w:szCs w:val="20"/>
          <w:lang w:val="es-CR" w:eastAsia="es-CR"/>
        </w:rPr>
        <w:t>la omisión estatal de</w:t>
      </w:r>
      <w:r w:rsidRPr="00C87725">
        <w:rPr>
          <w:rFonts w:ascii="Verdana" w:eastAsia="Batang" w:hAnsi="Verdana" w:cs="Times"/>
          <w:sz w:val="20"/>
          <w:szCs w:val="20"/>
          <w:lang w:val="es-CR" w:eastAsia="es-CR"/>
        </w:rPr>
        <w:t xml:space="preserve"> “emprender acciones efectivas de control de la deforestación del territorio indígena”, </w:t>
      </w:r>
      <w:r>
        <w:rPr>
          <w:rFonts w:ascii="Verdana" w:eastAsia="Batang" w:hAnsi="Verdana" w:cs="Times"/>
          <w:sz w:val="20"/>
          <w:szCs w:val="20"/>
          <w:lang w:val="es-CR" w:eastAsia="es-CR"/>
        </w:rPr>
        <w:t>así como</w:t>
      </w:r>
      <w:r w:rsidRPr="00C87725">
        <w:rPr>
          <w:rFonts w:ascii="Verdana" w:eastAsia="Batang" w:hAnsi="Verdana" w:cs="Times"/>
          <w:sz w:val="20"/>
          <w:szCs w:val="20"/>
          <w:lang w:val="es-CR" w:eastAsia="es-CR"/>
        </w:rPr>
        <w:t xml:space="preserve"> que </w:t>
      </w:r>
      <w:r>
        <w:rPr>
          <w:rFonts w:ascii="Verdana" w:eastAsia="Batang" w:hAnsi="Verdana" w:cs="Times"/>
          <w:sz w:val="20"/>
          <w:szCs w:val="20"/>
          <w:lang w:val="es-CR" w:eastAsia="es-CR"/>
        </w:rPr>
        <w:t xml:space="preserve">el Estado </w:t>
      </w:r>
      <w:r w:rsidRPr="00C87725">
        <w:rPr>
          <w:rFonts w:ascii="Verdana" w:eastAsia="Batang" w:hAnsi="Verdana" w:cs="Times"/>
          <w:sz w:val="20"/>
          <w:szCs w:val="20"/>
          <w:lang w:val="es-CR" w:eastAsia="es-CR"/>
        </w:rPr>
        <w:t>llev</w:t>
      </w:r>
      <w:r>
        <w:rPr>
          <w:rFonts w:ascii="Verdana" w:eastAsia="Batang" w:hAnsi="Verdana" w:cs="Times"/>
          <w:sz w:val="20"/>
          <w:szCs w:val="20"/>
          <w:lang w:val="es-CR" w:eastAsia="es-CR"/>
        </w:rPr>
        <w:t>ara</w:t>
      </w:r>
      <w:r w:rsidRPr="00C87725">
        <w:rPr>
          <w:rFonts w:ascii="Verdana" w:eastAsia="Batang" w:hAnsi="Verdana" w:cs="Times"/>
          <w:sz w:val="20"/>
          <w:szCs w:val="20"/>
          <w:lang w:val="es-CR" w:eastAsia="es-CR"/>
        </w:rPr>
        <w:t xml:space="preserve"> a cabo </w:t>
      </w:r>
      <w:r>
        <w:rPr>
          <w:rFonts w:ascii="Verdana" w:eastAsia="Batang" w:hAnsi="Verdana" w:cs="Times"/>
          <w:sz w:val="20"/>
          <w:szCs w:val="20"/>
          <w:lang w:val="es-CR" w:eastAsia="es-CR"/>
        </w:rPr>
        <w:t>“</w:t>
      </w:r>
      <w:r w:rsidRPr="00C87725">
        <w:rPr>
          <w:rFonts w:ascii="Verdana" w:eastAsia="Batang" w:hAnsi="Verdana" w:cs="Times"/>
          <w:sz w:val="20"/>
          <w:szCs w:val="20"/>
          <w:lang w:val="es-CR" w:eastAsia="es-CR"/>
        </w:rPr>
        <w:t>obras públicas</w:t>
      </w:r>
      <w:r>
        <w:rPr>
          <w:rFonts w:ascii="Verdana" w:eastAsia="Batang" w:hAnsi="Verdana" w:cs="Times"/>
          <w:sz w:val="20"/>
          <w:szCs w:val="20"/>
          <w:lang w:val="es-CR" w:eastAsia="es-CR"/>
        </w:rPr>
        <w:t>”</w:t>
      </w:r>
      <w:r w:rsidRPr="00C87725">
        <w:rPr>
          <w:rFonts w:ascii="Verdana" w:eastAsia="Batang" w:hAnsi="Verdana" w:cs="Times"/>
          <w:sz w:val="20"/>
          <w:szCs w:val="20"/>
          <w:lang w:val="es-CR" w:eastAsia="es-CR"/>
        </w:rPr>
        <w:t xml:space="preserve"> y otorg</w:t>
      </w:r>
      <w:r>
        <w:rPr>
          <w:rFonts w:ascii="Verdana" w:eastAsia="Batang" w:hAnsi="Verdana" w:cs="Times"/>
          <w:sz w:val="20"/>
          <w:szCs w:val="20"/>
          <w:lang w:val="es-CR" w:eastAsia="es-CR"/>
        </w:rPr>
        <w:t>ara</w:t>
      </w:r>
      <w:r w:rsidRPr="00C87725">
        <w:rPr>
          <w:rFonts w:ascii="Verdana" w:eastAsia="Batang" w:hAnsi="Verdana" w:cs="Times"/>
          <w:sz w:val="20"/>
          <w:szCs w:val="20"/>
          <w:lang w:val="es-CR" w:eastAsia="es-CR"/>
        </w:rPr>
        <w:t xml:space="preserve"> </w:t>
      </w:r>
      <w:r>
        <w:rPr>
          <w:rFonts w:ascii="Verdana" w:eastAsia="Batang" w:hAnsi="Verdana" w:cs="Times"/>
          <w:sz w:val="20"/>
          <w:szCs w:val="20"/>
          <w:lang w:val="es-CR" w:eastAsia="es-CR"/>
        </w:rPr>
        <w:t>“</w:t>
      </w:r>
      <w:r w:rsidRPr="00C87725">
        <w:rPr>
          <w:rFonts w:ascii="Verdana" w:eastAsia="Batang" w:hAnsi="Verdana" w:cs="Times"/>
          <w:sz w:val="20"/>
          <w:szCs w:val="20"/>
          <w:lang w:val="es-CR" w:eastAsia="es-CR"/>
        </w:rPr>
        <w:t>concesiones para la exploración de hidrocarburos</w:t>
      </w:r>
      <w:r>
        <w:rPr>
          <w:rFonts w:ascii="Verdana" w:eastAsia="Batang" w:hAnsi="Verdana" w:cs="Times"/>
          <w:sz w:val="20"/>
          <w:szCs w:val="20"/>
          <w:lang w:val="es-CR" w:eastAsia="es-CR"/>
        </w:rPr>
        <w:t>” sin cumplir requisitos de realizar estudios previos de “impacto social y ambiental” y “consultas previas, libres e informadas”</w:t>
      </w:r>
      <w:r w:rsidRPr="00C87725">
        <w:rPr>
          <w:rFonts w:ascii="Verdana" w:eastAsia="Batang" w:hAnsi="Verdana" w:cs="Times"/>
          <w:sz w:val="20"/>
          <w:szCs w:val="20"/>
          <w:lang w:val="es-CR" w:eastAsia="es-CR"/>
        </w:rPr>
        <w:t xml:space="preserve">. </w:t>
      </w:r>
      <w:r>
        <w:rPr>
          <w:rFonts w:ascii="Verdana" w:eastAsia="Batang" w:hAnsi="Verdana" w:cs="Times"/>
          <w:sz w:val="20"/>
          <w:szCs w:val="20"/>
          <w:lang w:val="es-CR" w:eastAsia="es-CR"/>
        </w:rPr>
        <w:t>A</w:t>
      </w:r>
      <w:r w:rsidRPr="00C87725">
        <w:rPr>
          <w:rFonts w:ascii="Verdana" w:eastAsia="Batang" w:hAnsi="Verdana" w:cs="Times"/>
          <w:sz w:val="20"/>
          <w:szCs w:val="20"/>
          <w:lang w:val="es-CR" w:eastAsia="es-CR"/>
        </w:rPr>
        <w:t>firmó que Argentina también violó los derechos de las comunidades “al acceso a la información y a […] participar en los asuntos susceptibles de afectarles”. Por último, “concluyó la violación de los derechos a las garantías judiciales y protección judicial, debido a la falta de provisión de un procedimiento efectivo para acceder a la propiedad del territorio ancestral; así como a las variaciones sucesivas en el procedimiento administrativo aplicable a la reclamación territorial indígena”.</w:t>
      </w:r>
    </w:p>
    <w:p w14:paraId="7905147F" w14:textId="77777777" w:rsidR="009805F2" w:rsidRDefault="009805F2" w:rsidP="009805F2">
      <w:pPr>
        <w:spacing w:after="0" w:line="240" w:lineRule="auto"/>
        <w:ind w:right="6"/>
        <w:jc w:val="both"/>
        <w:rPr>
          <w:rFonts w:ascii="Verdana" w:eastAsia="Batang" w:hAnsi="Verdana" w:cs="Times"/>
          <w:i/>
          <w:sz w:val="20"/>
          <w:szCs w:val="20"/>
          <w:lang w:eastAsia="es-CR"/>
        </w:rPr>
      </w:pPr>
    </w:p>
    <w:p w14:paraId="52F039AE" w14:textId="77777777" w:rsidR="009805F2" w:rsidRPr="001E3405" w:rsidRDefault="009805F2" w:rsidP="009805F2">
      <w:pPr>
        <w:pStyle w:val="Prrafodelista"/>
        <w:numPr>
          <w:ilvl w:val="0"/>
          <w:numId w:val="1"/>
        </w:numPr>
        <w:spacing w:after="0" w:line="240" w:lineRule="auto"/>
        <w:ind w:left="0" w:right="6" w:hanging="11"/>
        <w:jc w:val="both"/>
        <w:rPr>
          <w:rFonts w:ascii="Verdana" w:eastAsia="Batang" w:hAnsi="Verdana" w:cs="Times"/>
          <w:i/>
          <w:sz w:val="20"/>
          <w:szCs w:val="20"/>
          <w:lang w:val="es-CR" w:eastAsia="es-CR"/>
        </w:rPr>
      </w:pPr>
      <w:r w:rsidRPr="00C87725">
        <w:rPr>
          <w:rFonts w:ascii="Verdana" w:hAnsi="Verdana"/>
          <w:i/>
          <w:sz w:val="20"/>
        </w:rPr>
        <w:t>Trámite ante la Comisión.</w:t>
      </w:r>
      <w:r w:rsidRPr="00C87725">
        <w:rPr>
          <w:rFonts w:ascii="Verdana" w:hAnsi="Verdana"/>
          <w:sz w:val="20"/>
        </w:rPr>
        <w:t xml:space="preserve"> – El trámite del caso ante la Comisión fue el siguiente: </w:t>
      </w:r>
    </w:p>
    <w:p w14:paraId="3A24D50B" w14:textId="77777777" w:rsidR="008F367F" w:rsidRDefault="008F367F" w:rsidP="009805F2">
      <w:pPr>
        <w:spacing w:after="0" w:line="240" w:lineRule="auto"/>
        <w:ind w:left="142"/>
        <w:jc w:val="both"/>
        <w:rPr>
          <w:rFonts w:ascii="Verdana" w:hAnsi="Verdana"/>
          <w:sz w:val="20"/>
        </w:rPr>
      </w:pPr>
    </w:p>
    <w:p w14:paraId="64E1B7A1" w14:textId="77777777" w:rsidR="009805F2" w:rsidRDefault="009805F2" w:rsidP="009805F2">
      <w:pPr>
        <w:spacing w:after="0" w:line="240" w:lineRule="auto"/>
        <w:ind w:left="142"/>
        <w:jc w:val="both"/>
        <w:rPr>
          <w:rFonts w:ascii="Verdana" w:hAnsi="Verdana"/>
          <w:b/>
          <w:sz w:val="20"/>
        </w:rPr>
      </w:pPr>
      <w:r>
        <w:rPr>
          <w:rFonts w:ascii="Verdana" w:hAnsi="Verdana"/>
          <w:sz w:val="20"/>
        </w:rPr>
        <w:t xml:space="preserve">a) </w:t>
      </w:r>
      <w:r w:rsidRPr="00073058">
        <w:rPr>
          <w:rFonts w:ascii="Verdana" w:hAnsi="Verdana"/>
          <w:i/>
          <w:sz w:val="20"/>
        </w:rPr>
        <w:t>Petición</w:t>
      </w:r>
      <w:r w:rsidRPr="00C54C38">
        <w:rPr>
          <w:rFonts w:ascii="Verdana" w:hAnsi="Verdana"/>
          <w:sz w:val="20"/>
        </w:rPr>
        <w:t>.</w:t>
      </w:r>
      <w:r>
        <w:rPr>
          <w:rFonts w:ascii="Verdana" w:hAnsi="Verdana"/>
          <w:sz w:val="20"/>
        </w:rPr>
        <w:t xml:space="preserve"> </w:t>
      </w:r>
      <w:r w:rsidRPr="00C54C38">
        <w:rPr>
          <w:rFonts w:ascii="Verdana" w:hAnsi="Verdana"/>
          <w:sz w:val="20"/>
        </w:rPr>
        <w:t xml:space="preserve">– El </w:t>
      </w:r>
      <w:r>
        <w:rPr>
          <w:rFonts w:ascii="Verdana" w:hAnsi="Verdana"/>
          <w:sz w:val="20"/>
        </w:rPr>
        <w:t>4 de agosto de 1998</w:t>
      </w:r>
      <w:r w:rsidRPr="00C54C38">
        <w:rPr>
          <w:rFonts w:ascii="Verdana" w:hAnsi="Verdana"/>
          <w:sz w:val="20"/>
        </w:rPr>
        <w:t xml:space="preserve"> la Comisión recibió la petición inicial presentada por </w:t>
      </w:r>
      <w:r>
        <w:rPr>
          <w:rFonts w:ascii="Verdana" w:hAnsi="Verdana"/>
          <w:sz w:val="20"/>
        </w:rPr>
        <w:t xml:space="preserve">Lhaka Honhat, con el patrocinio del Centro de Estudios Legales y Sociales (CELS) y el Centro por la Justicia y el Derecho Internacional (CEJIL). </w:t>
      </w:r>
    </w:p>
    <w:p w14:paraId="424E7926" w14:textId="77777777" w:rsidR="009805F2" w:rsidRDefault="009805F2" w:rsidP="009805F2">
      <w:pPr>
        <w:spacing w:after="0" w:line="240" w:lineRule="auto"/>
        <w:ind w:left="142"/>
        <w:jc w:val="both"/>
        <w:rPr>
          <w:rFonts w:ascii="Verdana" w:hAnsi="Verdana"/>
          <w:sz w:val="20"/>
        </w:rPr>
      </w:pPr>
      <w:r w:rsidRPr="00C54C38">
        <w:rPr>
          <w:rFonts w:ascii="Verdana" w:hAnsi="Verdana"/>
          <w:sz w:val="20"/>
        </w:rPr>
        <w:t xml:space="preserve">b) </w:t>
      </w:r>
      <w:r w:rsidRPr="00073058">
        <w:rPr>
          <w:rFonts w:ascii="Verdana" w:hAnsi="Verdana"/>
          <w:i/>
          <w:sz w:val="20"/>
        </w:rPr>
        <w:t>Informes de Admisibilidad y de Fondo</w:t>
      </w:r>
      <w:r>
        <w:rPr>
          <w:rFonts w:ascii="Verdana" w:hAnsi="Verdana"/>
          <w:sz w:val="20"/>
        </w:rPr>
        <w:t xml:space="preserve">.- </w:t>
      </w:r>
      <w:r w:rsidRPr="00307C2F">
        <w:rPr>
          <w:rFonts w:ascii="Verdana" w:hAnsi="Verdana"/>
          <w:sz w:val="20"/>
        </w:rPr>
        <w:t>El 21 de octubre de 2006, la C</w:t>
      </w:r>
      <w:r>
        <w:rPr>
          <w:rFonts w:ascii="Verdana" w:hAnsi="Verdana"/>
          <w:sz w:val="20"/>
        </w:rPr>
        <w:t>omisión</w:t>
      </w:r>
      <w:r w:rsidRPr="00307C2F">
        <w:rPr>
          <w:rFonts w:ascii="Verdana" w:hAnsi="Verdana"/>
          <w:sz w:val="20"/>
        </w:rPr>
        <w:t xml:space="preserve"> aprobó el Informe</w:t>
      </w:r>
      <w:r>
        <w:rPr>
          <w:rFonts w:ascii="Verdana" w:hAnsi="Verdana"/>
          <w:sz w:val="20"/>
        </w:rPr>
        <w:t xml:space="preserve"> de Admisibilidad No. 78/06, declarando</w:t>
      </w:r>
      <w:r w:rsidRPr="00307C2F">
        <w:rPr>
          <w:rFonts w:ascii="Verdana" w:hAnsi="Verdana"/>
          <w:sz w:val="20"/>
        </w:rPr>
        <w:t xml:space="preserve"> admisible la petición</w:t>
      </w:r>
      <w:r w:rsidRPr="00C54C38">
        <w:rPr>
          <w:rFonts w:ascii="Verdana" w:hAnsi="Verdana"/>
          <w:sz w:val="20"/>
        </w:rPr>
        <w:t xml:space="preserve">. </w:t>
      </w:r>
      <w:r>
        <w:rPr>
          <w:rFonts w:ascii="Verdana" w:hAnsi="Verdana"/>
          <w:sz w:val="20"/>
        </w:rPr>
        <w:t>E</w:t>
      </w:r>
      <w:r w:rsidRPr="00C54C38">
        <w:rPr>
          <w:rFonts w:ascii="Verdana" w:hAnsi="Verdana"/>
          <w:sz w:val="20"/>
        </w:rPr>
        <w:t xml:space="preserve">l </w:t>
      </w:r>
      <w:r>
        <w:rPr>
          <w:rFonts w:ascii="Verdana" w:hAnsi="Verdana"/>
          <w:sz w:val="20"/>
        </w:rPr>
        <w:t xml:space="preserve">26 de enero </w:t>
      </w:r>
      <w:r>
        <w:rPr>
          <w:rFonts w:ascii="Verdana" w:hAnsi="Verdana"/>
          <w:sz w:val="20"/>
        </w:rPr>
        <w:lastRenderedPageBreak/>
        <w:t>de 2012</w:t>
      </w:r>
      <w:r w:rsidRPr="00C54C38">
        <w:rPr>
          <w:rFonts w:ascii="Verdana" w:hAnsi="Verdana"/>
          <w:sz w:val="20"/>
        </w:rPr>
        <w:t xml:space="preserve"> aprobó el Informe de Fondo No. </w:t>
      </w:r>
      <w:r>
        <w:rPr>
          <w:rFonts w:ascii="Verdana" w:hAnsi="Verdana"/>
          <w:sz w:val="20"/>
        </w:rPr>
        <w:t>2/12</w:t>
      </w:r>
      <w:r w:rsidRPr="00C54C38">
        <w:rPr>
          <w:rFonts w:ascii="Verdana" w:hAnsi="Verdana"/>
          <w:sz w:val="20"/>
        </w:rPr>
        <w:t>, en el cual llegó a una serie de conclusiones</w:t>
      </w:r>
      <w:r>
        <w:rPr>
          <w:rStyle w:val="Refdenotaalpie"/>
          <w:rFonts w:ascii="Verdana" w:hAnsi="Verdana"/>
          <w:sz w:val="20"/>
        </w:rPr>
        <w:footnoteReference w:id="3"/>
      </w:r>
      <w:r w:rsidRPr="00C54C38">
        <w:rPr>
          <w:rFonts w:ascii="Verdana" w:hAnsi="Verdana"/>
          <w:sz w:val="20"/>
        </w:rPr>
        <w:t xml:space="preserve"> y formuló varias recomendaciones a </w:t>
      </w:r>
      <w:r>
        <w:rPr>
          <w:rFonts w:ascii="Verdana" w:hAnsi="Verdana"/>
          <w:sz w:val="20"/>
        </w:rPr>
        <w:t>Argentina</w:t>
      </w:r>
      <w:r>
        <w:rPr>
          <w:rStyle w:val="Refdenotaalpie"/>
          <w:rFonts w:ascii="Verdana" w:hAnsi="Verdana"/>
          <w:sz w:val="20"/>
        </w:rPr>
        <w:footnoteReference w:id="4"/>
      </w:r>
      <w:r>
        <w:rPr>
          <w:rFonts w:ascii="Verdana" w:hAnsi="Verdana"/>
          <w:sz w:val="20"/>
        </w:rPr>
        <w:t>.</w:t>
      </w:r>
    </w:p>
    <w:p w14:paraId="578A8297" w14:textId="77777777" w:rsidR="009805F2" w:rsidRDefault="009805F2" w:rsidP="009805F2">
      <w:pPr>
        <w:spacing w:after="0" w:line="240" w:lineRule="auto"/>
        <w:ind w:left="142"/>
        <w:jc w:val="both"/>
        <w:rPr>
          <w:rFonts w:ascii="Verdana" w:hAnsi="Verdana"/>
          <w:sz w:val="20"/>
        </w:rPr>
      </w:pPr>
      <w:r>
        <w:rPr>
          <w:rFonts w:ascii="Verdana" w:hAnsi="Verdana"/>
          <w:sz w:val="20"/>
        </w:rPr>
        <w:t xml:space="preserve">c) </w:t>
      </w:r>
      <w:r w:rsidRPr="00073058">
        <w:rPr>
          <w:rFonts w:ascii="Verdana" w:hAnsi="Verdana"/>
          <w:i/>
          <w:sz w:val="20"/>
        </w:rPr>
        <w:t>Notificación al Estado</w:t>
      </w:r>
      <w:r>
        <w:rPr>
          <w:rFonts w:ascii="Verdana" w:hAnsi="Verdana"/>
          <w:sz w:val="20"/>
        </w:rPr>
        <w:t>.- La Comisión notificó el Informe de Fondo al Estado por medio de una comunicación fechada el 26 de marzo de 2012, remitida el día siguiente, otorgándole dos meses para informar sobre el cumplimiento de las recomendaciones.</w:t>
      </w:r>
    </w:p>
    <w:p w14:paraId="77C0C83F" w14:textId="506FB0C9" w:rsidR="009805F2" w:rsidRPr="00C9420A" w:rsidRDefault="009805F2" w:rsidP="009805F2">
      <w:pPr>
        <w:spacing w:after="0" w:line="240" w:lineRule="auto"/>
        <w:ind w:left="142"/>
        <w:jc w:val="both"/>
        <w:rPr>
          <w:rFonts w:ascii="Verdana" w:hAnsi="Verdana"/>
          <w:sz w:val="20"/>
          <w:szCs w:val="20"/>
          <w:lang w:val="es-ES"/>
        </w:rPr>
      </w:pPr>
      <w:r>
        <w:rPr>
          <w:rFonts w:ascii="Verdana" w:hAnsi="Verdana"/>
          <w:sz w:val="20"/>
        </w:rPr>
        <w:t xml:space="preserve">d) </w:t>
      </w:r>
      <w:r w:rsidRPr="003F6985">
        <w:rPr>
          <w:rFonts w:ascii="Verdana" w:hAnsi="Verdana"/>
          <w:i/>
          <w:sz w:val="20"/>
          <w:lang w:val="es-ES"/>
        </w:rPr>
        <w:t>Informes sobre las recomendaciones de la Comisión</w:t>
      </w:r>
      <w:r>
        <w:rPr>
          <w:rFonts w:ascii="Verdana" w:hAnsi="Verdana"/>
          <w:i/>
          <w:sz w:val="20"/>
          <w:lang w:val="es-ES"/>
        </w:rPr>
        <w:t>.-</w:t>
      </w:r>
      <w:r>
        <w:rPr>
          <w:rFonts w:ascii="Verdana" w:hAnsi="Verdana"/>
          <w:b/>
          <w:sz w:val="16"/>
          <w:szCs w:val="16"/>
          <w:lang w:val="es-ES"/>
        </w:rPr>
        <w:t xml:space="preserve"> </w:t>
      </w:r>
      <w:r>
        <w:rPr>
          <w:rFonts w:ascii="Verdana" w:hAnsi="Verdana"/>
          <w:sz w:val="20"/>
          <w:lang w:val="es-ES"/>
        </w:rPr>
        <w:t>El 25 de mayo de 2012 el Estado dio respuesta al Informe de Fondo. Señaló que se había trasladado el mismo a las autoridades provinciales competentes, para que remit</w:t>
      </w:r>
      <w:r w:rsidR="00BE63EC">
        <w:rPr>
          <w:rFonts w:ascii="Verdana" w:hAnsi="Verdana"/>
          <w:sz w:val="20"/>
          <w:lang w:val="es-ES"/>
        </w:rPr>
        <w:t>ier</w:t>
      </w:r>
      <w:r>
        <w:rPr>
          <w:rFonts w:ascii="Verdana" w:hAnsi="Verdana"/>
          <w:sz w:val="20"/>
          <w:lang w:val="es-ES"/>
        </w:rPr>
        <w:t xml:space="preserve">an observaciones, por lo que solicitó un plazo adicional para informar sobre las medidas adoptadas. </w:t>
      </w:r>
      <w:r w:rsidRPr="00073058">
        <w:rPr>
          <w:rFonts w:ascii="Verdana" w:hAnsi="Verdana"/>
          <w:sz w:val="20"/>
          <w:szCs w:val="20"/>
          <w:lang w:val="es-ES"/>
        </w:rPr>
        <w:t>Con</w:t>
      </w:r>
      <w:r>
        <w:rPr>
          <w:rFonts w:ascii="Verdana" w:hAnsi="Verdana"/>
          <w:sz w:val="20"/>
          <w:szCs w:val="20"/>
          <w:lang w:val="es-ES"/>
        </w:rPr>
        <w:t>forme consta en el expediente del trámite ante la Comisión, ésta</w:t>
      </w:r>
      <w:r w:rsidRPr="00073058">
        <w:rPr>
          <w:rFonts w:ascii="Verdana" w:hAnsi="Verdana"/>
          <w:sz w:val="20"/>
          <w:szCs w:val="20"/>
          <w:lang w:val="es-ES"/>
        </w:rPr>
        <w:t xml:space="preserve"> otorgó 22 prórrogas al Estado</w:t>
      </w:r>
      <w:r>
        <w:rPr>
          <w:rFonts w:ascii="Verdana" w:hAnsi="Verdana"/>
          <w:sz w:val="20"/>
          <w:szCs w:val="20"/>
          <w:lang w:val="es-ES"/>
        </w:rPr>
        <w:t xml:space="preserve">, siendo la última concedida el 1 de noviembre de 2017. Dichas prórrogas fueron dadas a partir de que la Comisión observó avances en la implementación de sus recomendaciones. En ese marco, es posible destacar algunos actos. Por medio de escritos de </w:t>
      </w:r>
      <w:r w:rsidRPr="00BA4A43">
        <w:rPr>
          <w:rFonts w:ascii="Verdana" w:hAnsi="Verdana"/>
          <w:sz w:val="20"/>
          <w:szCs w:val="20"/>
          <w:lang w:val="es-ES"/>
        </w:rPr>
        <w:t xml:space="preserve">15 de enero </w:t>
      </w:r>
      <w:r>
        <w:rPr>
          <w:rFonts w:ascii="Verdana" w:hAnsi="Verdana"/>
          <w:sz w:val="20"/>
          <w:szCs w:val="20"/>
          <w:lang w:val="es-ES"/>
        </w:rPr>
        <w:t xml:space="preserve">y </w:t>
      </w:r>
      <w:r w:rsidRPr="00FC7026">
        <w:rPr>
          <w:rFonts w:ascii="Verdana" w:hAnsi="Verdana"/>
          <w:sz w:val="20"/>
          <w:szCs w:val="20"/>
          <w:lang w:val="es-ES"/>
        </w:rPr>
        <w:t>8 de julio</w:t>
      </w:r>
      <w:r>
        <w:rPr>
          <w:rFonts w:ascii="Verdana" w:hAnsi="Verdana"/>
          <w:sz w:val="20"/>
          <w:szCs w:val="20"/>
          <w:lang w:val="es-ES"/>
        </w:rPr>
        <w:t xml:space="preserve"> </w:t>
      </w:r>
      <w:r w:rsidRPr="00BA4A43">
        <w:rPr>
          <w:rFonts w:ascii="Verdana" w:hAnsi="Verdana"/>
          <w:sz w:val="20"/>
          <w:szCs w:val="20"/>
          <w:lang w:val="es-ES"/>
        </w:rPr>
        <w:t>de 2014</w:t>
      </w:r>
      <w:r>
        <w:rPr>
          <w:rFonts w:ascii="Verdana" w:hAnsi="Verdana"/>
          <w:sz w:val="20"/>
          <w:szCs w:val="20"/>
          <w:lang w:val="es-ES"/>
        </w:rPr>
        <w:t xml:space="preserve"> el Estado presentó informes sobre las acciones y recursos dispuestos en la zona por el Estado Nacional y por la Provincia de Salta (en adelante también “Salta” o “la Provincia”), así como sobre la “ruta de trabajo” para cumplimentar las recomendaciones. También</w:t>
      </w:r>
      <w:r w:rsidR="007A2C63">
        <w:rPr>
          <w:rFonts w:ascii="Verdana" w:hAnsi="Verdana"/>
          <w:sz w:val="20"/>
          <w:szCs w:val="20"/>
          <w:lang w:val="es-ES"/>
        </w:rPr>
        <w:t>,</w:t>
      </w:r>
      <w:r>
        <w:rPr>
          <w:rFonts w:ascii="Verdana" w:hAnsi="Verdana"/>
          <w:sz w:val="20"/>
          <w:szCs w:val="20"/>
          <w:lang w:val="es-ES"/>
        </w:rPr>
        <w:t xml:space="preserve"> el 19 de julio de 2016</w:t>
      </w:r>
      <w:r w:rsidR="007A2C63">
        <w:rPr>
          <w:rFonts w:ascii="Verdana" w:hAnsi="Verdana"/>
          <w:sz w:val="20"/>
          <w:szCs w:val="20"/>
          <w:lang w:val="es-ES"/>
        </w:rPr>
        <w:t>,</w:t>
      </w:r>
      <w:r>
        <w:rPr>
          <w:rFonts w:ascii="Verdana" w:hAnsi="Verdana"/>
          <w:sz w:val="20"/>
          <w:szCs w:val="20"/>
          <w:lang w:val="es-ES"/>
        </w:rPr>
        <w:t xml:space="preserve"> Argentina informó a la Comisión sobre las medidas adoptadas y advirtió la complejidad de las mismas. El 25 de octubre de 2017 las partes y la Comisión mantuvieron una reunión de trabajo, en la cual se acordó que el Estado presentara un proyecto detallado sobre el cumplimiento de las recomendaciones. El 1 de noviembre de ese año la Comisión otorgó la que fue la última prórroga al Estado, que presentó su proyecto fechado el 24 del mismo mes, así como un nuevo informe y solicitud de prórroga, por medio de una comunicación fechada el 16 de enero de 2018. Esa solicitud fue negada. La Comisión consideró que</w:t>
      </w:r>
      <w:r w:rsidR="00D041BE">
        <w:rPr>
          <w:rFonts w:ascii="Verdana" w:hAnsi="Verdana"/>
          <w:sz w:val="20"/>
          <w:szCs w:val="20"/>
          <w:lang w:val="es-ES"/>
        </w:rPr>
        <w:t>,</w:t>
      </w:r>
      <w:r>
        <w:rPr>
          <w:rFonts w:ascii="Verdana" w:hAnsi="Verdana"/>
          <w:sz w:val="20"/>
          <w:szCs w:val="20"/>
          <w:lang w:val="es-ES"/>
        </w:rPr>
        <w:t xml:space="preserve"> si bien se habían registrado avances, el proyecto estatal presentado “sólo ofreci[ó] perspectivas de implementación en un largo período de tiempo” y que no había “expectativas de implementación” de las recomendaciones en un plazo razonable.</w:t>
      </w:r>
      <w:r w:rsidRPr="00073058">
        <w:rPr>
          <w:rFonts w:ascii="Verdana" w:hAnsi="Verdana"/>
          <w:sz w:val="20"/>
          <w:szCs w:val="20"/>
          <w:lang w:val="es-ES"/>
        </w:rPr>
        <w:t xml:space="preserve"> </w:t>
      </w:r>
    </w:p>
    <w:p w14:paraId="39CF2095" w14:textId="77777777" w:rsidR="009805F2" w:rsidRPr="00C83A8E" w:rsidRDefault="009805F2" w:rsidP="009805F2">
      <w:pPr>
        <w:pStyle w:val="Prrafodelista"/>
        <w:spacing w:line="240" w:lineRule="auto"/>
        <w:rPr>
          <w:rFonts w:ascii="Verdana" w:eastAsia="Batang" w:hAnsi="Verdana" w:cs="Times"/>
          <w:i/>
          <w:sz w:val="20"/>
          <w:szCs w:val="20"/>
          <w:lang w:eastAsia="es-CR"/>
        </w:rPr>
      </w:pPr>
    </w:p>
    <w:p w14:paraId="5A21CC2B" w14:textId="214D351E" w:rsidR="009805F2" w:rsidRPr="001E3405" w:rsidRDefault="009805F2" w:rsidP="009805F2">
      <w:pPr>
        <w:pStyle w:val="Prrafodelista"/>
        <w:numPr>
          <w:ilvl w:val="0"/>
          <w:numId w:val="1"/>
        </w:numPr>
        <w:spacing w:after="0" w:line="240" w:lineRule="auto"/>
        <w:ind w:left="0" w:right="6" w:hanging="11"/>
        <w:jc w:val="both"/>
        <w:rPr>
          <w:rFonts w:ascii="Verdana" w:hAnsi="Verdana"/>
          <w:sz w:val="20"/>
          <w:szCs w:val="20"/>
        </w:rPr>
      </w:pPr>
      <w:r w:rsidRPr="001E3405">
        <w:rPr>
          <w:rFonts w:ascii="Verdana" w:hAnsi="Verdana"/>
          <w:i/>
          <w:sz w:val="20"/>
          <w:szCs w:val="20"/>
        </w:rPr>
        <w:t>Sometimiento a la Corte</w:t>
      </w:r>
      <w:r w:rsidRPr="001E3405">
        <w:rPr>
          <w:rFonts w:ascii="Verdana" w:hAnsi="Verdana"/>
          <w:sz w:val="20"/>
          <w:szCs w:val="20"/>
        </w:rPr>
        <w:t>. – El 1 de febrero de 2018 la Comisión, en virtud de lo anterior, sometió el presente caso a la Corte</w:t>
      </w:r>
      <w:r w:rsidRPr="005E415C">
        <w:rPr>
          <w:rFonts w:ascii="Verdana" w:hAnsi="Verdana"/>
          <w:sz w:val="20"/>
          <w:szCs w:val="20"/>
        </w:rPr>
        <w:t>.</w:t>
      </w:r>
      <w:r w:rsidRPr="001E3405">
        <w:rPr>
          <w:rFonts w:ascii="Verdana" w:hAnsi="Verdana"/>
          <w:sz w:val="20"/>
          <w:szCs w:val="20"/>
        </w:rPr>
        <w:t xml:space="preserve"> </w:t>
      </w:r>
      <w:r w:rsidRPr="005E415C">
        <w:rPr>
          <w:rFonts w:ascii="Verdana" w:hAnsi="Verdana"/>
          <w:sz w:val="20"/>
          <w:szCs w:val="20"/>
        </w:rPr>
        <w:t>D</w:t>
      </w:r>
      <w:r w:rsidRPr="001E3405">
        <w:rPr>
          <w:rFonts w:ascii="Verdana" w:hAnsi="Verdana"/>
          <w:sz w:val="20"/>
          <w:szCs w:val="20"/>
        </w:rPr>
        <w:t>esignó</w:t>
      </w:r>
      <w:r w:rsidRPr="005E415C">
        <w:rPr>
          <w:rFonts w:ascii="Verdana" w:hAnsi="Verdana"/>
          <w:sz w:val="20"/>
          <w:szCs w:val="20"/>
        </w:rPr>
        <w:t xml:space="preserve"> como delegados al </w:t>
      </w:r>
      <w:r>
        <w:rPr>
          <w:rFonts w:ascii="Verdana" w:hAnsi="Verdana"/>
          <w:sz w:val="20"/>
          <w:szCs w:val="20"/>
        </w:rPr>
        <w:t xml:space="preserve">entonces </w:t>
      </w:r>
      <w:r w:rsidRPr="005E415C">
        <w:rPr>
          <w:rFonts w:ascii="Verdana" w:hAnsi="Verdana"/>
          <w:sz w:val="20"/>
          <w:szCs w:val="20"/>
        </w:rPr>
        <w:t>Comisionado Luis Ernesto V</w:t>
      </w:r>
      <w:r>
        <w:rPr>
          <w:rFonts w:ascii="Verdana" w:hAnsi="Verdana"/>
          <w:sz w:val="20"/>
          <w:szCs w:val="20"/>
        </w:rPr>
        <w:t>a</w:t>
      </w:r>
      <w:r w:rsidRPr="005E415C">
        <w:rPr>
          <w:rFonts w:ascii="Verdana" w:hAnsi="Verdana"/>
          <w:sz w:val="20"/>
          <w:szCs w:val="20"/>
        </w:rPr>
        <w:t>rgas Silva y al Secretario Ejecutivo Paulo Abrão, así como a las señoras Elizabeth Abi</w:t>
      </w:r>
      <w:r w:rsidR="004A6AF0">
        <w:rPr>
          <w:rFonts w:ascii="Verdana" w:hAnsi="Verdana"/>
          <w:sz w:val="20"/>
          <w:szCs w:val="20"/>
        </w:rPr>
        <w:t>-</w:t>
      </w:r>
      <w:r w:rsidRPr="005E415C">
        <w:rPr>
          <w:rFonts w:ascii="Verdana" w:hAnsi="Verdana"/>
          <w:sz w:val="20"/>
          <w:szCs w:val="20"/>
        </w:rPr>
        <w:t xml:space="preserve">Mershed, </w:t>
      </w:r>
      <w:r>
        <w:rPr>
          <w:rFonts w:ascii="Verdana" w:hAnsi="Verdana"/>
          <w:sz w:val="20"/>
          <w:szCs w:val="20"/>
        </w:rPr>
        <w:t xml:space="preserve">entonces </w:t>
      </w:r>
      <w:r w:rsidRPr="005E415C">
        <w:rPr>
          <w:rFonts w:ascii="Verdana" w:hAnsi="Verdana"/>
          <w:sz w:val="20"/>
          <w:szCs w:val="20"/>
        </w:rPr>
        <w:t>Secretaria Ejecutiva Adjunta</w:t>
      </w:r>
      <w:r w:rsidR="004A6AF0">
        <w:rPr>
          <w:rFonts w:ascii="Verdana" w:hAnsi="Verdana"/>
          <w:sz w:val="20"/>
          <w:szCs w:val="20"/>
        </w:rPr>
        <w:t>,</w:t>
      </w:r>
      <w:r w:rsidRPr="005E415C">
        <w:rPr>
          <w:rFonts w:ascii="Verdana" w:hAnsi="Verdana"/>
          <w:sz w:val="20"/>
          <w:szCs w:val="20"/>
        </w:rPr>
        <w:t xml:space="preserve"> y Silvia Serrano Guzmán</w:t>
      </w:r>
      <w:r>
        <w:rPr>
          <w:rFonts w:ascii="Verdana" w:hAnsi="Verdana"/>
          <w:sz w:val="20"/>
          <w:szCs w:val="20"/>
        </w:rPr>
        <w:t xml:space="preserve"> y Paulina Corominas</w:t>
      </w:r>
      <w:r w:rsidRPr="005E415C">
        <w:rPr>
          <w:rFonts w:ascii="Verdana" w:hAnsi="Verdana"/>
          <w:sz w:val="20"/>
          <w:szCs w:val="20"/>
        </w:rPr>
        <w:t xml:space="preserve"> como asesoras legales</w:t>
      </w:r>
      <w:r>
        <w:rPr>
          <w:rFonts w:ascii="Verdana" w:hAnsi="Verdana"/>
          <w:sz w:val="20"/>
          <w:szCs w:val="20"/>
        </w:rPr>
        <w:t>.</w:t>
      </w:r>
      <w:r w:rsidRPr="005E415C">
        <w:rPr>
          <w:rFonts w:ascii="Verdana" w:hAnsi="Verdana"/>
          <w:sz w:val="20"/>
          <w:szCs w:val="20"/>
        </w:rPr>
        <w:t xml:space="preserve"> </w:t>
      </w:r>
    </w:p>
    <w:p w14:paraId="5DA277DE" w14:textId="77777777" w:rsidR="009805F2" w:rsidRPr="001E3405" w:rsidRDefault="009805F2" w:rsidP="009805F2">
      <w:pPr>
        <w:pStyle w:val="Prrafodelista"/>
        <w:spacing w:after="0" w:line="240" w:lineRule="auto"/>
        <w:ind w:left="0" w:right="6"/>
        <w:jc w:val="both"/>
        <w:rPr>
          <w:rFonts w:ascii="Verdana" w:hAnsi="Verdana"/>
          <w:sz w:val="20"/>
          <w:szCs w:val="20"/>
        </w:rPr>
      </w:pPr>
    </w:p>
    <w:p w14:paraId="3CDD6F38" w14:textId="77777777" w:rsidR="009805F2" w:rsidRPr="001E3405" w:rsidRDefault="009805F2" w:rsidP="009805F2">
      <w:pPr>
        <w:pStyle w:val="Prrafodelista"/>
        <w:numPr>
          <w:ilvl w:val="0"/>
          <w:numId w:val="1"/>
        </w:numPr>
        <w:spacing w:after="0" w:line="240" w:lineRule="auto"/>
        <w:ind w:left="0" w:right="6" w:hanging="11"/>
        <w:jc w:val="both"/>
        <w:rPr>
          <w:rFonts w:ascii="Verdana" w:hAnsi="Verdana"/>
          <w:sz w:val="20"/>
          <w:szCs w:val="20"/>
        </w:rPr>
      </w:pPr>
      <w:r w:rsidRPr="001E3405">
        <w:rPr>
          <w:rFonts w:ascii="Verdana" w:hAnsi="Verdana"/>
          <w:i/>
          <w:sz w:val="20"/>
          <w:szCs w:val="20"/>
        </w:rPr>
        <w:t>Solicitudes de la Comisión.</w:t>
      </w:r>
      <w:r w:rsidRPr="001E3405">
        <w:rPr>
          <w:rFonts w:ascii="Verdana" w:hAnsi="Verdana"/>
          <w:sz w:val="20"/>
          <w:szCs w:val="20"/>
        </w:rPr>
        <w:t>- La Comisión solicitó a este Tribunal que concluy</w:t>
      </w:r>
      <w:r>
        <w:rPr>
          <w:rFonts w:ascii="Verdana" w:hAnsi="Verdana"/>
          <w:sz w:val="20"/>
          <w:szCs w:val="20"/>
        </w:rPr>
        <w:t>a</w:t>
      </w:r>
      <w:r w:rsidRPr="001E3405">
        <w:rPr>
          <w:rFonts w:ascii="Verdana" w:hAnsi="Verdana"/>
          <w:sz w:val="20"/>
          <w:szCs w:val="20"/>
        </w:rPr>
        <w:t xml:space="preserve"> y declar</w:t>
      </w:r>
      <w:r>
        <w:rPr>
          <w:rFonts w:ascii="Verdana" w:hAnsi="Verdana"/>
          <w:sz w:val="20"/>
          <w:szCs w:val="20"/>
        </w:rPr>
        <w:t>e</w:t>
      </w:r>
      <w:r w:rsidRPr="001E3405">
        <w:rPr>
          <w:rFonts w:ascii="Verdana" w:hAnsi="Verdana"/>
          <w:sz w:val="20"/>
          <w:szCs w:val="20"/>
        </w:rPr>
        <w:t xml:space="preserve"> la responsabilidad internacional de Argentina por las violaciones establecidas en el Informe de Fondo</w:t>
      </w:r>
      <w:r>
        <w:rPr>
          <w:rFonts w:ascii="Verdana" w:hAnsi="Verdana"/>
          <w:sz w:val="20"/>
          <w:szCs w:val="20"/>
        </w:rPr>
        <w:t>,</w:t>
      </w:r>
      <w:r w:rsidRPr="001E3405">
        <w:rPr>
          <w:rFonts w:ascii="Verdana" w:hAnsi="Verdana"/>
          <w:sz w:val="20"/>
          <w:szCs w:val="20"/>
        </w:rPr>
        <w:t xml:space="preserve"> y que </w:t>
      </w:r>
      <w:r>
        <w:rPr>
          <w:rFonts w:ascii="Verdana" w:hAnsi="Verdana"/>
          <w:sz w:val="20"/>
          <w:szCs w:val="20"/>
        </w:rPr>
        <w:t>le ordene</w:t>
      </w:r>
      <w:r w:rsidRPr="001E3405">
        <w:rPr>
          <w:rFonts w:ascii="Verdana" w:hAnsi="Verdana"/>
          <w:sz w:val="20"/>
          <w:szCs w:val="20"/>
        </w:rPr>
        <w:t>, como medidas de reparación, las recomendaciones incluidas en</w:t>
      </w:r>
      <w:r>
        <w:rPr>
          <w:rFonts w:ascii="Verdana" w:hAnsi="Verdana"/>
          <w:sz w:val="20"/>
          <w:szCs w:val="20"/>
        </w:rPr>
        <w:t xml:space="preserve"> el mismo (</w:t>
      </w:r>
      <w:r>
        <w:rPr>
          <w:rFonts w:ascii="Verdana" w:hAnsi="Verdana"/>
          <w:i/>
          <w:sz w:val="20"/>
          <w:szCs w:val="20"/>
        </w:rPr>
        <w:t xml:space="preserve">supra </w:t>
      </w:r>
      <w:r>
        <w:rPr>
          <w:rFonts w:ascii="Verdana" w:hAnsi="Verdana"/>
          <w:sz w:val="20"/>
          <w:szCs w:val="20"/>
        </w:rPr>
        <w:t>notas a pie de página 2 y 3).</w:t>
      </w:r>
    </w:p>
    <w:p w14:paraId="16007C95" w14:textId="77777777" w:rsidR="009805F2" w:rsidRPr="00FA4988" w:rsidRDefault="009805F2" w:rsidP="009805F2">
      <w:pPr>
        <w:spacing w:after="0" w:line="240" w:lineRule="auto"/>
        <w:ind w:right="6"/>
        <w:jc w:val="both"/>
        <w:rPr>
          <w:rFonts w:ascii="Verdana" w:eastAsia="Batang" w:hAnsi="Verdana" w:cs="Times"/>
          <w:sz w:val="20"/>
          <w:szCs w:val="20"/>
          <w:lang w:eastAsia="es-CR"/>
        </w:rPr>
      </w:pPr>
    </w:p>
    <w:p w14:paraId="2BB80D50" w14:textId="77777777" w:rsidR="009805F2" w:rsidRPr="00873FEC" w:rsidRDefault="009805F2" w:rsidP="009805F2">
      <w:pPr>
        <w:keepNext/>
        <w:keepLines/>
        <w:spacing w:after="0" w:line="240" w:lineRule="auto"/>
        <w:jc w:val="center"/>
        <w:outlineLvl w:val="0"/>
        <w:rPr>
          <w:rFonts w:ascii="Verdana" w:eastAsia="Times New Roman" w:hAnsi="Verdana" w:cs="Verdana"/>
          <w:b/>
          <w:caps/>
          <w:sz w:val="20"/>
          <w:szCs w:val="20"/>
          <w:lang w:eastAsia="es-CR"/>
        </w:rPr>
      </w:pPr>
      <w:bookmarkStart w:id="8" w:name="_Toc22224851"/>
      <w:bookmarkStart w:id="9" w:name="_Toc32218813"/>
      <w:bookmarkStart w:id="10" w:name="_Toc32227080"/>
      <w:bookmarkStart w:id="11" w:name="_Toc34337509"/>
      <w:r w:rsidRPr="00873FEC">
        <w:rPr>
          <w:rFonts w:ascii="Verdana" w:eastAsia="Times New Roman" w:hAnsi="Verdana" w:cs="Verdana"/>
          <w:b/>
          <w:caps/>
          <w:sz w:val="20"/>
          <w:szCs w:val="20"/>
          <w:lang w:eastAsia="es-CR"/>
        </w:rPr>
        <w:t>II</w:t>
      </w:r>
      <w:r w:rsidRPr="00873FEC">
        <w:rPr>
          <w:rFonts w:ascii="Verdana" w:eastAsia="Times New Roman" w:hAnsi="Verdana" w:cs="Verdana"/>
          <w:b/>
          <w:caps/>
          <w:color w:val="FFFFFF"/>
          <w:sz w:val="20"/>
          <w:szCs w:val="20"/>
          <w:lang w:eastAsia="es-CR"/>
        </w:rPr>
        <w:t>.</w:t>
      </w:r>
      <w:r w:rsidRPr="00873FEC">
        <w:rPr>
          <w:rFonts w:ascii="Verdana" w:eastAsia="Times New Roman" w:hAnsi="Verdana" w:cs="Verdana"/>
          <w:b/>
          <w:caps/>
          <w:sz w:val="20"/>
          <w:szCs w:val="20"/>
          <w:lang w:eastAsia="es-CR"/>
        </w:rPr>
        <w:br/>
        <w:t>PROCEDIMIENTO ANTE LA CORTE</w:t>
      </w:r>
      <w:bookmarkEnd w:id="8"/>
      <w:bookmarkEnd w:id="9"/>
      <w:bookmarkEnd w:id="10"/>
      <w:bookmarkEnd w:id="11"/>
    </w:p>
    <w:p w14:paraId="4EE37DD8" w14:textId="77777777" w:rsidR="009805F2" w:rsidRPr="00873FEC" w:rsidRDefault="009805F2" w:rsidP="009805F2">
      <w:pPr>
        <w:spacing w:after="0" w:line="240" w:lineRule="auto"/>
        <w:jc w:val="both"/>
        <w:rPr>
          <w:rFonts w:ascii="Verdana" w:eastAsia="Batang" w:hAnsi="Verdana" w:cs="Times"/>
          <w:sz w:val="20"/>
          <w:szCs w:val="20"/>
          <w:lang w:eastAsia="es-CR"/>
        </w:rPr>
      </w:pPr>
    </w:p>
    <w:p w14:paraId="085FA1C3" w14:textId="77777777" w:rsidR="009805F2" w:rsidRPr="00C87725" w:rsidRDefault="009805F2" w:rsidP="009805F2">
      <w:pPr>
        <w:pStyle w:val="Prrafodelista"/>
        <w:numPr>
          <w:ilvl w:val="0"/>
          <w:numId w:val="1"/>
        </w:numPr>
        <w:spacing w:after="0" w:line="240" w:lineRule="auto"/>
        <w:ind w:left="0" w:hanging="11"/>
        <w:jc w:val="both"/>
        <w:rPr>
          <w:rFonts w:ascii="Verdana" w:eastAsia="Batang" w:hAnsi="Verdana" w:cs="Times"/>
          <w:i/>
          <w:sz w:val="20"/>
          <w:szCs w:val="20"/>
          <w:lang w:val="es-CR" w:eastAsia="es-CR"/>
        </w:rPr>
      </w:pPr>
      <w:r>
        <w:rPr>
          <w:rFonts w:ascii="Verdana" w:eastAsia="Batang" w:hAnsi="Verdana" w:cs="Times"/>
          <w:i/>
          <w:sz w:val="20"/>
          <w:szCs w:val="20"/>
          <w:lang w:val="es-CR" w:eastAsia="es-CR"/>
        </w:rPr>
        <w:t xml:space="preserve">Notificación al Estado y a los representantes. </w:t>
      </w:r>
      <w:r>
        <w:rPr>
          <w:rFonts w:ascii="Verdana" w:hAnsi="Verdana"/>
          <w:sz w:val="20"/>
          <w:szCs w:val="20"/>
        </w:rPr>
        <w:t xml:space="preserve">– El sometimiento del caso fue </w:t>
      </w:r>
      <w:r w:rsidRPr="00E7603C">
        <w:rPr>
          <w:rFonts w:ascii="Verdana" w:hAnsi="Verdana"/>
          <w:sz w:val="20"/>
          <w:szCs w:val="20"/>
        </w:rPr>
        <w:t>notificado al Estado y a los representa</w:t>
      </w:r>
      <w:r>
        <w:rPr>
          <w:rFonts w:ascii="Verdana" w:hAnsi="Verdana"/>
          <w:sz w:val="20"/>
          <w:szCs w:val="20"/>
        </w:rPr>
        <w:t>ntes (</w:t>
      </w:r>
      <w:r>
        <w:rPr>
          <w:rFonts w:ascii="Verdana" w:hAnsi="Verdana"/>
          <w:i/>
          <w:sz w:val="20"/>
          <w:szCs w:val="20"/>
        </w:rPr>
        <w:t>infra</w:t>
      </w:r>
      <w:r w:rsidRPr="00C83A8E">
        <w:rPr>
          <w:rFonts w:ascii="Verdana" w:hAnsi="Verdana"/>
          <w:sz w:val="20"/>
          <w:szCs w:val="20"/>
        </w:rPr>
        <w:t xml:space="preserve"> párr. </w:t>
      </w:r>
      <w:r>
        <w:rPr>
          <w:rFonts w:ascii="Verdana" w:hAnsi="Verdana"/>
          <w:sz w:val="20"/>
          <w:szCs w:val="20"/>
        </w:rPr>
        <w:t>6</w:t>
      </w:r>
      <w:r w:rsidRPr="00C83A8E">
        <w:rPr>
          <w:rFonts w:ascii="Verdana" w:hAnsi="Verdana"/>
          <w:sz w:val="20"/>
          <w:szCs w:val="20"/>
        </w:rPr>
        <w:t>)</w:t>
      </w:r>
      <w:r>
        <w:rPr>
          <w:rFonts w:ascii="Verdana" w:hAnsi="Verdana"/>
          <w:sz w:val="20"/>
          <w:szCs w:val="20"/>
        </w:rPr>
        <w:t xml:space="preserve"> el 7 de febrero de 2018</w:t>
      </w:r>
      <w:r w:rsidRPr="00E7603C">
        <w:rPr>
          <w:rFonts w:ascii="Verdana" w:hAnsi="Verdana"/>
          <w:sz w:val="20"/>
          <w:szCs w:val="20"/>
        </w:rPr>
        <w:t>.</w:t>
      </w:r>
    </w:p>
    <w:p w14:paraId="57CD6498" w14:textId="77777777" w:rsidR="009805F2" w:rsidRPr="00C87725" w:rsidRDefault="009805F2" w:rsidP="009805F2">
      <w:pPr>
        <w:pStyle w:val="Prrafodelista"/>
        <w:tabs>
          <w:tab w:val="left" w:pos="1050"/>
        </w:tabs>
        <w:spacing w:after="0" w:line="240" w:lineRule="auto"/>
        <w:ind w:left="0"/>
        <w:jc w:val="both"/>
        <w:rPr>
          <w:rFonts w:ascii="Verdana" w:eastAsia="Batang" w:hAnsi="Verdana" w:cs="Times"/>
          <w:i/>
          <w:sz w:val="20"/>
          <w:szCs w:val="20"/>
          <w:lang w:val="es-CR" w:eastAsia="es-CR"/>
        </w:rPr>
      </w:pPr>
      <w:r>
        <w:rPr>
          <w:rFonts w:ascii="Verdana" w:eastAsia="Batang" w:hAnsi="Verdana" w:cs="Times"/>
          <w:i/>
          <w:sz w:val="20"/>
          <w:szCs w:val="20"/>
          <w:lang w:val="es-CR" w:eastAsia="es-CR"/>
        </w:rPr>
        <w:tab/>
      </w:r>
    </w:p>
    <w:p w14:paraId="7D99023E" w14:textId="1C7816B6" w:rsidR="009805F2" w:rsidRPr="00C87725" w:rsidRDefault="009805F2" w:rsidP="009805F2">
      <w:pPr>
        <w:pStyle w:val="Prrafodelista"/>
        <w:numPr>
          <w:ilvl w:val="0"/>
          <w:numId w:val="1"/>
        </w:numPr>
        <w:spacing w:after="0" w:line="240" w:lineRule="auto"/>
        <w:ind w:left="0" w:hanging="11"/>
        <w:jc w:val="both"/>
        <w:rPr>
          <w:rFonts w:ascii="Verdana" w:eastAsia="Batang" w:hAnsi="Verdana" w:cs="Times"/>
          <w:i/>
          <w:sz w:val="20"/>
          <w:szCs w:val="20"/>
          <w:lang w:val="es-CR" w:eastAsia="es-CR"/>
        </w:rPr>
      </w:pPr>
      <w:r w:rsidRPr="00C87725">
        <w:rPr>
          <w:rFonts w:ascii="Verdana" w:hAnsi="Verdana"/>
          <w:i/>
          <w:sz w:val="20"/>
          <w:szCs w:val="20"/>
        </w:rPr>
        <w:t xml:space="preserve">Escrito de solicitudes, argumentos y pruebas. </w:t>
      </w:r>
      <w:r w:rsidRPr="00C87725">
        <w:rPr>
          <w:rFonts w:ascii="Verdana" w:hAnsi="Verdana"/>
          <w:sz w:val="20"/>
          <w:szCs w:val="20"/>
        </w:rPr>
        <w:t xml:space="preserve">– El 25 de mayo 2018 el CELS </w:t>
      </w:r>
      <w:r>
        <w:rPr>
          <w:rFonts w:ascii="Verdana" w:hAnsi="Verdana"/>
          <w:sz w:val="20"/>
          <w:szCs w:val="20"/>
        </w:rPr>
        <w:t xml:space="preserve">y Lhaka Honhat (en adelante, en referencia a ambas entidades, “los representantes”) </w:t>
      </w:r>
      <w:r w:rsidRPr="00C87725">
        <w:rPr>
          <w:rFonts w:ascii="Verdana" w:hAnsi="Verdana"/>
          <w:sz w:val="20"/>
          <w:szCs w:val="20"/>
        </w:rPr>
        <w:t>present</w:t>
      </w:r>
      <w:r>
        <w:rPr>
          <w:rFonts w:ascii="Verdana" w:hAnsi="Verdana"/>
          <w:sz w:val="20"/>
          <w:szCs w:val="20"/>
        </w:rPr>
        <w:t>aron</w:t>
      </w:r>
      <w:r w:rsidRPr="00C87725">
        <w:rPr>
          <w:rFonts w:ascii="Verdana" w:hAnsi="Verdana"/>
          <w:sz w:val="20"/>
          <w:szCs w:val="20"/>
        </w:rPr>
        <w:t xml:space="preserve"> su escrito de solicitudes, argumentos y pruebas (en adelante “escrito de solicitudes y argumentos”), conforme a los artículos 25 y 40 del Regl</w:t>
      </w:r>
      <w:r>
        <w:rPr>
          <w:rFonts w:ascii="Verdana" w:hAnsi="Verdana"/>
          <w:sz w:val="20"/>
          <w:szCs w:val="20"/>
        </w:rPr>
        <w:t>amento. Coincidieron</w:t>
      </w:r>
      <w:r w:rsidRPr="00C87725">
        <w:rPr>
          <w:rFonts w:ascii="Verdana" w:hAnsi="Verdana"/>
          <w:sz w:val="20"/>
          <w:szCs w:val="20"/>
        </w:rPr>
        <w:t xml:space="preserve"> </w:t>
      </w:r>
      <w:r>
        <w:rPr>
          <w:rFonts w:ascii="Verdana" w:hAnsi="Verdana"/>
          <w:sz w:val="20"/>
          <w:szCs w:val="20"/>
        </w:rPr>
        <w:t>c</w:t>
      </w:r>
      <w:r w:rsidRPr="00C87725">
        <w:rPr>
          <w:rFonts w:ascii="Verdana" w:hAnsi="Verdana"/>
          <w:sz w:val="20"/>
          <w:szCs w:val="20"/>
        </w:rPr>
        <w:t>on l</w:t>
      </w:r>
      <w:r>
        <w:rPr>
          <w:rFonts w:ascii="Verdana" w:hAnsi="Verdana"/>
          <w:sz w:val="20"/>
          <w:szCs w:val="20"/>
        </w:rPr>
        <w:t>as conclusiones de la Comisión sobre artículos convencionales vulnerados</w:t>
      </w:r>
      <w:r w:rsidRPr="00C87725">
        <w:rPr>
          <w:rFonts w:ascii="Verdana" w:hAnsi="Verdana"/>
          <w:sz w:val="20"/>
          <w:szCs w:val="20"/>
        </w:rPr>
        <w:t xml:space="preserve"> (</w:t>
      </w:r>
      <w:r w:rsidRPr="001E3405">
        <w:rPr>
          <w:rFonts w:ascii="Verdana" w:hAnsi="Verdana"/>
          <w:i/>
          <w:sz w:val="20"/>
          <w:szCs w:val="20"/>
        </w:rPr>
        <w:t>supra</w:t>
      </w:r>
      <w:r w:rsidRPr="00C87725">
        <w:rPr>
          <w:rFonts w:ascii="Verdana" w:hAnsi="Verdana"/>
          <w:sz w:val="20"/>
          <w:szCs w:val="20"/>
        </w:rPr>
        <w:t xml:space="preserve"> </w:t>
      </w:r>
      <w:r>
        <w:rPr>
          <w:rFonts w:ascii="Verdana" w:hAnsi="Verdana"/>
          <w:sz w:val="20"/>
          <w:szCs w:val="20"/>
        </w:rPr>
        <w:t>nota a pie de página</w:t>
      </w:r>
      <w:r w:rsidRPr="00E553D2">
        <w:rPr>
          <w:rFonts w:ascii="Verdana" w:hAnsi="Verdana"/>
          <w:sz w:val="20"/>
          <w:szCs w:val="20"/>
        </w:rPr>
        <w:t xml:space="preserve"> </w:t>
      </w:r>
      <w:r>
        <w:rPr>
          <w:rFonts w:ascii="Verdana" w:hAnsi="Verdana"/>
          <w:sz w:val="20"/>
          <w:szCs w:val="20"/>
        </w:rPr>
        <w:t>2</w:t>
      </w:r>
      <w:r w:rsidRPr="00C87725">
        <w:rPr>
          <w:rFonts w:ascii="Verdana" w:hAnsi="Verdana"/>
          <w:sz w:val="20"/>
          <w:szCs w:val="20"/>
        </w:rPr>
        <w:t>). Además</w:t>
      </w:r>
      <w:r w:rsidR="006E4920">
        <w:rPr>
          <w:rFonts w:ascii="Verdana" w:hAnsi="Verdana"/>
          <w:sz w:val="20"/>
          <w:szCs w:val="20"/>
        </w:rPr>
        <w:t>,</w:t>
      </w:r>
      <w:r w:rsidRPr="00C87725">
        <w:rPr>
          <w:rFonts w:ascii="Verdana" w:hAnsi="Verdana"/>
          <w:sz w:val="20"/>
          <w:szCs w:val="20"/>
        </w:rPr>
        <w:t xml:space="preserve"> alegaron la violación </w:t>
      </w:r>
      <w:r>
        <w:rPr>
          <w:rFonts w:ascii="Verdana" w:hAnsi="Verdana"/>
          <w:sz w:val="20"/>
          <w:szCs w:val="20"/>
        </w:rPr>
        <w:t>al derecho al reconocimiento de la personalidad jurídica, a la libertad de asociación, a la libertad de circulación y de residencia y</w:t>
      </w:r>
      <w:r w:rsidRPr="00C87725">
        <w:rPr>
          <w:rFonts w:ascii="Verdana" w:hAnsi="Verdana"/>
          <w:sz w:val="20"/>
          <w:szCs w:val="20"/>
        </w:rPr>
        <w:t xml:space="preserve"> </w:t>
      </w:r>
      <w:r>
        <w:rPr>
          <w:rFonts w:ascii="Verdana" w:hAnsi="Verdana"/>
          <w:sz w:val="20"/>
          <w:szCs w:val="20"/>
        </w:rPr>
        <w:t>a los derechos a la identidad cultural, a la alimentación adecuada (en adelante también “derecho a la alimentación”) y a un medio ambiente sano (en adelante también “derecho al ambiente</w:t>
      </w:r>
      <w:r w:rsidR="00D10B17">
        <w:rPr>
          <w:rFonts w:ascii="Verdana" w:hAnsi="Verdana"/>
          <w:sz w:val="20"/>
          <w:szCs w:val="20"/>
        </w:rPr>
        <w:t xml:space="preserve"> sano</w:t>
      </w:r>
      <w:r>
        <w:rPr>
          <w:rFonts w:ascii="Verdana" w:hAnsi="Verdana"/>
          <w:sz w:val="20"/>
          <w:szCs w:val="20"/>
        </w:rPr>
        <w:t xml:space="preserve">”), que adujeron </w:t>
      </w:r>
      <w:r w:rsidRPr="00C87725">
        <w:rPr>
          <w:rFonts w:ascii="Verdana" w:hAnsi="Verdana"/>
          <w:sz w:val="20"/>
          <w:szCs w:val="20"/>
        </w:rPr>
        <w:t xml:space="preserve">contenidos en el artículo 26 </w:t>
      </w:r>
      <w:r>
        <w:rPr>
          <w:rFonts w:ascii="Verdana" w:hAnsi="Verdana"/>
          <w:sz w:val="20"/>
          <w:szCs w:val="20"/>
        </w:rPr>
        <w:t>de la Convención</w:t>
      </w:r>
      <w:r w:rsidRPr="00C87725">
        <w:rPr>
          <w:rFonts w:ascii="Verdana" w:hAnsi="Verdana"/>
          <w:sz w:val="20"/>
          <w:szCs w:val="20"/>
        </w:rPr>
        <w:t>.</w:t>
      </w:r>
      <w:r>
        <w:rPr>
          <w:rFonts w:ascii="Verdana" w:hAnsi="Verdana"/>
          <w:sz w:val="20"/>
          <w:szCs w:val="20"/>
        </w:rPr>
        <w:t xml:space="preserve"> Solicitaron que se ordene</w:t>
      </w:r>
      <w:r w:rsidRPr="00C87725">
        <w:rPr>
          <w:rFonts w:ascii="Verdana" w:hAnsi="Verdana"/>
          <w:sz w:val="20"/>
          <w:szCs w:val="20"/>
        </w:rPr>
        <w:t xml:space="preserve"> al Estado diversas medidas de reparación y el reintegro de costas y gastos.</w:t>
      </w:r>
    </w:p>
    <w:p w14:paraId="71F7FB5B" w14:textId="77777777" w:rsidR="009805F2" w:rsidRPr="00C87725" w:rsidRDefault="009805F2" w:rsidP="009805F2">
      <w:pPr>
        <w:pStyle w:val="Prrafodelista"/>
        <w:spacing w:line="240" w:lineRule="auto"/>
        <w:rPr>
          <w:rFonts w:ascii="Verdana" w:hAnsi="Verdana"/>
          <w:i/>
          <w:sz w:val="20"/>
          <w:szCs w:val="20"/>
        </w:rPr>
      </w:pPr>
    </w:p>
    <w:p w14:paraId="5172D58F" w14:textId="0B34BE75" w:rsidR="009805F2" w:rsidRPr="00C87725" w:rsidRDefault="009805F2" w:rsidP="009805F2">
      <w:pPr>
        <w:pStyle w:val="Prrafodelista"/>
        <w:numPr>
          <w:ilvl w:val="0"/>
          <w:numId w:val="1"/>
        </w:numPr>
        <w:spacing w:after="0" w:line="240" w:lineRule="auto"/>
        <w:ind w:left="0" w:right="6" w:hanging="11"/>
        <w:jc w:val="both"/>
        <w:rPr>
          <w:rFonts w:ascii="Verdana" w:eastAsia="Batang" w:hAnsi="Verdana" w:cs="Times"/>
          <w:i/>
          <w:sz w:val="20"/>
          <w:szCs w:val="20"/>
          <w:lang w:val="es-CR" w:eastAsia="es-CR"/>
        </w:rPr>
      </w:pPr>
      <w:r w:rsidRPr="00C87725">
        <w:rPr>
          <w:rFonts w:ascii="Verdana" w:hAnsi="Verdana"/>
          <w:i/>
          <w:sz w:val="20"/>
          <w:szCs w:val="20"/>
        </w:rPr>
        <w:t>Escrito de contestación.</w:t>
      </w:r>
      <w:r w:rsidRPr="00C87725">
        <w:rPr>
          <w:rFonts w:ascii="Verdana" w:hAnsi="Verdana"/>
          <w:sz w:val="20"/>
          <w:szCs w:val="20"/>
        </w:rPr>
        <w:t xml:space="preserve"> – El 4 de septiembre de 2018 el Estado presentó su escrito de </w:t>
      </w:r>
      <w:r>
        <w:rPr>
          <w:rFonts w:ascii="Verdana" w:hAnsi="Verdana"/>
          <w:sz w:val="20"/>
          <w:szCs w:val="20"/>
        </w:rPr>
        <w:t xml:space="preserve">excepción preliminar, </w:t>
      </w:r>
      <w:r w:rsidRPr="00C87725">
        <w:rPr>
          <w:rFonts w:ascii="Verdana" w:hAnsi="Verdana"/>
          <w:sz w:val="20"/>
          <w:szCs w:val="20"/>
        </w:rPr>
        <w:t xml:space="preserve">contestación al sometimiento del caso y de observaciones al escrito de solicitudes, argumentos y pruebas (en adelante “contestación”). </w:t>
      </w:r>
      <w:r>
        <w:rPr>
          <w:rFonts w:ascii="Verdana" w:hAnsi="Verdana"/>
          <w:sz w:val="20"/>
          <w:szCs w:val="20"/>
        </w:rPr>
        <w:t>Opuso un argumento que denominó “excepción preliminar”</w:t>
      </w:r>
      <w:r w:rsidR="00BA5AF7">
        <w:rPr>
          <w:rFonts w:ascii="Verdana" w:hAnsi="Verdana"/>
          <w:sz w:val="20"/>
          <w:szCs w:val="20"/>
        </w:rPr>
        <w:t xml:space="preserve"> (</w:t>
      </w:r>
      <w:r w:rsidR="00BA5AF7">
        <w:rPr>
          <w:rFonts w:ascii="Verdana" w:hAnsi="Verdana"/>
          <w:i/>
          <w:sz w:val="20"/>
          <w:szCs w:val="20"/>
        </w:rPr>
        <w:t>infra</w:t>
      </w:r>
      <w:r w:rsidR="00BA5AF7">
        <w:rPr>
          <w:rFonts w:ascii="Verdana" w:hAnsi="Verdana"/>
          <w:sz w:val="20"/>
          <w:szCs w:val="20"/>
        </w:rPr>
        <w:t xml:space="preserve"> párr. 15)</w:t>
      </w:r>
      <w:r>
        <w:rPr>
          <w:rFonts w:ascii="Verdana" w:hAnsi="Verdana"/>
          <w:sz w:val="20"/>
          <w:szCs w:val="20"/>
        </w:rPr>
        <w:t>, negó</w:t>
      </w:r>
      <w:r w:rsidRPr="00C87725">
        <w:rPr>
          <w:rFonts w:ascii="Verdana" w:hAnsi="Verdana"/>
          <w:sz w:val="20"/>
          <w:szCs w:val="20"/>
        </w:rPr>
        <w:t xml:space="preserve"> las violaciones alegadas y respondió a las solicitudes de reparación.</w:t>
      </w:r>
    </w:p>
    <w:p w14:paraId="3D77A066" w14:textId="77777777" w:rsidR="009805F2" w:rsidRPr="00C87725" w:rsidRDefault="009805F2" w:rsidP="009805F2">
      <w:pPr>
        <w:pStyle w:val="Prrafodelista"/>
        <w:spacing w:line="240" w:lineRule="auto"/>
        <w:rPr>
          <w:rFonts w:ascii="Verdana" w:hAnsi="Verdana"/>
          <w:i/>
          <w:sz w:val="20"/>
          <w:szCs w:val="20"/>
        </w:rPr>
      </w:pPr>
    </w:p>
    <w:p w14:paraId="31512D8A" w14:textId="73A16931" w:rsidR="009805F2" w:rsidRPr="00126160" w:rsidRDefault="009805F2" w:rsidP="009805F2">
      <w:pPr>
        <w:pStyle w:val="Prrafodelista"/>
        <w:numPr>
          <w:ilvl w:val="0"/>
          <w:numId w:val="1"/>
        </w:numPr>
        <w:spacing w:after="0" w:line="240" w:lineRule="auto"/>
        <w:ind w:left="0" w:right="6" w:hanging="11"/>
        <w:jc w:val="both"/>
        <w:rPr>
          <w:rFonts w:ascii="Verdana" w:eastAsia="Batang" w:hAnsi="Verdana" w:cs="Times"/>
          <w:i/>
          <w:sz w:val="20"/>
          <w:szCs w:val="20"/>
          <w:lang w:val="es-CR" w:eastAsia="es-CR"/>
        </w:rPr>
      </w:pPr>
      <w:r w:rsidRPr="00C87725">
        <w:rPr>
          <w:rFonts w:ascii="Verdana" w:hAnsi="Verdana"/>
          <w:i/>
          <w:sz w:val="20"/>
          <w:szCs w:val="20"/>
        </w:rPr>
        <w:t>Audiencia Pública.</w:t>
      </w:r>
      <w:r w:rsidRPr="00C87725">
        <w:rPr>
          <w:rFonts w:ascii="Verdana" w:hAnsi="Verdana"/>
          <w:sz w:val="20"/>
          <w:szCs w:val="20"/>
        </w:rPr>
        <w:t xml:space="preserve"> – El 8 de febrero de 201</w:t>
      </w:r>
      <w:r>
        <w:rPr>
          <w:rFonts w:ascii="Verdana" w:hAnsi="Verdana"/>
          <w:sz w:val="20"/>
          <w:szCs w:val="20"/>
        </w:rPr>
        <w:t>9</w:t>
      </w:r>
      <w:r w:rsidRPr="00C87725">
        <w:rPr>
          <w:rFonts w:ascii="Verdana" w:hAnsi="Verdana"/>
          <w:sz w:val="20"/>
          <w:szCs w:val="20"/>
        </w:rPr>
        <w:t xml:space="preserve"> el </w:t>
      </w:r>
      <w:r>
        <w:rPr>
          <w:rFonts w:ascii="Verdana" w:hAnsi="Verdana"/>
          <w:sz w:val="20"/>
          <w:szCs w:val="20"/>
        </w:rPr>
        <w:t xml:space="preserve">entonces </w:t>
      </w:r>
      <w:r w:rsidRPr="00C87725">
        <w:rPr>
          <w:rFonts w:ascii="Verdana" w:hAnsi="Verdana"/>
          <w:sz w:val="20"/>
          <w:szCs w:val="20"/>
        </w:rPr>
        <w:t>Presidente de la Corte</w:t>
      </w:r>
      <w:r>
        <w:rPr>
          <w:rStyle w:val="Refdenotaalpie"/>
          <w:rFonts w:ascii="Verdana" w:hAnsi="Verdana"/>
          <w:sz w:val="20"/>
        </w:rPr>
        <w:footnoteReference w:id="5"/>
      </w:r>
      <w:r w:rsidRPr="00C87725">
        <w:rPr>
          <w:rFonts w:ascii="Verdana" w:hAnsi="Verdana"/>
          <w:sz w:val="20"/>
          <w:szCs w:val="20"/>
        </w:rPr>
        <w:t xml:space="preserve"> (en adelante, “el Presidente”) emitió una Resolución mediante la </w:t>
      </w:r>
      <w:r>
        <w:rPr>
          <w:rFonts w:ascii="Verdana" w:hAnsi="Verdana"/>
          <w:sz w:val="20"/>
          <w:szCs w:val="20"/>
        </w:rPr>
        <w:t>que</w:t>
      </w:r>
      <w:r w:rsidRPr="00C87725">
        <w:rPr>
          <w:rFonts w:ascii="Verdana" w:hAnsi="Verdana"/>
          <w:sz w:val="20"/>
          <w:szCs w:val="20"/>
        </w:rPr>
        <w:t xml:space="preserve"> convocó al Estado, a los representantes y a la Comisión </w:t>
      </w:r>
      <w:r>
        <w:rPr>
          <w:rFonts w:ascii="Verdana" w:hAnsi="Verdana"/>
          <w:sz w:val="20"/>
          <w:szCs w:val="20"/>
        </w:rPr>
        <w:t xml:space="preserve">Interamericana </w:t>
      </w:r>
      <w:r w:rsidRPr="00C87725">
        <w:rPr>
          <w:rFonts w:ascii="Verdana" w:hAnsi="Verdana"/>
          <w:sz w:val="20"/>
          <w:szCs w:val="20"/>
        </w:rPr>
        <w:t>a una audiencia pública respecto</w:t>
      </w:r>
      <w:r>
        <w:rPr>
          <w:rFonts w:ascii="Verdana" w:hAnsi="Verdana"/>
          <w:sz w:val="20"/>
          <w:szCs w:val="20"/>
        </w:rPr>
        <w:t xml:space="preserve"> a la aducida “excepción preliminar” y</w:t>
      </w:r>
      <w:r w:rsidRPr="00C87725">
        <w:rPr>
          <w:rFonts w:ascii="Verdana" w:hAnsi="Verdana"/>
          <w:sz w:val="20"/>
          <w:szCs w:val="20"/>
        </w:rPr>
        <w:t xml:space="preserve"> </w:t>
      </w:r>
      <w:r>
        <w:rPr>
          <w:rFonts w:ascii="Verdana" w:hAnsi="Verdana"/>
          <w:sz w:val="20"/>
          <w:szCs w:val="20"/>
        </w:rPr>
        <w:t>los eventuales</w:t>
      </w:r>
      <w:r w:rsidRPr="00C87725">
        <w:rPr>
          <w:rFonts w:ascii="Verdana" w:hAnsi="Verdana"/>
          <w:sz w:val="20"/>
          <w:szCs w:val="20"/>
        </w:rPr>
        <w:t xml:space="preserve"> fondo, reparaciones y costas, para escuchar los alegatos</w:t>
      </w:r>
      <w:r>
        <w:rPr>
          <w:rFonts w:ascii="Verdana" w:hAnsi="Verdana"/>
          <w:sz w:val="20"/>
          <w:szCs w:val="20"/>
        </w:rPr>
        <w:t xml:space="preserve"> y observaciones</w:t>
      </w:r>
      <w:r w:rsidRPr="00C87725">
        <w:rPr>
          <w:rFonts w:ascii="Verdana" w:hAnsi="Verdana"/>
          <w:sz w:val="20"/>
          <w:szCs w:val="20"/>
        </w:rPr>
        <w:t xml:space="preserve"> finales orales de las partes y de la Comisión</w:t>
      </w:r>
      <w:r>
        <w:rPr>
          <w:rFonts w:ascii="Verdana" w:hAnsi="Verdana"/>
          <w:sz w:val="20"/>
          <w:szCs w:val="20"/>
        </w:rPr>
        <w:t>, respectivamente</w:t>
      </w:r>
      <w:r w:rsidRPr="00C87725">
        <w:rPr>
          <w:rFonts w:ascii="Verdana" w:hAnsi="Verdana"/>
          <w:sz w:val="20"/>
          <w:szCs w:val="20"/>
        </w:rPr>
        <w:t xml:space="preserve">. </w:t>
      </w:r>
      <w:r w:rsidRPr="008C1976">
        <w:rPr>
          <w:rFonts w:ascii="Verdana" w:hAnsi="Verdana"/>
          <w:sz w:val="20"/>
          <w:szCs w:val="20"/>
        </w:rPr>
        <w:t>Además</w:t>
      </w:r>
      <w:r w:rsidR="006E4920">
        <w:rPr>
          <w:rFonts w:ascii="Verdana" w:hAnsi="Verdana"/>
          <w:sz w:val="20"/>
          <w:szCs w:val="20"/>
        </w:rPr>
        <w:t>,</w:t>
      </w:r>
      <w:r w:rsidRPr="008C1976">
        <w:rPr>
          <w:rFonts w:ascii="Verdana" w:hAnsi="Verdana"/>
          <w:sz w:val="20"/>
          <w:szCs w:val="20"/>
        </w:rPr>
        <w:t xml:space="preserve"> convocó a declarar en esa audiencia a dos </w:t>
      </w:r>
      <w:r w:rsidRPr="001E3405">
        <w:rPr>
          <w:rFonts w:ascii="Verdana" w:hAnsi="Verdana"/>
          <w:sz w:val="20"/>
          <w:szCs w:val="20"/>
        </w:rPr>
        <w:t>personas integrantes de comunidades indígenas</w:t>
      </w:r>
      <w:r>
        <w:rPr>
          <w:rFonts w:ascii="Verdana" w:hAnsi="Verdana"/>
          <w:sz w:val="20"/>
          <w:szCs w:val="20"/>
        </w:rPr>
        <w:t>,</w:t>
      </w:r>
      <w:r w:rsidRPr="008C1976">
        <w:rPr>
          <w:rFonts w:ascii="Verdana" w:hAnsi="Verdana"/>
          <w:sz w:val="20"/>
          <w:szCs w:val="20"/>
        </w:rPr>
        <w:t xml:space="preserve"> propuestas por los representantes</w:t>
      </w:r>
      <w:r>
        <w:rPr>
          <w:rFonts w:ascii="Verdana" w:hAnsi="Verdana"/>
          <w:sz w:val="20"/>
          <w:szCs w:val="20"/>
        </w:rPr>
        <w:t>, y a dos</w:t>
      </w:r>
      <w:r w:rsidRPr="001E3405">
        <w:rPr>
          <w:rFonts w:ascii="Verdana" w:hAnsi="Verdana"/>
          <w:sz w:val="20"/>
          <w:szCs w:val="20"/>
        </w:rPr>
        <w:t xml:space="preserve"> perita</w:t>
      </w:r>
      <w:r>
        <w:rPr>
          <w:rFonts w:ascii="Verdana" w:hAnsi="Verdana"/>
          <w:sz w:val="20"/>
          <w:szCs w:val="20"/>
        </w:rPr>
        <w:t>s, una</w:t>
      </w:r>
      <w:r w:rsidRPr="001E3405">
        <w:rPr>
          <w:rFonts w:ascii="Verdana" w:hAnsi="Verdana"/>
          <w:sz w:val="20"/>
          <w:szCs w:val="20"/>
        </w:rPr>
        <w:t xml:space="preserve"> propuesta por el Estado y otra por la Comisión</w:t>
      </w:r>
      <w:r w:rsidRPr="008C1976">
        <w:rPr>
          <w:rFonts w:ascii="Verdana" w:hAnsi="Verdana"/>
          <w:sz w:val="20"/>
          <w:szCs w:val="20"/>
        </w:rPr>
        <w:t>. Asimismo, ordenó recibir</w:t>
      </w:r>
      <w:r>
        <w:rPr>
          <w:rFonts w:ascii="Verdana" w:hAnsi="Verdana"/>
          <w:sz w:val="20"/>
          <w:szCs w:val="20"/>
        </w:rPr>
        <w:t xml:space="preserve"> </w:t>
      </w:r>
      <w:r w:rsidRPr="008C1976">
        <w:rPr>
          <w:rFonts w:ascii="Verdana" w:hAnsi="Verdana"/>
          <w:sz w:val="20"/>
          <w:szCs w:val="20"/>
        </w:rPr>
        <w:t>declaraciones ante fedatario público (a</w:t>
      </w:r>
      <w:r w:rsidR="004A6AF0">
        <w:rPr>
          <w:rFonts w:ascii="Verdana" w:hAnsi="Verdana"/>
          <w:sz w:val="20"/>
          <w:szCs w:val="20"/>
        </w:rPr>
        <w:t>f</w:t>
      </w:r>
      <w:r w:rsidRPr="008C1976">
        <w:rPr>
          <w:rFonts w:ascii="Verdana" w:hAnsi="Verdana"/>
          <w:sz w:val="20"/>
          <w:szCs w:val="20"/>
        </w:rPr>
        <w:t xml:space="preserve">fidávits) de </w:t>
      </w:r>
      <w:r>
        <w:rPr>
          <w:rFonts w:ascii="Verdana" w:hAnsi="Verdana"/>
          <w:sz w:val="20"/>
          <w:szCs w:val="20"/>
        </w:rPr>
        <w:t xml:space="preserve">ocho declarantes propuestos por el Estado: </w:t>
      </w:r>
      <w:r w:rsidRPr="001E3405">
        <w:rPr>
          <w:rFonts w:ascii="Verdana" w:hAnsi="Verdana"/>
          <w:sz w:val="20"/>
          <w:szCs w:val="20"/>
        </w:rPr>
        <w:t xml:space="preserve">cinco personas integrantes de comunidades indígenas presuntas víctimas </w:t>
      </w:r>
      <w:r>
        <w:rPr>
          <w:rFonts w:ascii="Verdana" w:hAnsi="Verdana"/>
          <w:sz w:val="20"/>
          <w:szCs w:val="20"/>
        </w:rPr>
        <w:t>y tres</w:t>
      </w:r>
      <w:r w:rsidRPr="008C1976">
        <w:rPr>
          <w:rFonts w:ascii="Verdana" w:hAnsi="Verdana"/>
          <w:sz w:val="20"/>
          <w:szCs w:val="20"/>
        </w:rPr>
        <w:t xml:space="preserve"> testigos</w:t>
      </w:r>
      <w:r>
        <w:rPr>
          <w:rFonts w:ascii="Verdana" w:hAnsi="Verdana"/>
          <w:sz w:val="20"/>
          <w:szCs w:val="20"/>
        </w:rPr>
        <w:t>,</w:t>
      </w:r>
      <w:r w:rsidRPr="008C1976">
        <w:rPr>
          <w:rFonts w:ascii="Verdana" w:hAnsi="Verdana"/>
          <w:sz w:val="20"/>
          <w:szCs w:val="20"/>
        </w:rPr>
        <w:t xml:space="preserve"> así como</w:t>
      </w:r>
      <w:r w:rsidRPr="001E3405">
        <w:rPr>
          <w:rFonts w:ascii="Verdana" w:hAnsi="Verdana"/>
          <w:sz w:val="20"/>
          <w:szCs w:val="20"/>
        </w:rPr>
        <w:t xml:space="preserve"> </w:t>
      </w:r>
      <w:r>
        <w:rPr>
          <w:rFonts w:ascii="Verdana" w:hAnsi="Verdana"/>
          <w:sz w:val="20"/>
          <w:szCs w:val="20"/>
        </w:rPr>
        <w:t>también de</w:t>
      </w:r>
      <w:r w:rsidRPr="001E3405">
        <w:rPr>
          <w:rFonts w:ascii="Verdana" w:hAnsi="Verdana"/>
          <w:sz w:val="20"/>
          <w:szCs w:val="20"/>
        </w:rPr>
        <w:t xml:space="preserve"> </w:t>
      </w:r>
      <w:r>
        <w:rPr>
          <w:rFonts w:ascii="Verdana" w:hAnsi="Verdana"/>
          <w:sz w:val="20"/>
          <w:szCs w:val="20"/>
        </w:rPr>
        <w:t xml:space="preserve">una perita y un perito, propuestos por </w:t>
      </w:r>
      <w:r w:rsidRPr="001E3405">
        <w:rPr>
          <w:rFonts w:ascii="Verdana" w:hAnsi="Verdana"/>
          <w:sz w:val="20"/>
          <w:szCs w:val="20"/>
        </w:rPr>
        <w:t>los representantes</w:t>
      </w:r>
      <w:r w:rsidRPr="008C1976">
        <w:rPr>
          <w:rFonts w:ascii="Verdana" w:hAnsi="Verdana"/>
          <w:sz w:val="20"/>
          <w:szCs w:val="20"/>
        </w:rPr>
        <w:t>.</w:t>
      </w:r>
      <w:r w:rsidRPr="00C87725">
        <w:rPr>
          <w:rFonts w:ascii="Verdana" w:hAnsi="Verdana"/>
          <w:sz w:val="20"/>
          <w:szCs w:val="20"/>
        </w:rPr>
        <w:t xml:space="preserve"> La audiencia se celebró el 14 de marzo de 2019</w:t>
      </w:r>
      <w:r>
        <w:rPr>
          <w:rFonts w:ascii="Verdana" w:hAnsi="Verdana"/>
          <w:sz w:val="20"/>
          <w:szCs w:val="20"/>
        </w:rPr>
        <w:t xml:space="preserve"> en la sede de la Corte,</w:t>
      </w:r>
      <w:r w:rsidRPr="00C87725">
        <w:rPr>
          <w:rFonts w:ascii="Verdana" w:hAnsi="Verdana"/>
          <w:sz w:val="20"/>
          <w:szCs w:val="20"/>
        </w:rPr>
        <w:t xml:space="preserve"> durante </w:t>
      </w:r>
      <w:r>
        <w:rPr>
          <w:rFonts w:ascii="Verdana" w:hAnsi="Verdana"/>
          <w:sz w:val="20"/>
          <w:szCs w:val="20"/>
        </w:rPr>
        <w:t>su</w:t>
      </w:r>
      <w:r w:rsidRPr="00C87725">
        <w:rPr>
          <w:rFonts w:ascii="Verdana" w:hAnsi="Verdana"/>
          <w:sz w:val="20"/>
          <w:szCs w:val="20"/>
        </w:rPr>
        <w:t xml:space="preserve"> 130</w:t>
      </w:r>
      <w:r>
        <w:rPr>
          <w:rFonts w:ascii="Verdana" w:hAnsi="Verdana"/>
          <w:sz w:val="20"/>
          <w:szCs w:val="20"/>
        </w:rPr>
        <w:t>º</w:t>
      </w:r>
      <w:r w:rsidRPr="00C87725">
        <w:rPr>
          <w:rFonts w:ascii="Verdana" w:hAnsi="Verdana"/>
          <w:sz w:val="20"/>
          <w:szCs w:val="20"/>
        </w:rPr>
        <w:t xml:space="preserve"> Período Ordinario de Sesiones</w:t>
      </w:r>
      <w:r>
        <w:rPr>
          <w:rStyle w:val="Refdenotaalpie"/>
          <w:rFonts w:ascii="Verdana" w:hAnsi="Verdana"/>
          <w:sz w:val="20"/>
        </w:rPr>
        <w:footnoteReference w:id="6"/>
      </w:r>
      <w:r w:rsidRPr="00C87725">
        <w:rPr>
          <w:rFonts w:ascii="Verdana" w:hAnsi="Verdana"/>
          <w:sz w:val="20"/>
          <w:szCs w:val="20"/>
        </w:rPr>
        <w:t>.</w:t>
      </w:r>
      <w:r>
        <w:rPr>
          <w:rFonts w:ascii="Verdana" w:hAnsi="Verdana"/>
          <w:sz w:val="20"/>
          <w:szCs w:val="20"/>
        </w:rPr>
        <w:t xml:space="preserve"> </w:t>
      </w:r>
      <w:r w:rsidRPr="00C87725">
        <w:rPr>
          <w:rFonts w:ascii="Verdana" w:hAnsi="Verdana"/>
          <w:sz w:val="20"/>
          <w:szCs w:val="20"/>
        </w:rPr>
        <w:t>En el curso de</w:t>
      </w:r>
      <w:r>
        <w:rPr>
          <w:rFonts w:ascii="Verdana" w:hAnsi="Verdana"/>
          <w:sz w:val="20"/>
          <w:szCs w:val="20"/>
        </w:rPr>
        <w:t xml:space="preserve"> la misma</w:t>
      </w:r>
      <w:r w:rsidRPr="00C87725">
        <w:rPr>
          <w:rFonts w:ascii="Verdana" w:hAnsi="Verdana"/>
          <w:sz w:val="20"/>
          <w:szCs w:val="20"/>
        </w:rPr>
        <w:t xml:space="preserve">, </w:t>
      </w:r>
      <w:r>
        <w:rPr>
          <w:rFonts w:ascii="Verdana" w:hAnsi="Verdana"/>
          <w:sz w:val="20"/>
          <w:szCs w:val="20"/>
        </w:rPr>
        <w:t>integrantes de este Tribunal</w:t>
      </w:r>
      <w:r w:rsidRPr="00C87725">
        <w:rPr>
          <w:rFonts w:ascii="Verdana" w:hAnsi="Verdana"/>
          <w:sz w:val="20"/>
          <w:szCs w:val="20"/>
        </w:rPr>
        <w:t xml:space="preserve"> </w:t>
      </w:r>
      <w:r w:rsidRPr="00C87725">
        <w:rPr>
          <w:rFonts w:ascii="Verdana" w:hAnsi="Verdana"/>
          <w:sz w:val="20"/>
          <w:szCs w:val="20"/>
        </w:rPr>
        <w:lastRenderedPageBreak/>
        <w:t xml:space="preserve">solicitaron cierta información y explicaciones a las partes y a la Comisión. </w:t>
      </w:r>
      <w:r w:rsidRPr="00126160">
        <w:rPr>
          <w:rFonts w:ascii="Verdana" w:hAnsi="Verdana"/>
          <w:sz w:val="20"/>
          <w:szCs w:val="20"/>
        </w:rPr>
        <w:t>Además</w:t>
      </w:r>
      <w:r>
        <w:rPr>
          <w:rFonts w:ascii="Verdana" w:hAnsi="Verdana"/>
          <w:sz w:val="20"/>
          <w:szCs w:val="20"/>
        </w:rPr>
        <w:t>,</w:t>
      </w:r>
      <w:r w:rsidRPr="00126160">
        <w:rPr>
          <w:rFonts w:ascii="Verdana" w:hAnsi="Verdana"/>
          <w:sz w:val="20"/>
          <w:szCs w:val="20"/>
        </w:rPr>
        <w:t xml:space="preserve"> la Corte </w:t>
      </w:r>
      <w:r>
        <w:rPr>
          <w:rFonts w:ascii="Verdana" w:hAnsi="Verdana"/>
          <w:sz w:val="20"/>
          <w:szCs w:val="20"/>
        </w:rPr>
        <w:t xml:space="preserve">comunicó que </w:t>
      </w:r>
      <w:r w:rsidRPr="00126160">
        <w:rPr>
          <w:rFonts w:ascii="Verdana" w:hAnsi="Verdana"/>
          <w:sz w:val="20"/>
          <w:szCs w:val="20"/>
        </w:rPr>
        <w:t>había aceptado la petición de los representantes, formulada en el escrito de solicitudes</w:t>
      </w:r>
      <w:r w:rsidR="00BA5AF7">
        <w:rPr>
          <w:rFonts w:ascii="Verdana" w:hAnsi="Verdana"/>
          <w:sz w:val="20"/>
          <w:szCs w:val="20"/>
        </w:rPr>
        <w:t xml:space="preserve"> y argumentos, de que se realizara</w:t>
      </w:r>
      <w:r w:rsidRPr="00126160">
        <w:rPr>
          <w:rFonts w:ascii="Verdana" w:hAnsi="Verdana"/>
          <w:sz w:val="20"/>
          <w:szCs w:val="20"/>
        </w:rPr>
        <w:t xml:space="preserve"> una </w:t>
      </w:r>
      <w:r>
        <w:rPr>
          <w:rFonts w:ascii="Verdana" w:hAnsi="Verdana"/>
          <w:sz w:val="20"/>
          <w:szCs w:val="20"/>
        </w:rPr>
        <w:t xml:space="preserve">diligencia </w:t>
      </w:r>
      <w:r>
        <w:rPr>
          <w:rFonts w:ascii="Verdana" w:hAnsi="Verdana"/>
          <w:i/>
          <w:sz w:val="20"/>
          <w:szCs w:val="20"/>
        </w:rPr>
        <w:t>in situ</w:t>
      </w:r>
      <w:r>
        <w:rPr>
          <w:rFonts w:ascii="Verdana" w:hAnsi="Verdana"/>
          <w:sz w:val="20"/>
          <w:szCs w:val="20"/>
        </w:rPr>
        <w:t xml:space="preserve"> (</w:t>
      </w:r>
      <w:r w:rsidRPr="001E3405">
        <w:rPr>
          <w:rFonts w:ascii="Verdana" w:hAnsi="Verdana"/>
          <w:i/>
          <w:sz w:val="20"/>
          <w:szCs w:val="20"/>
        </w:rPr>
        <w:t>infra</w:t>
      </w:r>
      <w:r>
        <w:rPr>
          <w:rFonts w:ascii="Verdana" w:hAnsi="Verdana"/>
          <w:sz w:val="20"/>
          <w:szCs w:val="20"/>
        </w:rPr>
        <w:t xml:space="preserve"> párr. 10).</w:t>
      </w:r>
    </w:p>
    <w:p w14:paraId="124CE1B9" w14:textId="77777777" w:rsidR="009805F2" w:rsidRPr="00126160" w:rsidRDefault="009805F2" w:rsidP="009805F2">
      <w:pPr>
        <w:pStyle w:val="Prrafodelista"/>
        <w:spacing w:after="0" w:line="240" w:lineRule="auto"/>
        <w:ind w:left="0" w:right="6"/>
        <w:jc w:val="both"/>
        <w:rPr>
          <w:rFonts w:ascii="Verdana" w:eastAsia="Batang" w:hAnsi="Verdana" w:cs="Times"/>
          <w:i/>
          <w:sz w:val="20"/>
          <w:szCs w:val="20"/>
          <w:lang w:val="es-CR" w:eastAsia="es-CR"/>
        </w:rPr>
      </w:pPr>
    </w:p>
    <w:p w14:paraId="2A7C40D6" w14:textId="1D48AB6C" w:rsidR="009805F2" w:rsidRPr="00320E1C" w:rsidRDefault="009805F2" w:rsidP="009805F2">
      <w:pPr>
        <w:pStyle w:val="Prrafodelista"/>
        <w:numPr>
          <w:ilvl w:val="0"/>
          <w:numId w:val="1"/>
        </w:numPr>
        <w:spacing w:after="0" w:line="240" w:lineRule="auto"/>
        <w:ind w:left="0" w:right="6" w:firstLine="0"/>
        <w:jc w:val="both"/>
        <w:rPr>
          <w:rFonts w:ascii="Verdana" w:eastAsia="Batang" w:hAnsi="Verdana" w:cs="Times"/>
          <w:i/>
          <w:sz w:val="20"/>
          <w:szCs w:val="20"/>
          <w:lang w:val="es-CR" w:eastAsia="es-CR"/>
        </w:rPr>
      </w:pPr>
      <w:r>
        <w:rPr>
          <w:rFonts w:ascii="Verdana" w:eastAsia="Batang" w:hAnsi="Verdana" w:cs="Times"/>
          <w:i/>
          <w:sz w:val="20"/>
          <w:szCs w:val="20"/>
          <w:lang w:val="es-CR" w:eastAsia="es-CR"/>
        </w:rPr>
        <w:t xml:space="preserve">Amicus curiae.- </w:t>
      </w:r>
      <w:r w:rsidRPr="00126160">
        <w:rPr>
          <w:rFonts w:ascii="Verdana" w:eastAsia="Batang" w:hAnsi="Verdana" w:cs="Times"/>
          <w:sz w:val="20"/>
          <w:szCs w:val="20"/>
          <w:lang w:val="es-CR" w:eastAsia="es-CR"/>
        </w:rPr>
        <w:t>El Tribunal recibió</w:t>
      </w:r>
      <w:r>
        <w:rPr>
          <w:rFonts w:ascii="Verdana" w:eastAsia="Batang" w:hAnsi="Verdana" w:cs="Times"/>
          <w:sz w:val="20"/>
          <w:szCs w:val="20"/>
          <w:lang w:val="es-CR" w:eastAsia="es-CR"/>
        </w:rPr>
        <w:t xml:space="preserve"> escritos de </w:t>
      </w:r>
      <w:r w:rsidRPr="001E3405">
        <w:rPr>
          <w:rFonts w:ascii="Verdana" w:eastAsia="Batang" w:hAnsi="Verdana" w:cs="Times"/>
          <w:i/>
          <w:sz w:val="20"/>
          <w:szCs w:val="20"/>
          <w:lang w:val="es-CR" w:eastAsia="es-CR"/>
        </w:rPr>
        <w:t>amicus curiae</w:t>
      </w:r>
      <w:r>
        <w:rPr>
          <w:rFonts w:ascii="Verdana" w:eastAsia="Batang" w:hAnsi="Verdana" w:cs="Times"/>
          <w:sz w:val="20"/>
          <w:szCs w:val="20"/>
          <w:lang w:val="es-CR" w:eastAsia="es-CR"/>
        </w:rPr>
        <w:t xml:space="preserve"> por parte de: i) Asociación de </w:t>
      </w:r>
      <w:r w:rsidRPr="00F8102C">
        <w:rPr>
          <w:rFonts w:ascii="Verdana" w:hAnsi="Verdana"/>
          <w:sz w:val="20"/>
          <w:szCs w:val="20"/>
        </w:rPr>
        <w:t>Abogados y Abogadas d</w:t>
      </w:r>
      <w:r w:rsidRPr="00387811">
        <w:rPr>
          <w:rFonts w:ascii="Verdana" w:hAnsi="Verdana"/>
          <w:sz w:val="20"/>
          <w:szCs w:val="20"/>
        </w:rPr>
        <w:t>e Derecho Indígena</w:t>
      </w:r>
      <w:r>
        <w:rPr>
          <w:rFonts w:ascii="Verdana" w:hAnsi="Verdana"/>
          <w:sz w:val="20"/>
          <w:szCs w:val="20"/>
        </w:rPr>
        <w:t xml:space="preserve"> (AADI)</w:t>
      </w:r>
      <w:r w:rsidRPr="00F8102C">
        <w:rPr>
          <w:rFonts w:ascii="Verdana" w:hAnsi="Verdana"/>
          <w:sz w:val="20"/>
          <w:szCs w:val="20"/>
        </w:rPr>
        <w:t xml:space="preserve"> </w:t>
      </w:r>
      <w:r>
        <w:rPr>
          <w:rFonts w:ascii="Verdana" w:hAnsi="Verdana"/>
          <w:sz w:val="20"/>
          <w:szCs w:val="20"/>
        </w:rPr>
        <w:t xml:space="preserve">y el </w:t>
      </w:r>
      <w:r w:rsidRPr="00F8102C">
        <w:rPr>
          <w:rFonts w:ascii="Verdana" w:hAnsi="Verdana"/>
          <w:sz w:val="20"/>
          <w:szCs w:val="20"/>
        </w:rPr>
        <w:t>Servicio Paz y Justicia</w:t>
      </w:r>
      <w:r>
        <w:rPr>
          <w:rFonts w:ascii="Verdana" w:hAnsi="Verdana"/>
          <w:sz w:val="20"/>
          <w:szCs w:val="20"/>
        </w:rPr>
        <w:t xml:space="preserve"> (SERPAJ)</w:t>
      </w:r>
      <w:r>
        <w:rPr>
          <w:rStyle w:val="Refdenotaalpie"/>
          <w:rFonts w:ascii="Verdana" w:hAnsi="Verdana"/>
          <w:sz w:val="20"/>
        </w:rPr>
        <w:footnoteReference w:id="7"/>
      </w:r>
      <w:r>
        <w:rPr>
          <w:rFonts w:ascii="Verdana" w:hAnsi="Verdana"/>
          <w:sz w:val="20"/>
          <w:szCs w:val="20"/>
        </w:rPr>
        <w:t xml:space="preserve">, </w:t>
      </w:r>
      <w:r>
        <w:rPr>
          <w:rFonts w:ascii="Verdana" w:eastAsia="Batang" w:hAnsi="Verdana" w:cs="Times"/>
          <w:sz w:val="20"/>
          <w:szCs w:val="20"/>
          <w:lang w:val="es-CR" w:eastAsia="es-CR"/>
        </w:rPr>
        <w:t>i</w:t>
      </w:r>
      <w:r w:rsidRPr="00320E1C">
        <w:rPr>
          <w:rFonts w:ascii="Verdana" w:eastAsia="Batang" w:hAnsi="Verdana" w:cs="Times"/>
          <w:sz w:val="20"/>
          <w:szCs w:val="20"/>
          <w:lang w:val="es-CR" w:eastAsia="es-CR"/>
        </w:rPr>
        <w:t>i)</w:t>
      </w:r>
      <w:r>
        <w:rPr>
          <w:rFonts w:ascii="Verdana" w:eastAsia="Batang" w:hAnsi="Verdana" w:cs="Times"/>
          <w:sz w:val="20"/>
          <w:szCs w:val="20"/>
          <w:lang w:val="es-CR" w:eastAsia="es-CR"/>
        </w:rPr>
        <w:t xml:space="preserve"> </w:t>
      </w:r>
      <w:r w:rsidRPr="00320E1C">
        <w:rPr>
          <w:rFonts w:ascii="Verdana" w:eastAsia="Batang" w:hAnsi="Verdana" w:cs="Times"/>
          <w:sz w:val="20"/>
          <w:szCs w:val="20"/>
          <w:lang w:val="es-CR" w:eastAsia="es-CR"/>
        </w:rPr>
        <w:t xml:space="preserve">Centro de Derechos Humanos de la Facultad de Jurisprudencia de la </w:t>
      </w:r>
      <w:r w:rsidRPr="00320E1C">
        <w:rPr>
          <w:rFonts w:ascii="Verdana" w:hAnsi="Verdana"/>
          <w:sz w:val="20"/>
          <w:szCs w:val="20"/>
        </w:rPr>
        <w:t>Pontificia Universidad Católica del Ecuador</w:t>
      </w:r>
      <w:r>
        <w:rPr>
          <w:rStyle w:val="Refdenotaalpie"/>
          <w:rFonts w:ascii="Verdana" w:hAnsi="Verdana"/>
          <w:i/>
          <w:sz w:val="20"/>
        </w:rPr>
        <w:footnoteReference w:id="8"/>
      </w:r>
      <w:r w:rsidRPr="00320E1C">
        <w:rPr>
          <w:rFonts w:ascii="Verdana" w:hAnsi="Verdana"/>
          <w:sz w:val="20"/>
          <w:szCs w:val="20"/>
        </w:rPr>
        <w:t xml:space="preserve">; </w:t>
      </w:r>
      <w:r>
        <w:rPr>
          <w:rFonts w:ascii="Verdana" w:hAnsi="Verdana"/>
          <w:sz w:val="20"/>
          <w:szCs w:val="20"/>
        </w:rPr>
        <w:t xml:space="preserve">iii) </w:t>
      </w:r>
      <w:r w:rsidRPr="00320E1C">
        <w:rPr>
          <w:rFonts w:ascii="Verdana" w:hAnsi="Verdana"/>
          <w:sz w:val="20"/>
          <w:szCs w:val="20"/>
        </w:rPr>
        <w:t>Fundación Ambiente y Recursos Naturales</w:t>
      </w:r>
      <w:r>
        <w:rPr>
          <w:rFonts w:ascii="Verdana" w:hAnsi="Verdana"/>
          <w:sz w:val="20"/>
          <w:szCs w:val="20"/>
        </w:rPr>
        <w:t xml:space="preserve"> (FARN)</w:t>
      </w:r>
      <w:r>
        <w:rPr>
          <w:rStyle w:val="Refdenotaalpie"/>
          <w:rFonts w:ascii="Verdana" w:hAnsi="Verdana"/>
          <w:sz w:val="20"/>
        </w:rPr>
        <w:footnoteReference w:id="9"/>
      </w:r>
      <w:r>
        <w:rPr>
          <w:rFonts w:ascii="Verdana" w:hAnsi="Verdana"/>
          <w:sz w:val="20"/>
          <w:szCs w:val="20"/>
        </w:rPr>
        <w:t>; iv)</w:t>
      </w:r>
      <w:r w:rsidRPr="00320E1C">
        <w:rPr>
          <w:rFonts w:ascii="Verdana" w:hAnsi="Verdana"/>
          <w:sz w:val="20"/>
          <w:szCs w:val="20"/>
        </w:rPr>
        <w:t xml:space="preserve"> </w:t>
      </w:r>
      <w:r w:rsidRPr="00301989">
        <w:rPr>
          <w:rFonts w:ascii="Verdana" w:hAnsi="Verdana"/>
          <w:sz w:val="20"/>
          <w:szCs w:val="20"/>
        </w:rPr>
        <w:t>Fundación para el Debido Proceso Legal</w:t>
      </w:r>
      <w:r>
        <w:rPr>
          <w:rFonts w:ascii="Verdana" w:hAnsi="Verdana"/>
          <w:sz w:val="20"/>
          <w:szCs w:val="20"/>
        </w:rPr>
        <w:t xml:space="preserve"> (DPLF)</w:t>
      </w:r>
      <w:r w:rsidRPr="001E3405">
        <w:rPr>
          <w:rFonts w:ascii="Verdana" w:hAnsi="Verdana"/>
          <w:sz w:val="20"/>
          <w:szCs w:val="20"/>
        </w:rPr>
        <w:t>, C</w:t>
      </w:r>
      <w:r w:rsidRPr="00301989">
        <w:rPr>
          <w:rFonts w:ascii="Verdana" w:hAnsi="Verdana"/>
          <w:sz w:val="20"/>
          <w:szCs w:val="20"/>
        </w:rPr>
        <w:t xml:space="preserve">línica de Derechos Humanos de la Universidad de </w:t>
      </w:r>
      <w:r w:rsidRPr="001E3405">
        <w:rPr>
          <w:rFonts w:ascii="Verdana" w:hAnsi="Verdana"/>
          <w:sz w:val="20"/>
          <w:szCs w:val="20"/>
        </w:rPr>
        <w:t>Ottawa,</w:t>
      </w:r>
      <w:r w:rsidRPr="00301989">
        <w:rPr>
          <w:rFonts w:ascii="Verdana" w:hAnsi="Verdana"/>
          <w:sz w:val="20"/>
          <w:szCs w:val="20"/>
        </w:rPr>
        <w:t xml:space="preserve"> Instituto de Democracia y Derechos Humanos de la Pontificia Universidad Católica del Perú, Núcleo de Estudios en Sistemas Internacionales de Derechos Humanos de la Universidad Federal de Paraná, Clínica Internacional de Derechos Humanos de la Universidad de Guadalajara y </w:t>
      </w:r>
      <w:r w:rsidRPr="00301989">
        <w:rPr>
          <w:rFonts w:ascii="Verdana" w:hAnsi="Verdana"/>
          <w:i/>
          <w:sz w:val="20"/>
          <w:szCs w:val="20"/>
        </w:rPr>
        <w:t>O'Neill Institute for National and Global Health Law</w:t>
      </w:r>
      <w:r w:rsidRPr="001E3405">
        <w:rPr>
          <w:rFonts w:ascii="Verdana" w:hAnsi="Verdana"/>
          <w:sz w:val="20"/>
          <w:szCs w:val="20"/>
        </w:rPr>
        <w:t xml:space="preserve"> de</w:t>
      </w:r>
      <w:r w:rsidRPr="00301989">
        <w:rPr>
          <w:rFonts w:ascii="Verdana" w:hAnsi="Verdana"/>
          <w:sz w:val="20"/>
          <w:szCs w:val="20"/>
        </w:rPr>
        <w:t xml:space="preserve"> </w:t>
      </w:r>
      <w:r w:rsidRPr="00301989">
        <w:rPr>
          <w:rFonts w:ascii="Verdana" w:hAnsi="Verdana"/>
          <w:i/>
          <w:sz w:val="20"/>
          <w:szCs w:val="20"/>
        </w:rPr>
        <w:t>Georgetown University Law</w:t>
      </w:r>
      <w:r w:rsidRPr="001E3405">
        <w:rPr>
          <w:rFonts w:ascii="Verdana" w:hAnsi="Verdana"/>
          <w:i/>
          <w:sz w:val="20"/>
          <w:szCs w:val="20"/>
        </w:rPr>
        <w:t xml:space="preserve"> Center</w:t>
      </w:r>
      <w:r w:rsidRPr="001E3405">
        <w:rPr>
          <w:rStyle w:val="Refdenotaalpie"/>
          <w:rFonts w:ascii="Verdana" w:hAnsi="Verdana"/>
          <w:i/>
          <w:sz w:val="20"/>
        </w:rPr>
        <w:footnoteReference w:id="10"/>
      </w:r>
      <w:r w:rsidRPr="001E3405">
        <w:rPr>
          <w:rFonts w:ascii="Verdana" w:hAnsi="Verdana"/>
          <w:i/>
          <w:sz w:val="20"/>
          <w:szCs w:val="20"/>
        </w:rPr>
        <w:t>;</w:t>
      </w:r>
      <w:r>
        <w:rPr>
          <w:rFonts w:ascii="Verdana" w:hAnsi="Verdana"/>
          <w:i/>
          <w:sz w:val="20"/>
          <w:szCs w:val="20"/>
        </w:rPr>
        <w:t xml:space="preserve"> </w:t>
      </w:r>
      <w:r>
        <w:rPr>
          <w:rFonts w:ascii="Verdana" w:hAnsi="Verdana"/>
          <w:sz w:val="20"/>
          <w:szCs w:val="20"/>
        </w:rPr>
        <w:t>v)</w:t>
      </w:r>
      <w:r>
        <w:rPr>
          <w:rFonts w:ascii="Verdana" w:hAnsi="Verdana"/>
          <w:b/>
          <w:i/>
          <w:sz w:val="20"/>
          <w:szCs w:val="20"/>
        </w:rPr>
        <w:t xml:space="preserve"> </w:t>
      </w:r>
      <w:r>
        <w:rPr>
          <w:rFonts w:ascii="Verdana" w:hAnsi="Verdana"/>
          <w:sz w:val="20"/>
          <w:szCs w:val="20"/>
        </w:rPr>
        <w:t>diversas organizaciones bajo la coordinación de la Secretaría de la Red Internacional de Derechos Económicos, Sociales y Culturales (Red-DESC)</w:t>
      </w:r>
      <w:r>
        <w:rPr>
          <w:rStyle w:val="Refdenotaalpie"/>
          <w:rFonts w:ascii="Verdana" w:hAnsi="Verdana"/>
          <w:sz w:val="20"/>
        </w:rPr>
        <w:footnoteReference w:id="11"/>
      </w:r>
      <w:r>
        <w:rPr>
          <w:rFonts w:ascii="Verdana" w:hAnsi="Verdana"/>
          <w:sz w:val="20"/>
          <w:szCs w:val="20"/>
        </w:rPr>
        <w:t>; vi) Tierraviva a los Pueblos Indígenas del Chaco (en adelante “Tierraviva”)</w:t>
      </w:r>
      <w:r>
        <w:rPr>
          <w:rStyle w:val="Refdenotaalpie"/>
          <w:rFonts w:ascii="Verdana" w:hAnsi="Verdana"/>
          <w:sz w:val="20"/>
        </w:rPr>
        <w:footnoteReference w:id="12"/>
      </w:r>
      <w:r>
        <w:rPr>
          <w:rFonts w:ascii="Verdana" w:hAnsi="Verdana"/>
          <w:sz w:val="20"/>
          <w:szCs w:val="20"/>
        </w:rPr>
        <w:t xml:space="preserve">; vii) Clínica Jurídica del Centro de Derechos </w:t>
      </w:r>
      <w:r>
        <w:rPr>
          <w:rFonts w:ascii="Verdana" w:hAnsi="Verdana"/>
          <w:sz w:val="20"/>
          <w:szCs w:val="20"/>
        </w:rPr>
        <w:lastRenderedPageBreak/>
        <w:t>Humanos de la Facultad de Derecho de la Universidad de Buenos Aires (CDH-UBA)</w:t>
      </w:r>
      <w:r>
        <w:rPr>
          <w:rStyle w:val="Refdenotaalpie"/>
          <w:rFonts w:ascii="Verdana" w:hAnsi="Verdana"/>
          <w:sz w:val="20"/>
        </w:rPr>
        <w:footnoteReference w:id="13"/>
      </w:r>
      <w:r>
        <w:rPr>
          <w:rFonts w:ascii="Verdana" w:hAnsi="Verdana"/>
          <w:sz w:val="20"/>
          <w:szCs w:val="20"/>
        </w:rPr>
        <w:t>, y viii) Oliver de Schutter, Profesor de la Universidad Católica de Lovaina y ex Relator Especial de las Naciones Unidas sobre el Derecho a la Alimentación (2008 – 2014)</w:t>
      </w:r>
      <w:r>
        <w:rPr>
          <w:rStyle w:val="Refdenotaalpie"/>
          <w:rFonts w:ascii="Verdana" w:hAnsi="Verdana"/>
          <w:sz w:val="20"/>
        </w:rPr>
        <w:footnoteReference w:id="14"/>
      </w:r>
      <w:r>
        <w:rPr>
          <w:rFonts w:ascii="Verdana" w:hAnsi="Verdana"/>
          <w:sz w:val="20"/>
          <w:szCs w:val="20"/>
        </w:rPr>
        <w:t>.</w:t>
      </w:r>
    </w:p>
    <w:p w14:paraId="7BD02848" w14:textId="77777777" w:rsidR="009805F2" w:rsidRPr="008E5BB0" w:rsidRDefault="009805F2" w:rsidP="009805F2">
      <w:pPr>
        <w:pStyle w:val="Prrafodelista"/>
        <w:spacing w:after="0" w:line="240" w:lineRule="auto"/>
        <w:ind w:left="0" w:right="6"/>
        <w:jc w:val="both"/>
        <w:rPr>
          <w:rFonts w:ascii="Verdana" w:eastAsia="Batang" w:hAnsi="Verdana" w:cs="Times"/>
          <w:i/>
          <w:sz w:val="20"/>
          <w:szCs w:val="20"/>
          <w:lang w:val="es-CR" w:eastAsia="es-CR"/>
        </w:rPr>
      </w:pPr>
    </w:p>
    <w:p w14:paraId="7BA64A7D" w14:textId="6436865A" w:rsidR="009805F2" w:rsidRPr="00567D84" w:rsidRDefault="009805F2" w:rsidP="009805F2">
      <w:pPr>
        <w:pStyle w:val="Prrafodelista"/>
        <w:numPr>
          <w:ilvl w:val="0"/>
          <w:numId w:val="1"/>
        </w:numPr>
        <w:spacing w:after="0" w:line="240" w:lineRule="auto"/>
        <w:ind w:left="0" w:right="6" w:hanging="11"/>
        <w:jc w:val="both"/>
        <w:rPr>
          <w:rFonts w:ascii="Verdana" w:eastAsia="Batang" w:hAnsi="Verdana" w:cs="Times"/>
          <w:i/>
          <w:sz w:val="20"/>
          <w:szCs w:val="20"/>
          <w:lang w:val="es-CR" w:eastAsia="es-CR"/>
        </w:rPr>
      </w:pPr>
      <w:r>
        <w:rPr>
          <w:rFonts w:ascii="Verdana" w:eastAsia="Batang" w:hAnsi="Verdana" w:cs="Times"/>
          <w:i/>
          <w:sz w:val="20"/>
          <w:szCs w:val="20"/>
          <w:lang w:val="es-CR" w:eastAsia="es-CR"/>
        </w:rPr>
        <w:t>Diligencia in situ</w:t>
      </w:r>
      <w:r>
        <w:rPr>
          <w:rFonts w:ascii="Verdana" w:eastAsia="Batang" w:hAnsi="Verdana" w:cs="Times"/>
          <w:sz w:val="20"/>
          <w:szCs w:val="20"/>
          <w:lang w:val="es-CR" w:eastAsia="es-CR"/>
        </w:rPr>
        <w:t>.-</w:t>
      </w:r>
      <w:r>
        <w:rPr>
          <w:rFonts w:ascii="Verdana" w:eastAsia="Batang" w:hAnsi="Verdana" w:cs="Times"/>
          <w:i/>
          <w:sz w:val="20"/>
          <w:szCs w:val="20"/>
          <w:lang w:val="es-CR" w:eastAsia="es-CR"/>
        </w:rPr>
        <w:t xml:space="preserve"> </w:t>
      </w:r>
      <w:r>
        <w:rPr>
          <w:rFonts w:ascii="Verdana" w:hAnsi="Verdana" w:cs="Arial"/>
          <w:sz w:val="20"/>
          <w:lang w:val="es-CR"/>
        </w:rPr>
        <w:t xml:space="preserve">En su escrito de solicitudes y argumentos, como también el 31 de octubre de 2018, los representantes solicitaron la realización de una “visita a terreno”. El 13 de noviembre de 2018, el Estado </w:t>
      </w:r>
      <w:r>
        <w:rPr>
          <w:rFonts w:ascii="Verdana" w:hAnsi="Verdana" w:cs="Arial"/>
          <w:sz w:val="20"/>
        </w:rPr>
        <w:t xml:space="preserve">señaló que la diligencia </w:t>
      </w:r>
      <w:r w:rsidRPr="00411007">
        <w:rPr>
          <w:rFonts w:ascii="Verdana" w:hAnsi="Verdana" w:cs="Arial"/>
          <w:i/>
          <w:sz w:val="20"/>
        </w:rPr>
        <w:t>in situ</w:t>
      </w:r>
      <w:r>
        <w:rPr>
          <w:rFonts w:ascii="Verdana" w:hAnsi="Verdana" w:cs="Arial"/>
          <w:sz w:val="20"/>
        </w:rPr>
        <w:t xml:space="preserve"> </w:t>
      </w:r>
      <w:r w:rsidRPr="00825813">
        <w:rPr>
          <w:rFonts w:ascii="Verdana" w:eastAsia="Batang" w:hAnsi="Verdana" w:cs="Times"/>
          <w:sz w:val="20"/>
          <w:szCs w:val="20"/>
          <w:lang w:val="es-CR" w:eastAsia="es-CR"/>
        </w:rPr>
        <w:t>(en adelante</w:t>
      </w:r>
      <w:r>
        <w:rPr>
          <w:rFonts w:ascii="Verdana" w:eastAsia="Batang" w:hAnsi="Verdana" w:cs="Times"/>
          <w:sz w:val="20"/>
          <w:szCs w:val="20"/>
          <w:lang w:val="es-CR" w:eastAsia="es-CR"/>
        </w:rPr>
        <w:t xml:space="preserve"> también</w:t>
      </w:r>
      <w:r w:rsidRPr="00825813">
        <w:rPr>
          <w:rFonts w:ascii="Verdana" w:eastAsia="Batang" w:hAnsi="Verdana" w:cs="Times"/>
          <w:sz w:val="20"/>
          <w:szCs w:val="20"/>
          <w:lang w:val="es-CR" w:eastAsia="es-CR"/>
        </w:rPr>
        <w:t xml:space="preserve"> “la visita a terreno” o “la visita”)</w:t>
      </w:r>
      <w:r w:rsidR="007A2C63">
        <w:rPr>
          <w:rFonts w:ascii="Verdana" w:hAnsi="Verdana" w:cs="Arial"/>
          <w:sz w:val="20"/>
        </w:rPr>
        <w:t xml:space="preserve"> era de </w:t>
      </w:r>
      <w:r>
        <w:rPr>
          <w:rFonts w:ascii="Verdana" w:hAnsi="Verdana" w:cs="Arial"/>
          <w:sz w:val="20"/>
        </w:rPr>
        <w:t>suma importancia y la Comisión</w:t>
      </w:r>
      <w:r w:rsidRPr="00246FE8">
        <w:rPr>
          <w:rFonts w:ascii="Verdana" w:hAnsi="Verdana" w:cs="Arial"/>
          <w:sz w:val="20"/>
        </w:rPr>
        <w:t xml:space="preserve"> </w:t>
      </w:r>
      <w:r>
        <w:rPr>
          <w:rFonts w:ascii="Verdana" w:hAnsi="Verdana" w:cs="Arial"/>
          <w:sz w:val="20"/>
        </w:rPr>
        <w:t xml:space="preserve">consideró que era “útil y pertinente”. </w:t>
      </w:r>
      <w:r w:rsidRPr="00126160">
        <w:rPr>
          <w:rFonts w:ascii="Verdana" w:eastAsia="Batang" w:hAnsi="Verdana" w:cs="Times"/>
          <w:sz w:val="20"/>
          <w:szCs w:val="20"/>
          <w:lang w:val="es-CR" w:eastAsia="es-CR"/>
        </w:rPr>
        <w:t>La</w:t>
      </w:r>
      <w:r>
        <w:rPr>
          <w:rFonts w:ascii="Verdana" w:eastAsia="Batang" w:hAnsi="Verdana" w:cs="Times"/>
          <w:sz w:val="20"/>
          <w:szCs w:val="20"/>
          <w:lang w:val="es-CR" w:eastAsia="es-CR"/>
        </w:rPr>
        <w:t xml:space="preserve"> Corte, considerando el principio de inmediación, entendió procedente llevar a cabo la</w:t>
      </w:r>
      <w:r w:rsidRPr="00126160">
        <w:rPr>
          <w:rFonts w:ascii="Verdana" w:eastAsia="Batang" w:hAnsi="Verdana" w:cs="Times"/>
          <w:sz w:val="20"/>
          <w:szCs w:val="20"/>
          <w:lang w:val="es-CR" w:eastAsia="es-CR"/>
        </w:rPr>
        <w:t xml:space="preserve"> </w:t>
      </w:r>
      <w:r>
        <w:rPr>
          <w:rFonts w:ascii="Verdana" w:eastAsia="Batang" w:hAnsi="Verdana" w:cs="Times"/>
          <w:sz w:val="20"/>
          <w:szCs w:val="20"/>
          <w:lang w:val="es-CR" w:eastAsia="es-CR"/>
        </w:rPr>
        <w:t xml:space="preserve">diligencia </w:t>
      </w:r>
      <w:r>
        <w:rPr>
          <w:rFonts w:ascii="Verdana" w:eastAsia="Batang" w:hAnsi="Verdana" w:cs="Times"/>
          <w:i/>
          <w:sz w:val="20"/>
          <w:szCs w:val="20"/>
          <w:lang w:val="es-CR" w:eastAsia="es-CR"/>
        </w:rPr>
        <w:t>in situ</w:t>
      </w:r>
      <w:r w:rsidRPr="0088685A">
        <w:rPr>
          <w:rFonts w:ascii="Verdana" w:eastAsia="Batang" w:hAnsi="Verdana" w:cs="Times"/>
          <w:sz w:val="20"/>
          <w:szCs w:val="20"/>
          <w:lang w:val="es-CR" w:eastAsia="es-CR"/>
        </w:rPr>
        <w:t>, que</w:t>
      </w:r>
      <w:r w:rsidRPr="00126160">
        <w:rPr>
          <w:rFonts w:ascii="Verdana" w:eastAsia="Batang" w:hAnsi="Verdana" w:cs="Times"/>
          <w:sz w:val="20"/>
          <w:szCs w:val="20"/>
          <w:lang w:val="es-CR" w:eastAsia="es-CR"/>
        </w:rPr>
        <w:t xml:space="preserve"> fue realizada el 17 de mayo de 2019</w:t>
      </w:r>
      <w:r w:rsidRPr="0039100F">
        <w:rPr>
          <w:rStyle w:val="Refdenotaalpie"/>
          <w:rFonts w:ascii="Verdana" w:hAnsi="Verdana"/>
          <w:sz w:val="20"/>
        </w:rPr>
        <w:footnoteReference w:id="15"/>
      </w:r>
      <w:r w:rsidRPr="0039100F">
        <w:rPr>
          <w:rFonts w:ascii="Verdana" w:hAnsi="Verdana" w:cs="Arial"/>
          <w:sz w:val="20"/>
        </w:rPr>
        <w:t>.</w:t>
      </w:r>
      <w:r>
        <w:rPr>
          <w:rFonts w:ascii="Verdana" w:hAnsi="Verdana" w:cs="Arial"/>
          <w:b/>
          <w:sz w:val="16"/>
          <w:szCs w:val="16"/>
        </w:rPr>
        <w:t xml:space="preserve"> </w:t>
      </w:r>
      <w:r w:rsidRPr="00567D84">
        <w:rPr>
          <w:rFonts w:ascii="Verdana" w:hAnsi="Verdana"/>
          <w:sz w:val="20"/>
          <w:lang w:val="es-CR"/>
        </w:rPr>
        <w:t>Durante la visita, en la localidad de Santa María se llevó a cabo una asamblea de representantes de comunidades indígenas. En esa oportunidad</w:t>
      </w:r>
      <w:r>
        <w:rPr>
          <w:rFonts w:ascii="Verdana" w:hAnsi="Verdana"/>
          <w:sz w:val="20"/>
          <w:lang w:val="es-CR"/>
        </w:rPr>
        <w:t>, los mismos</w:t>
      </w:r>
      <w:r w:rsidRPr="00567D84">
        <w:rPr>
          <w:rFonts w:ascii="Verdana" w:hAnsi="Verdana"/>
          <w:sz w:val="20"/>
          <w:lang w:val="es-CR"/>
        </w:rPr>
        <w:t xml:space="preserve"> se pronunciaron sobre el objeto de la solicitud</w:t>
      </w:r>
      <w:r w:rsidR="0057581E">
        <w:rPr>
          <w:rFonts w:ascii="Verdana" w:hAnsi="Verdana"/>
          <w:sz w:val="20"/>
          <w:lang w:val="es-CR"/>
        </w:rPr>
        <w:t xml:space="preserve"> a la Corte</w:t>
      </w:r>
      <w:r w:rsidRPr="00567D84">
        <w:rPr>
          <w:rFonts w:ascii="Verdana" w:hAnsi="Verdana"/>
          <w:sz w:val="20"/>
          <w:lang w:val="es-CR"/>
        </w:rPr>
        <w:t xml:space="preserve">. Posteriormente, se realizó un recorrido por las zonas aledañas a Santa María, a fin de observar, principalmente, la presencia aducida de alambrados y ganado. </w:t>
      </w:r>
      <w:r w:rsidR="00BA5AF7">
        <w:rPr>
          <w:rFonts w:ascii="Verdana" w:hAnsi="Verdana"/>
          <w:sz w:val="20"/>
          <w:lang w:val="es-CR"/>
        </w:rPr>
        <w:t>Después</w:t>
      </w:r>
      <w:r w:rsidRPr="00567D84">
        <w:rPr>
          <w:rFonts w:ascii="Verdana" w:hAnsi="Verdana"/>
          <w:sz w:val="20"/>
          <w:lang w:val="es-CR"/>
        </w:rPr>
        <w:t xml:space="preserve"> la delegación se traslad</w:t>
      </w:r>
      <w:r>
        <w:rPr>
          <w:rFonts w:ascii="Verdana" w:hAnsi="Verdana"/>
          <w:sz w:val="20"/>
          <w:lang w:val="es-CR"/>
        </w:rPr>
        <w:t>ó</w:t>
      </w:r>
      <w:r w:rsidRPr="00567D84">
        <w:rPr>
          <w:rFonts w:ascii="Verdana" w:hAnsi="Verdana"/>
          <w:sz w:val="20"/>
          <w:lang w:val="es-CR"/>
        </w:rPr>
        <w:t xml:space="preserve"> al Puente Internacional Misión la Paz. Además, en la localidad de Santa Victoria Este, se llevó a cabo una reunión con representantes de familias criollas. Concluido lo anterior se observó parte de la zona en que, según señalamientos de las partes y la Comisión, se relocalizarían familias criollas. Se tomó contacto con una familia criolla relocalizada que expuso su situación.  </w:t>
      </w:r>
    </w:p>
    <w:p w14:paraId="358492D3" w14:textId="77777777" w:rsidR="009805F2" w:rsidRPr="00C87725" w:rsidRDefault="009805F2" w:rsidP="009805F2">
      <w:pPr>
        <w:pStyle w:val="Prrafodelista"/>
        <w:spacing w:after="0" w:line="240" w:lineRule="auto"/>
        <w:ind w:left="0" w:right="6"/>
        <w:jc w:val="both"/>
        <w:rPr>
          <w:rFonts w:ascii="Verdana" w:eastAsia="Batang" w:hAnsi="Verdana" w:cs="Times"/>
          <w:i/>
          <w:sz w:val="20"/>
          <w:szCs w:val="20"/>
          <w:lang w:val="es-CR" w:eastAsia="es-CR"/>
        </w:rPr>
      </w:pPr>
    </w:p>
    <w:p w14:paraId="3A017468" w14:textId="4B5D8590" w:rsidR="009805F2" w:rsidRPr="00126160" w:rsidRDefault="009805F2" w:rsidP="009805F2">
      <w:pPr>
        <w:pStyle w:val="Prrafodelista"/>
        <w:numPr>
          <w:ilvl w:val="0"/>
          <w:numId w:val="1"/>
        </w:numPr>
        <w:spacing w:after="0" w:line="240" w:lineRule="auto"/>
        <w:ind w:left="0" w:right="6" w:hanging="11"/>
        <w:jc w:val="both"/>
        <w:rPr>
          <w:rFonts w:ascii="Verdana" w:eastAsia="Batang" w:hAnsi="Verdana" w:cs="Times"/>
          <w:i/>
          <w:sz w:val="20"/>
          <w:szCs w:val="20"/>
          <w:lang w:val="es-CR" w:eastAsia="es-CR"/>
        </w:rPr>
      </w:pPr>
      <w:r w:rsidRPr="00C87725">
        <w:rPr>
          <w:rFonts w:ascii="Verdana" w:hAnsi="Verdana"/>
          <w:i/>
          <w:sz w:val="20"/>
          <w:szCs w:val="20"/>
        </w:rPr>
        <w:t>Alegatos y observaciones finales escritos.</w:t>
      </w:r>
      <w:r w:rsidRPr="00C87725">
        <w:rPr>
          <w:rFonts w:ascii="Verdana" w:hAnsi="Verdana"/>
          <w:sz w:val="20"/>
          <w:szCs w:val="20"/>
        </w:rPr>
        <w:t xml:space="preserve"> – </w:t>
      </w:r>
      <w:r>
        <w:rPr>
          <w:rFonts w:ascii="Verdana" w:hAnsi="Verdana"/>
          <w:sz w:val="20"/>
          <w:szCs w:val="20"/>
        </w:rPr>
        <w:t>El 3 de junio de 2019 los representantes y Argentina remitieron</w:t>
      </w:r>
      <w:r w:rsidR="004A6AF0">
        <w:rPr>
          <w:rFonts w:ascii="Verdana" w:hAnsi="Verdana"/>
          <w:sz w:val="20"/>
          <w:szCs w:val="20"/>
        </w:rPr>
        <w:t xml:space="preserve"> sus</w:t>
      </w:r>
      <w:r>
        <w:rPr>
          <w:rFonts w:ascii="Verdana" w:hAnsi="Verdana"/>
          <w:sz w:val="20"/>
          <w:szCs w:val="20"/>
        </w:rPr>
        <w:t xml:space="preserve"> alegatos finales escritos y documentos anexos, y la Comisión allegó </w:t>
      </w:r>
      <w:r w:rsidR="004A6AF0">
        <w:rPr>
          <w:rFonts w:ascii="Verdana" w:hAnsi="Verdana"/>
          <w:sz w:val="20"/>
          <w:szCs w:val="20"/>
        </w:rPr>
        <w:t xml:space="preserve">sus </w:t>
      </w:r>
      <w:r>
        <w:rPr>
          <w:rFonts w:ascii="Verdana" w:hAnsi="Verdana"/>
          <w:sz w:val="20"/>
          <w:szCs w:val="20"/>
        </w:rPr>
        <w:t>observaciones finales escritas</w:t>
      </w:r>
      <w:r>
        <w:rPr>
          <w:rStyle w:val="Refdenotaalpie"/>
          <w:rFonts w:ascii="Verdana" w:hAnsi="Verdana"/>
          <w:sz w:val="20"/>
        </w:rPr>
        <w:footnoteReference w:id="16"/>
      </w:r>
      <w:r>
        <w:rPr>
          <w:rFonts w:ascii="Verdana" w:hAnsi="Verdana"/>
          <w:sz w:val="20"/>
          <w:szCs w:val="20"/>
        </w:rPr>
        <w:t>. Los representantes informaron hechos posteriores a la presentación del escrito de solicitudes y argumentos: el incremento del número de comunidades e inundaciones ocurridas a principios de 2019 (</w:t>
      </w:r>
      <w:r>
        <w:rPr>
          <w:rFonts w:ascii="Verdana" w:hAnsi="Verdana"/>
          <w:i/>
          <w:sz w:val="20"/>
          <w:szCs w:val="20"/>
        </w:rPr>
        <w:t>infra</w:t>
      </w:r>
      <w:r>
        <w:rPr>
          <w:rFonts w:ascii="Verdana" w:hAnsi="Verdana"/>
          <w:sz w:val="20"/>
          <w:szCs w:val="20"/>
        </w:rPr>
        <w:t xml:space="preserve"> párrs. 24, 28 y 39).</w:t>
      </w:r>
    </w:p>
    <w:p w14:paraId="64DB85C2" w14:textId="77777777" w:rsidR="009805F2" w:rsidRPr="00126160" w:rsidRDefault="009805F2" w:rsidP="009805F2">
      <w:pPr>
        <w:pStyle w:val="Prrafodelista"/>
        <w:spacing w:after="0" w:line="240" w:lineRule="auto"/>
        <w:ind w:left="0" w:right="6"/>
        <w:jc w:val="center"/>
        <w:rPr>
          <w:rFonts w:ascii="Verdana" w:eastAsia="Batang" w:hAnsi="Verdana" w:cs="Times"/>
          <w:i/>
          <w:sz w:val="20"/>
          <w:szCs w:val="20"/>
          <w:lang w:val="es-CR" w:eastAsia="es-CR"/>
        </w:rPr>
      </w:pPr>
    </w:p>
    <w:p w14:paraId="54A7445C" w14:textId="77777777" w:rsidR="009805F2" w:rsidRPr="00080856" w:rsidRDefault="009805F2" w:rsidP="009805F2">
      <w:pPr>
        <w:pStyle w:val="Prrafodelista"/>
        <w:numPr>
          <w:ilvl w:val="0"/>
          <w:numId w:val="1"/>
        </w:numPr>
        <w:spacing w:after="0" w:line="240" w:lineRule="auto"/>
        <w:ind w:left="0" w:right="6" w:hanging="11"/>
        <w:jc w:val="both"/>
        <w:rPr>
          <w:rFonts w:ascii="Verdana" w:eastAsia="Batang" w:hAnsi="Verdana" w:cs="Times"/>
          <w:i/>
          <w:sz w:val="20"/>
          <w:szCs w:val="20"/>
          <w:lang w:val="es-CR" w:eastAsia="es-CR"/>
        </w:rPr>
      </w:pPr>
      <w:r>
        <w:rPr>
          <w:rFonts w:ascii="Verdana" w:eastAsia="Batang" w:hAnsi="Verdana" w:cs="Times"/>
          <w:i/>
          <w:sz w:val="20"/>
          <w:szCs w:val="20"/>
          <w:lang w:val="es-CR" w:eastAsia="es-CR"/>
        </w:rPr>
        <w:lastRenderedPageBreak/>
        <w:t xml:space="preserve"> </w:t>
      </w:r>
      <w:r w:rsidRPr="00976104">
        <w:rPr>
          <w:rFonts w:ascii="Verdana" w:hAnsi="Verdana"/>
          <w:i/>
          <w:sz w:val="20"/>
          <w:szCs w:val="20"/>
        </w:rPr>
        <w:t xml:space="preserve">Deliberación del presente caso. </w:t>
      </w:r>
      <w:r w:rsidRPr="00976104">
        <w:rPr>
          <w:rFonts w:ascii="Verdana" w:hAnsi="Verdana"/>
          <w:sz w:val="20"/>
          <w:szCs w:val="20"/>
        </w:rPr>
        <w:t>–</w:t>
      </w:r>
      <w:r>
        <w:rPr>
          <w:rFonts w:ascii="Verdana" w:hAnsi="Verdana"/>
          <w:sz w:val="20"/>
          <w:szCs w:val="20"/>
        </w:rPr>
        <w:t xml:space="preserve"> La Corte inició la deliberación de la presente Sentencia el 27 de noviembre de 2019 y luego continuó a partir del </w:t>
      </w:r>
      <w:r w:rsidRPr="00080856">
        <w:rPr>
          <w:rFonts w:ascii="Verdana" w:hAnsi="Verdana"/>
          <w:sz w:val="20"/>
          <w:szCs w:val="20"/>
        </w:rPr>
        <w:t>29 de enero de 2020</w:t>
      </w:r>
      <w:r>
        <w:rPr>
          <w:rFonts w:ascii="Verdana" w:hAnsi="Verdana"/>
          <w:sz w:val="20"/>
          <w:szCs w:val="20"/>
        </w:rPr>
        <w:t>.</w:t>
      </w:r>
    </w:p>
    <w:p w14:paraId="2FF651F1" w14:textId="77777777" w:rsidR="009805F2" w:rsidRDefault="009805F2" w:rsidP="009805F2">
      <w:pPr>
        <w:pStyle w:val="Ttulo1"/>
        <w:spacing w:before="0" w:line="240" w:lineRule="auto"/>
        <w:jc w:val="center"/>
        <w:rPr>
          <w:rFonts w:ascii="Verdana" w:eastAsia="Calibri" w:hAnsi="Verdana" w:cs="Verdana"/>
          <w:caps/>
          <w:color w:val="auto"/>
          <w:spacing w:val="-5"/>
          <w:sz w:val="20"/>
          <w:szCs w:val="20"/>
          <w:lang w:val="es-CR" w:eastAsia="es-CR"/>
        </w:rPr>
      </w:pPr>
      <w:bookmarkStart w:id="12" w:name="_Toc22224852"/>
      <w:bookmarkStart w:id="13" w:name="_Toc32218814"/>
      <w:bookmarkStart w:id="14" w:name="_Toc32227081"/>
    </w:p>
    <w:p w14:paraId="17B26032" w14:textId="77777777" w:rsidR="009805F2" w:rsidRPr="00667FF5" w:rsidRDefault="009805F2" w:rsidP="009805F2">
      <w:pPr>
        <w:pStyle w:val="Ttulo1"/>
        <w:spacing w:before="0" w:line="240" w:lineRule="auto"/>
        <w:jc w:val="center"/>
        <w:rPr>
          <w:rFonts w:ascii="Verdana" w:eastAsia="Calibri" w:hAnsi="Verdana" w:cs="Verdana"/>
          <w:b w:val="0"/>
          <w:caps/>
          <w:color w:val="auto"/>
          <w:spacing w:val="-5"/>
          <w:sz w:val="20"/>
          <w:szCs w:val="20"/>
          <w:lang w:val="es-CR" w:eastAsia="es-CR"/>
        </w:rPr>
      </w:pPr>
      <w:bookmarkStart w:id="15" w:name="_Toc34337510"/>
      <w:r w:rsidRPr="00667FF5">
        <w:rPr>
          <w:rFonts w:ascii="Verdana" w:eastAsia="Calibri" w:hAnsi="Verdana" w:cs="Verdana"/>
          <w:caps/>
          <w:color w:val="auto"/>
          <w:spacing w:val="-5"/>
          <w:sz w:val="20"/>
          <w:szCs w:val="20"/>
          <w:lang w:val="es-CR" w:eastAsia="es-CR"/>
        </w:rPr>
        <w:t>III</w:t>
      </w:r>
      <w:bookmarkEnd w:id="12"/>
      <w:bookmarkEnd w:id="13"/>
      <w:bookmarkEnd w:id="14"/>
      <w:bookmarkEnd w:id="15"/>
    </w:p>
    <w:p w14:paraId="3121293E" w14:textId="77777777" w:rsidR="009805F2" w:rsidRPr="00667FF5" w:rsidRDefault="009805F2" w:rsidP="009805F2">
      <w:pPr>
        <w:pStyle w:val="Ttulo1"/>
        <w:spacing w:before="0" w:line="240" w:lineRule="auto"/>
        <w:jc w:val="center"/>
        <w:rPr>
          <w:rFonts w:ascii="Verdana" w:eastAsia="Times New Roman" w:hAnsi="Verdana" w:cs="Verdana"/>
          <w:b w:val="0"/>
          <w:caps/>
          <w:color w:val="auto"/>
          <w:spacing w:val="-5"/>
          <w:sz w:val="20"/>
          <w:szCs w:val="20"/>
          <w:lang w:val="es-CR" w:eastAsia="es-CR"/>
        </w:rPr>
      </w:pPr>
      <w:bookmarkStart w:id="16" w:name="_Toc22224853"/>
      <w:bookmarkStart w:id="17" w:name="_Toc32218815"/>
      <w:bookmarkStart w:id="18" w:name="_Toc32227082"/>
      <w:bookmarkStart w:id="19" w:name="_Toc34337511"/>
      <w:r w:rsidRPr="00667FF5">
        <w:rPr>
          <w:rFonts w:ascii="Verdana" w:eastAsia="Times New Roman" w:hAnsi="Verdana" w:cs="Verdana"/>
          <w:caps/>
          <w:color w:val="auto"/>
          <w:spacing w:val="-5"/>
          <w:sz w:val="20"/>
          <w:szCs w:val="20"/>
          <w:lang w:val="es-CR" w:eastAsia="es-CR"/>
        </w:rPr>
        <w:t>COMPETENCIA</w:t>
      </w:r>
      <w:bookmarkEnd w:id="16"/>
      <w:bookmarkEnd w:id="17"/>
      <w:bookmarkEnd w:id="18"/>
      <w:bookmarkEnd w:id="19"/>
    </w:p>
    <w:p w14:paraId="60380983" w14:textId="77777777" w:rsidR="009805F2" w:rsidRPr="00873FEC" w:rsidRDefault="009805F2" w:rsidP="009805F2">
      <w:pPr>
        <w:spacing w:after="0" w:line="240" w:lineRule="auto"/>
        <w:rPr>
          <w:rFonts w:ascii="Verdana" w:eastAsia="Times New Roman" w:hAnsi="Verdana" w:cs="Verdana"/>
          <w:b/>
          <w:caps/>
          <w:spacing w:val="-5"/>
          <w:sz w:val="20"/>
          <w:szCs w:val="20"/>
          <w:lang w:eastAsia="es-CR"/>
        </w:rPr>
      </w:pPr>
    </w:p>
    <w:p w14:paraId="60D1C632" w14:textId="77777777" w:rsidR="009805F2" w:rsidRPr="00080856" w:rsidRDefault="009805F2" w:rsidP="009805F2">
      <w:pPr>
        <w:pStyle w:val="Prrafodelista"/>
        <w:numPr>
          <w:ilvl w:val="0"/>
          <w:numId w:val="1"/>
        </w:numPr>
        <w:spacing w:after="0" w:line="240" w:lineRule="auto"/>
        <w:ind w:left="0" w:right="6" w:hanging="11"/>
        <w:jc w:val="both"/>
        <w:rPr>
          <w:rFonts w:ascii="Verdana" w:eastAsia="Batang" w:hAnsi="Verdana" w:cs="Times"/>
          <w:i/>
          <w:sz w:val="20"/>
          <w:szCs w:val="20"/>
          <w:lang w:val="es-CR" w:eastAsia="es-CR"/>
        </w:rPr>
      </w:pPr>
      <w:r w:rsidRPr="00BB0D25">
        <w:rPr>
          <w:rFonts w:ascii="Verdana" w:hAnsi="Verdana"/>
          <w:sz w:val="20"/>
        </w:rPr>
        <w:t>La Corte Interamericana es competente para conocer el presente caso, en los términos del artículo 62.3 de la Convención, ya que Argentina es Estado Parte de la Convención Americana desde el 5 de septiembre de 1984 y reconoció la competencia contenciosa de la Corte en esa misma fecha.</w:t>
      </w:r>
    </w:p>
    <w:p w14:paraId="6AAD63AC" w14:textId="77777777" w:rsidR="009805F2" w:rsidRDefault="009805F2" w:rsidP="009805F2">
      <w:pPr>
        <w:tabs>
          <w:tab w:val="center" w:pos="4419"/>
          <w:tab w:val="left" w:pos="6330"/>
        </w:tabs>
        <w:spacing w:after="0" w:line="240" w:lineRule="auto"/>
        <w:rPr>
          <w:rFonts w:ascii="Verdana" w:hAnsi="Verdana"/>
          <w:b/>
          <w:sz w:val="20"/>
          <w:szCs w:val="20"/>
        </w:rPr>
      </w:pPr>
    </w:p>
    <w:p w14:paraId="18D5B2D3" w14:textId="77777777" w:rsidR="009805F2" w:rsidRPr="00667FF5" w:rsidRDefault="009805F2" w:rsidP="009805F2">
      <w:pPr>
        <w:pStyle w:val="Ttulo1"/>
        <w:spacing w:before="0" w:line="240" w:lineRule="auto"/>
        <w:jc w:val="center"/>
        <w:rPr>
          <w:rFonts w:ascii="Verdana" w:hAnsi="Verdana"/>
          <w:b w:val="0"/>
          <w:color w:val="auto"/>
          <w:sz w:val="20"/>
          <w:szCs w:val="20"/>
          <w:lang w:val="es-CR"/>
        </w:rPr>
      </w:pPr>
      <w:bookmarkStart w:id="20" w:name="_Toc32227083"/>
      <w:bookmarkStart w:id="21" w:name="_Toc34337512"/>
      <w:r w:rsidRPr="00667FF5">
        <w:rPr>
          <w:rFonts w:ascii="Verdana" w:hAnsi="Verdana"/>
          <w:color w:val="auto"/>
          <w:sz w:val="20"/>
          <w:szCs w:val="20"/>
          <w:lang w:val="es-CR"/>
        </w:rPr>
        <w:t>IV</w:t>
      </w:r>
      <w:bookmarkEnd w:id="20"/>
      <w:bookmarkEnd w:id="21"/>
    </w:p>
    <w:p w14:paraId="593A0D5C" w14:textId="77777777" w:rsidR="009805F2" w:rsidRPr="00667FF5" w:rsidRDefault="009805F2" w:rsidP="009805F2">
      <w:pPr>
        <w:pStyle w:val="Ttulo1"/>
        <w:spacing w:before="0" w:line="240" w:lineRule="auto"/>
        <w:jc w:val="center"/>
        <w:rPr>
          <w:rFonts w:ascii="Verdana" w:hAnsi="Verdana"/>
          <w:b w:val="0"/>
          <w:color w:val="auto"/>
          <w:sz w:val="20"/>
          <w:szCs w:val="20"/>
          <w:lang w:val="es-CR"/>
        </w:rPr>
      </w:pPr>
      <w:bookmarkStart w:id="22" w:name="_Toc32227084"/>
      <w:bookmarkStart w:id="23" w:name="_Toc34337513"/>
      <w:r w:rsidRPr="00667FF5">
        <w:rPr>
          <w:rFonts w:ascii="Verdana" w:hAnsi="Verdana"/>
          <w:color w:val="auto"/>
          <w:sz w:val="20"/>
          <w:szCs w:val="20"/>
          <w:lang w:val="es-CR"/>
        </w:rPr>
        <w:t>CONSIDERACIONES PREVIAS</w:t>
      </w:r>
      <w:bookmarkEnd w:id="22"/>
      <w:bookmarkEnd w:id="23"/>
    </w:p>
    <w:p w14:paraId="231F71EB" w14:textId="77777777" w:rsidR="009805F2" w:rsidRPr="00080856" w:rsidRDefault="009805F2" w:rsidP="009805F2">
      <w:pPr>
        <w:pStyle w:val="Prrafodelista"/>
        <w:spacing w:after="0" w:line="240" w:lineRule="auto"/>
        <w:ind w:left="0" w:right="6"/>
        <w:jc w:val="both"/>
        <w:rPr>
          <w:rFonts w:ascii="Verdana" w:eastAsia="Batang" w:hAnsi="Verdana" w:cs="Times"/>
          <w:i/>
          <w:sz w:val="20"/>
          <w:szCs w:val="20"/>
          <w:lang w:val="es-CR" w:eastAsia="es-CR"/>
        </w:rPr>
      </w:pPr>
    </w:p>
    <w:p w14:paraId="086202A4" w14:textId="104FAB90" w:rsidR="009805F2" w:rsidRPr="00080856" w:rsidRDefault="009805F2" w:rsidP="009805F2">
      <w:pPr>
        <w:pStyle w:val="Prrafodelista"/>
        <w:numPr>
          <w:ilvl w:val="0"/>
          <w:numId w:val="1"/>
        </w:numPr>
        <w:spacing w:after="0" w:line="240" w:lineRule="auto"/>
        <w:ind w:left="0" w:right="6" w:hanging="11"/>
        <w:jc w:val="both"/>
        <w:rPr>
          <w:rFonts w:ascii="Verdana" w:eastAsia="Batang" w:hAnsi="Verdana" w:cs="Times"/>
          <w:i/>
          <w:sz w:val="20"/>
          <w:szCs w:val="20"/>
          <w:lang w:val="es-CR" w:eastAsia="es-CR"/>
        </w:rPr>
      </w:pPr>
      <w:r w:rsidRPr="00080856">
        <w:rPr>
          <w:rFonts w:ascii="Verdana" w:hAnsi="Verdana"/>
          <w:sz w:val="20"/>
          <w:szCs w:val="20"/>
          <w:lang w:val="es-CR"/>
        </w:rPr>
        <w:t xml:space="preserve">A continuación se efectúan, </w:t>
      </w:r>
      <w:r w:rsidR="00A95B2D">
        <w:rPr>
          <w:rFonts w:ascii="Verdana" w:hAnsi="Verdana"/>
          <w:sz w:val="20"/>
          <w:szCs w:val="20"/>
          <w:lang w:val="es-CR"/>
        </w:rPr>
        <w:t>de</w:t>
      </w:r>
      <w:r w:rsidRPr="00080856">
        <w:rPr>
          <w:rFonts w:ascii="Verdana" w:hAnsi="Verdana"/>
          <w:sz w:val="20"/>
          <w:szCs w:val="20"/>
          <w:lang w:val="es-CR"/>
        </w:rPr>
        <w:t xml:space="preserve"> forma previa a</w:t>
      </w:r>
      <w:r>
        <w:rPr>
          <w:rFonts w:ascii="Verdana" w:hAnsi="Verdana"/>
          <w:sz w:val="20"/>
          <w:szCs w:val="20"/>
          <w:lang w:val="es-CR"/>
        </w:rPr>
        <w:t xml:space="preserve"> dar cuenta de la prueba recibida</w:t>
      </w:r>
      <w:r w:rsidR="00A95B2D">
        <w:rPr>
          <w:rFonts w:ascii="Verdana" w:hAnsi="Verdana"/>
          <w:sz w:val="20"/>
          <w:szCs w:val="20"/>
          <w:lang w:val="es-CR"/>
        </w:rPr>
        <w:t>,</w:t>
      </w:r>
      <w:r>
        <w:rPr>
          <w:rFonts w:ascii="Verdana" w:hAnsi="Verdana"/>
          <w:sz w:val="20"/>
          <w:szCs w:val="20"/>
          <w:lang w:val="es-CR"/>
        </w:rPr>
        <w:t xml:space="preserve"> los hechos del caso</w:t>
      </w:r>
      <w:r w:rsidR="00A95B2D">
        <w:rPr>
          <w:rFonts w:ascii="Verdana" w:hAnsi="Verdana"/>
          <w:sz w:val="20"/>
          <w:szCs w:val="20"/>
          <w:lang w:val="es-CR"/>
        </w:rPr>
        <w:t xml:space="preserve"> y e</w:t>
      </w:r>
      <w:r w:rsidRPr="00080856">
        <w:rPr>
          <w:rFonts w:ascii="Verdana" w:hAnsi="Verdana"/>
          <w:sz w:val="20"/>
          <w:szCs w:val="20"/>
          <w:lang w:val="es-CR"/>
        </w:rPr>
        <w:t xml:space="preserve">l examen de fondo sobre el </w:t>
      </w:r>
      <w:r>
        <w:rPr>
          <w:rFonts w:ascii="Verdana" w:hAnsi="Verdana"/>
          <w:sz w:val="20"/>
          <w:szCs w:val="20"/>
          <w:lang w:val="es-CR"/>
        </w:rPr>
        <w:t>mismo</w:t>
      </w:r>
      <w:r w:rsidRPr="00080856">
        <w:rPr>
          <w:rFonts w:ascii="Verdana" w:hAnsi="Verdana"/>
          <w:sz w:val="20"/>
          <w:szCs w:val="20"/>
          <w:lang w:val="es-CR"/>
        </w:rPr>
        <w:t>, consideraciones sobre</w:t>
      </w:r>
      <w:r>
        <w:rPr>
          <w:rFonts w:ascii="Verdana" w:hAnsi="Verdana"/>
          <w:sz w:val="20"/>
          <w:szCs w:val="20"/>
          <w:lang w:val="es-CR"/>
        </w:rPr>
        <w:t>:</w:t>
      </w:r>
      <w:r w:rsidRPr="00080856">
        <w:rPr>
          <w:rFonts w:ascii="Verdana" w:hAnsi="Verdana"/>
          <w:sz w:val="20"/>
          <w:szCs w:val="20"/>
          <w:lang w:val="es-CR"/>
        </w:rPr>
        <w:t xml:space="preserve"> a) la oposición del Estado a que la Corte conozca hechos posteriores al 26 de enero de 2012 y b) la determinación de las presuntas víctimas. </w:t>
      </w:r>
    </w:p>
    <w:p w14:paraId="330BFEE2" w14:textId="77777777" w:rsidR="009805F2" w:rsidRDefault="009805F2" w:rsidP="009805F2">
      <w:pPr>
        <w:tabs>
          <w:tab w:val="center" w:pos="4419"/>
          <w:tab w:val="left" w:pos="6330"/>
        </w:tabs>
        <w:spacing w:after="0" w:line="240" w:lineRule="auto"/>
        <w:rPr>
          <w:rFonts w:ascii="Verdana" w:hAnsi="Verdana"/>
          <w:b/>
          <w:sz w:val="20"/>
          <w:szCs w:val="20"/>
        </w:rPr>
      </w:pPr>
    </w:p>
    <w:p w14:paraId="6E3DEB81" w14:textId="77777777" w:rsidR="009805F2" w:rsidRPr="00667FF5" w:rsidRDefault="009805F2" w:rsidP="009805F2">
      <w:pPr>
        <w:pStyle w:val="Prrafodelista"/>
        <w:tabs>
          <w:tab w:val="center" w:pos="4419"/>
          <w:tab w:val="left" w:pos="6330"/>
        </w:tabs>
        <w:spacing w:after="0" w:line="240" w:lineRule="auto"/>
        <w:ind w:left="284"/>
        <w:outlineLvl w:val="1"/>
        <w:rPr>
          <w:rFonts w:ascii="Verdana" w:hAnsi="Verdana"/>
          <w:b/>
          <w:i/>
          <w:sz w:val="20"/>
          <w:szCs w:val="20"/>
          <w:lang w:val="es-CR"/>
        </w:rPr>
      </w:pPr>
      <w:bookmarkStart w:id="24" w:name="_Toc32218816"/>
      <w:bookmarkStart w:id="25" w:name="_Toc32227085"/>
      <w:bookmarkStart w:id="26" w:name="_Toc34337514"/>
      <w:r w:rsidRPr="00667FF5">
        <w:rPr>
          <w:rFonts w:ascii="Verdana" w:hAnsi="Verdana"/>
          <w:b/>
          <w:i/>
          <w:sz w:val="20"/>
          <w:szCs w:val="20"/>
          <w:lang w:val="es-CR"/>
        </w:rPr>
        <w:t xml:space="preserve">A) </w:t>
      </w:r>
      <w:r w:rsidRPr="00667FF5">
        <w:rPr>
          <w:rFonts w:ascii="Verdana" w:hAnsi="Verdana"/>
          <w:b/>
          <w:i/>
          <w:sz w:val="20"/>
          <w:szCs w:val="20"/>
          <w:u w:val="single"/>
          <w:lang w:val="es-CR"/>
        </w:rPr>
        <w:t>Sobre los hechos posteriores al 26 de enero de 2012</w:t>
      </w:r>
      <w:bookmarkEnd w:id="24"/>
      <w:bookmarkEnd w:id="25"/>
      <w:bookmarkEnd w:id="26"/>
    </w:p>
    <w:p w14:paraId="5880B809" w14:textId="77777777" w:rsidR="009805F2" w:rsidRDefault="009805F2" w:rsidP="009805F2">
      <w:pPr>
        <w:tabs>
          <w:tab w:val="center" w:pos="4419"/>
          <w:tab w:val="left" w:pos="6330"/>
        </w:tabs>
        <w:spacing w:after="0" w:line="240" w:lineRule="auto"/>
        <w:rPr>
          <w:rFonts w:ascii="Verdana" w:hAnsi="Verdana"/>
          <w:b/>
          <w:sz w:val="20"/>
          <w:szCs w:val="20"/>
        </w:rPr>
      </w:pPr>
    </w:p>
    <w:p w14:paraId="5D211AFE" w14:textId="77777777" w:rsidR="009805F2" w:rsidRPr="002A21F3" w:rsidRDefault="009805F2" w:rsidP="009805F2">
      <w:pPr>
        <w:pStyle w:val="Ttulo3"/>
        <w:spacing w:line="240" w:lineRule="auto"/>
        <w:ind w:left="567"/>
        <w:rPr>
          <w:rFonts w:ascii="Verdana" w:hAnsi="Verdana"/>
          <w:b/>
          <w:i/>
          <w:sz w:val="20"/>
          <w:szCs w:val="20"/>
        </w:rPr>
      </w:pPr>
      <w:bookmarkStart w:id="27" w:name="_Toc32218817"/>
      <w:bookmarkStart w:id="28" w:name="_Toc32227086"/>
      <w:bookmarkStart w:id="29" w:name="_Toc34337515"/>
      <w:r w:rsidRPr="002A21F3">
        <w:rPr>
          <w:rFonts w:ascii="Verdana" w:hAnsi="Verdana"/>
          <w:b/>
          <w:i/>
          <w:color w:val="auto"/>
          <w:sz w:val="20"/>
          <w:szCs w:val="20"/>
        </w:rPr>
        <w:t>A.1 Alegatos de las partes y la Comisión</w:t>
      </w:r>
      <w:bookmarkEnd w:id="27"/>
      <w:bookmarkEnd w:id="28"/>
      <w:bookmarkEnd w:id="29"/>
    </w:p>
    <w:p w14:paraId="5A15676D" w14:textId="77777777" w:rsidR="009805F2" w:rsidRPr="00AA551F" w:rsidRDefault="009805F2" w:rsidP="009805F2">
      <w:pPr>
        <w:pStyle w:val="Prrafodelista"/>
        <w:spacing w:after="0" w:line="240" w:lineRule="auto"/>
        <w:ind w:left="0" w:right="6"/>
        <w:jc w:val="both"/>
        <w:rPr>
          <w:rFonts w:ascii="Verdana" w:eastAsia="Batang" w:hAnsi="Verdana" w:cs="Times"/>
          <w:i/>
          <w:sz w:val="20"/>
          <w:szCs w:val="20"/>
          <w:u w:val="single"/>
          <w:lang w:val="es-CR" w:eastAsia="es-CR"/>
        </w:rPr>
      </w:pPr>
    </w:p>
    <w:p w14:paraId="022DA2AF" w14:textId="2DC6014A" w:rsidR="009805F2" w:rsidRPr="00E00E6E" w:rsidRDefault="009805F2" w:rsidP="009805F2">
      <w:pPr>
        <w:pStyle w:val="Prrafodelista"/>
        <w:numPr>
          <w:ilvl w:val="0"/>
          <w:numId w:val="1"/>
        </w:numPr>
        <w:spacing w:after="0" w:line="240" w:lineRule="auto"/>
        <w:ind w:left="0" w:right="6" w:hanging="11"/>
        <w:jc w:val="both"/>
        <w:rPr>
          <w:rFonts w:ascii="Verdana" w:eastAsia="Batang" w:hAnsi="Verdana" w:cs="Times"/>
          <w:i/>
          <w:sz w:val="20"/>
          <w:szCs w:val="20"/>
          <w:lang w:val="es-CR" w:eastAsia="es-CR"/>
        </w:rPr>
      </w:pPr>
      <w:r w:rsidRPr="00524A19">
        <w:rPr>
          <w:rFonts w:ascii="Verdana" w:hAnsi="Verdana"/>
          <w:sz w:val="20"/>
          <w:szCs w:val="20"/>
          <w:lang w:val="es-CR"/>
        </w:rPr>
        <w:t xml:space="preserve">El </w:t>
      </w:r>
      <w:r w:rsidRPr="00524A19">
        <w:rPr>
          <w:rFonts w:ascii="Verdana" w:hAnsi="Verdana"/>
          <w:b/>
          <w:i/>
          <w:sz w:val="20"/>
          <w:szCs w:val="20"/>
          <w:lang w:val="es-CR"/>
        </w:rPr>
        <w:t>Estado</w:t>
      </w:r>
      <w:r w:rsidRPr="00524A19">
        <w:rPr>
          <w:rFonts w:ascii="Verdana" w:hAnsi="Verdana"/>
          <w:sz w:val="20"/>
          <w:szCs w:val="20"/>
          <w:lang w:val="es-CR"/>
        </w:rPr>
        <w:t xml:space="preserve"> </w:t>
      </w:r>
      <w:r w:rsidRPr="00507629">
        <w:rPr>
          <w:rFonts w:ascii="Verdana" w:hAnsi="Verdana"/>
          <w:sz w:val="20"/>
          <w:szCs w:val="20"/>
          <w:lang w:val="es-CR"/>
        </w:rPr>
        <w:t>adujo, denominando su argumento “excepción preliminar”,</w:t>
      </w:r>
      <w:r>
        <w:rPr>
          <w:rFonts w:ascii="Verdana" w:hAnsi="Verdana"/>
          <w:sz w:val="20"/>
          <w:szCs w:val="20"/>
          <w:lang w:val="es-CR"/>
        </w:rPr>
        <w:t xml:space="preserve"> </w:t>
      </w:r>
      <w:r w:rsidRPr="00524A19">
        <w:rPr>
          <w:rFonts w:ascii="Verdana" w:hAnsi="Verdana"/>
          <w:sz w:val="20"/>
          <w:szCs w:val="20"/>
          <w:lang w:val="es-CR"/>
        </w:rPr>
        <w:t>la “incompetencia” de la Corte en relación con hechos posteriores al 26 de enero de 2012, fecha en que se adoptó el Informe de Fondo N</w:t>
      </w:r>
      <w:r w:rsidR="004A6AF0">
        <w:rPr>
          <w:rFonts w:ascii="Verdana" w:hAnsi="Verdana"/>
          <w:sz w:val="20"/>
          <w:szCs w:val="20"/>
          <w:lang w:val="es-CR"/>
        </w:rPr>
        <w:t>o.</w:t>
      </w:r>
      <w:r w:rsidRPr="00524A19">
        <w:rPr>
          <w:rFonts w:ascii="Verdana" w:hAnsi="Verdana"/>
          <w:sz w:val="20"/>
          <w:szCs w:val="20"/>
          <w:lang w:val="es-CR"/>
        </w:rPr>
        <w:t xml:space="preserve"> 2/12. Expresó que respecto a tales hechos no se agotaron</w:t>
      </w:r>
      <w:r w:rsidR="004A6AF0">
        <w:rPr>
          <w:rFonts w:ascii="Verdana" w:hAnsi="Verdana"/>
          <w:sz w:val="20"/>
          <w:szCs w:val="20"/>
          <w:lang w:val="es-CR"/>
        </w:rPr>
        <w:t xml:space="preserve"> los </w:t>
      </w:r>
      <w:r w:rsidRPr="00524A19">
        <w:rPr>
          <w:rFonts w:ascii="Verdana" w:hAnsi="Verdana"/>
          <w:sz w:val="20"/>
          <w:szCs w:val="20"/>
          <w:lang w:val="es-CR"/>
        </w:rPr>
        <w:t xml:space="preserve">recursos internos. </w:t>
      </w:r>
    </w:p>
    <w:p w14:paraId="2BC6BE23" w14:textId="77777777" w:rsidR="009805F2" w:rsidRPr="00E00E6E" w:rsidRDefault="009805F2" w:rsidP="009805F2">
      <w:pPr>
        <w:pStyle w:val="Prrafodelista"/>
        <w:spacing w:after="0" w:line="240" w:lineRule="auto"/>
        <w:ind w:left="0" w:right="6"/>
        <w:jc w:val="both"/>
        <w:rPr>
          <w:rFonts w:ascii="Verdana" w:eastAsia="Batang" w:hAnsi="Verdana" w:cs="Times"/>
          <w:i/>
          <w:sz w:val="20"/>
          <w:szCs w:val="20"/>
          <w:lang w:val="es-CR" w:eastAsia="es-CR"/>
        </w:rPr>
      </w:pPr>
    </w:p>
    <w:p w14:paraId="0278FECA" w14:textId="44E0836E" w:rsidR="009805F2" w:rsidRPr="00E00E6E" w:rsidRDefault="009805F2" w:rsidP="009805F2">
      <w:pPr>
        <w:pStyle w:val="Prrafodelista"/>
        <w:numPr>
          <w:ilvl w:val="0"/>
          <w:numId w:val="1"/>
        </w:numPr>
        <w:spacing w:after="0" w:line="240" w:lineRule="auto"/>
        <w:ind w:left="0" w:right="6" w:hanging="11"/>
        <w:jc w:val="both"/>
        <w:rPr>
          <w:rFonts w:ascii="Verdana" w:eastAsia="Batang" w:hAnsi="Verdana" w:cs="Times"/>
          <w:i/>
          <w:sz w:val="20"/>
          <w:szCs w:val="20"/>
          <w:lang w:val="es-CR" w:eastAsia="es-CR"/>
        </w:rPr>
      </w:pPr>
      <w:r>
        <w:rPr>
          <w:rFonts w:ascii="Verdana" w:hAnsi="Verdana"/>
          <w:sz w:val="20"/>
          <w:szCs w:val="20"/>
          <w:lang w:val="es-CR"/>
        </w:rPr>
        <w:t xml:space="preserve">Argentina </w:t>
      </w:r>
      <w:r w:rsidRPr="00524A19">
        <w:rPr>
          <w:rFonts w:ascii="Verdana" w:hAnsi="Verdana"/>
          <w:sz w:val="20"/>
          <w:szCs w:val="20"/>
          <w:lang w:val="es-CR"/>
        </w:rPr>
        <w:t>hizo tal consideración en términos generales,</w:t>
      </w:r>
      <w:r>
        <w:rPr>
          <w:rFonts w:ascii="Verdana" w:hAnsi="Verdana"/>
          <w:sz w:val="20"/>
          <w:szCs w:val="20"/>
          <w:lang w:val="es-CR"/>
        </w:rPr>
        <w:t xml:space="preserve"> refiriéndose a todos los hechos sucedidos después de la fecha indicada. Sin perjuicio de ello,</w:t>
      </w:r>
      <w:r w:rsidRPr="00524A19">
        <w:rPr>
          <w:rFonts w:ascii="Verdana" w:hAnsi="Verdana"/>
          <w:sz w:val="20"/>
          <w:szCs w:val="20"/>
          <w:lang w:val="es-CR"/>
        </w:rPr>
        <w:t xml:space="preserve"> mencion</w:t>
      </w:r>
      <w:r>
        <w:rPr>
          <w:rFonts w:ascii="Verdana" w:hAnsi="Verdana"/>
          <w:sz w:val="20"/>
          <w:szCs w:val="20"/>
          <w:lang w:val="es-CR"/>
        </w:rPr>
        <w:t>ó</w:t>
      </w:r>
      <w:r w:rsidRPr="00524A19">
        <w:rPr>
          <w:rFonts w:ascii="Verdana" w:hAnsi="Verdana"/>
          <w:sz w:val="20"/>
          <w:szCs w:val="20"/>
          <w:lang w:val="es-CR"/>
        </w:rPr>
        <w:t xml:space="preserve"> algunos hechos a título de “ejemplo”</w:t>
      </w:r>
      <w:r>
        <w:rPr>
          <w:rFonts w:ascii="Verdana" w:hAnsi="Verdana"/>
          <w:sz w:val="20"/>
          <w:szCs w:val="20"/>
          <w:lang w:val="es-CR"/>
        </w:rPr>
        <w:t>. Lo hizo aludiendo a</w:t>
      </w:r>
      <w:r>
        <w:rPr>
          <w:sz w:val="16"/>
          <w:szCs w:val="16"/>
          <w:lang w:val="es-CR"/>
        </w:rPr>
        <w:t xml:space="preserve"> </w:t>
      </w:r>
      <w:r w:rsidRPr="00E00E6E">
        <w:rPr>
          <w:rFonts w:ascii="Verdana" w:hAnsi="Verdana"/>
          <w:sz w:val="20"/>
          <w:szCs w:val="20"/>
          <w:lang w:val="es-CR"/>
        </w:rPr>
        <w:t>alegatos de los representantes que, a su vez, se refieren a tales hechos. Las circunstancias fácticas que de ese modo señaló el Estado son las siguiente</w:t>
      </w:r>
      <w:r>
        <w:rPr>
          <w:rFonts w:ascii="Verdana" w:hAnsi="Verdana"/>
          <w:sz w:val="20"/>
          <w:szCs w:val="20"/>
          <w:lang w:val="es-CR"/>
        </w:rPr>
        <w:t>s</w:t>
      </w:r>
      <w:r w:rsidRPr="00E00E6E">
        <w:rPr>
          <w:rFonts w:ascii="Verdana" w:hAnsi="Verdana"/>
          <w:sz w:val="20"/>
          <w:szCs w:val="20"/>
          <w:lang w:val="es-CR"/>
        </w:rPr>
        <w:t xml:space="preserve">: 1.- </w:t>
      </w:r>
      <w:r>
        <w:rPr>
          <w:rFonts w:ascii="Verdana" w:hAnsi="Verdana"/>
          <w:sz w:val="20"/>
          <w:szCs w:val="20"/>
          <w:lang w:val="es-CR"/>
        </w:rPr>
        <w:t xml:space="preserve">emisión del </w:t>
      </w:r>
      <w:r w:rsidRPr="00E00E6E">
        <w:rPr>
          <w:rFonts w:ascii="Verdana" w:hAnsi="Verdana"/>
          <w:sz w:val="20"/>
          <w:szCs w:val="20"/>
          <w:lang w:val="es-CR"/>
        </w:rPr>
        <w:t xml:space="preserve">Decreto 2398/12, publicado el 25 de julio de 2012, relacionado con la adjudicación de tierra; 2.- </w:t>
      </w:r>
      <w:r>
        <w:rPr>
          <w:rFonts w:ascii="Verdana" w:hAnsi="Verdana"/>
          <w:sz w:val="20"/>
          <w:szCs w:val="20"/>
          <w:lang w:val="es-CR"/>
        </w:rPr>
        <w:t xml:space="preserve">adopción en 2013 del </w:t>
      </w:r>
      <w:r w:rsidRPr="00E00E6E">
        <w:rPr>
          <w:rFonts w:ascii="Verdana" w:hAnsi="Verdana"/>
          <w:sz w:val="20"/>
          <w:szCs w:val="20"/>
          <w:lang w:val="es-CR"/>
        </w:rPr>
        <w:t>Protocolo Adicional de vinculación entre el Instituto Nacional de Asuntos Indígenas</w:t>
      </w:r>
      <w:r>
        <w:rPr>
          <w:rFonts w:ascii="Verdana" w:hAnsi="Verdana"/>
          <w:sz w:val="20"/>
          <w:szCs w:val="20"/>
          <w:lang w:val="es-CR"/>
        </w:rPr>
        <w:t xml:space="preserve"> (INAI)</w:t>
      </w:r>
      <w:r w:rsidRPr="00E00E6E">
        <w:rPr>
          <w:rFonts w:ascii="Verdana" w:hAnsi="Verdana"/>
          <w:sz w:val="20"/>
          <w:szCs w:val="20"/>
          <w:lang w:val="es-CR"/>
        </w:rPr>
        <w:t xml:space="preserve"> y la Unidad Ejecutora Provincial</w:t>
      </w:r>
      <w:r>
        <w:rPr>
          <w:rFonts w:ascii="Verdana" w:hAnsi="Verdana"/>
          <w:sz w:val="20"/>
          <w:szCs w:val="20"/>
          <w:lang w:val="es-CR"/>
        </w:rPr>
        <w:t xml:space="preserve"> (UEP)</w:t>
      </w:r>
      <w:r w:rsidRPr="00E00E6E">
        <w:rPr>
          <w:rFonts w:ascii="Verdana" w:hAnsi="Verdana"/>
          <w:sz w:val="20"/>
          <w:szCs w:val="20"/>
          <w:lang w:val="es-CR"/>
        </w:rPr>
        <w:t xml:space="preserve">, refrendado por el Decreto 2001/13, que preveía un “plan de trabajo” relacionado con la distribución del territorio; 3.- </w:t>
      </w:r>
      <w:r>
        <w:rPr>
          <w:rFonts w:ascii="Verdana" w:hAnsi="Verdana"/>
          <w:sz w:val="20"/>
          <w:szCs w:val="20"/>
          <w:lang w:val="es-CR"/>
        </w:rPr>
        <w:t xml:space="preserve">emisión en 2014 del </w:t>
      </w:r>
      <w:r w:rsidRPr="00E00E6E">
        <w:rPr>
          <w:rFonts w:ascii="Verdana" w:hAnsi="Verdana"/>
          <w:sz w:val="20"/>
          <w:szCs w:val="20"/>
          <w:lang w:val="es-CR"/>
        </w:rPr>
        <w:t xml:space="preserve">Decreto 1498/14, que “reconoce y transfiere” propiedad; 4.- </w:t>
      </w:r>
      <w:r>
        <w:rPr>
          <w:rFonts w:ascii="Verdana" w:hAnsi="Verdana"/>
          <w:sz w:val="20"/>
          <w:szCs w:val="20"/>
          <w:lang w:val="es-CR"/>
        </w:rPr>
        <w:t xml:space="preserve">realización de </w:t>
      </w:r>
      <w:r w:rsidRPr="00E00E6E">
        <w:rPr>
          <w:rFonts w:ascii="Verdana" w:hAnsi="Verdana"/>
          <w:sz w:val="20"/>
          <w:szCs w:val="20"/>
          <w:lang w:val="es-CR"/>
        </w:rPr>
        <w:t>reuniones entre funcionarios</w:t>
      </w:r>
      <w:r>
        <w:rPr>
          <w:rFonts w:ascii="Verdana" w:hAnsi="Verdana"/>
          <w:sz w:val="20"/>
          <w:szCs w:val="20"/>
          <w:lang w:val="es-CR"/>
        </w:rPr>
        <w:t xml:space="preserve"> los días</w:t>
      </w:r>
      <w:r w:rsidRPr="00E00E6E">
        <w:rPr>
          <w:rFonts w:ascii="Verdana" w:hAnsi="Verdana"/>
          <w:sz w:val="20"/>
          <w:szCs w:val="20"/>
          <w:lang w:val="es-CR"/>
        </w:rPr>
        <w:t xml:space="preserve"> 23 de junio (o julio) y 11 de julio de 2012, en las que se habría señalado la necesidad de personería jurídica de comunidades para instrumentar la propiedad comunitaria; 5.- </w:t>
      </w:r>
      <w:r>
        <w:rPr>
          <w:rFonts w:ascii="Verdana" w:hAnsi="Verdana"/>
          <w:sz w:val="20"/>
          <w:szCs w:val="20"/>
          <w:lang w:val="es-CR"/>
        </w:rPr>
        <w:t xml:space="preserve">acaecimiento de </w:t>
      </w:r>
      <w:r w:rsidRPr="00E00E6E">
        <w:rPr>
          <w:rFonts w:ascii="Verdana" w:hAnsi="Verdana"/>
          <w:sz w:val="20"/>
          <w:szCs w:val="20"/>
          <w:lang w:val="es-CR"/>
        </w:rPr>
        <w:t xml:space="preserve">“episodios” de “mediados de 2015” y fines de 2016 en los que, respectivamente, un agrimensor habría pretendido ignorar un mapa elaborado por integrantes de comunidades indígenas </w:t>
      </w:r>
      <w:r>
        <w:rPr>
          <w:rFonts w:ascii="Verdana" w:hAnsi="Verdana"/>
          <w:sz w:val="20"/>
          <w:szCs w:val="20"/>
          <w:lang w:val="es-CR"/>
        </w:rPr>
        <w:t xml:space="preserve">y </w:t>
      </w:r>
      <w:r w:rsidRPr="00E00E6E">
        <w:rPr>
          <w:rFonts w:ascii="Verdana" w:hAnsi="Verdana"/>
          <w:sz w:val="20"/>
          <w:szCs w:val="20"/>
          <w:lang w:val="es-CR"/>
        </w:rPr>
        <w:t>en los que la U</w:t>
      </w:r>
      <w:r>
        <w:rPr>
          <w:rFonts w:ascii="Verdana" w:hAnsi="Verdana"/>
          <w:sz w:val="20"/>
          <w:szCs w:val="20"/>
          <w:lang w:val="es-CR"/>
        </w:rPr>
        <w:t>EP</w:t>
      </w:r>
      <w:r w:rsidRPr="00E00E6E">
        <w:rPr>
          <w:rFonts w:ascii="Verdana" w:hAnsi="Verdana"/>
          <w:sz w:val="20"/>
          <w:szCs w:val="20"/>
          <w:lang w:val="es-CR"/>
        </w:rPr>
        <w:t xml:space="preserve"> habría realizado trabajos sin garantizar la participación de comunidades indígenas; </w:t>
      </w:r>
      <w:r>
        <w:rPr>
          <w:rFonts w:ascii="Verdana" w:hAnsi="Verdana"/>
          <w:sz w:val="20"/>
          <w:szCs w:val="20"/>
          <w:lang w:val="es-CR"/>
        </w:rPr>
        <w:t>6.- la adopción del</w:t>
      </w:r>
      <w:r w:rsidRPr="00E00E6E">
        <w:rPr>
          <w:rFonts w:ascii="Verdana" w:hAnsi="Verdana"/>
          <w:sz w:val="20"/>
          <w:szCs w:val="20"/>
          <w:lang w:val="es-CR"/>
        </w:rPr>
        <w:t xml:space="preserve"> “Proyecto del Gasoducto del Noreste Argentin[o] (GNEA)”, del cual los representante</w:t>
      </w:r>
      <w:r w:rsidRPr="00DF1CA9">
        <w:rPr>
          <w:rFonts w:ascii="Verdana" w:hAnsi="Verdana"/>
          <w:sz w:val="20"/>
          <w:szCs w:val="20"/>
          <w:lang w:val="es-CR"/>
        </w:rPr>
        <w:t>s</w:t>
      </w:r>
      <w:r w:rsidRPr="00E00E6E">
        <w:rPr>
          <w:rFonts w:ascii="Verdana" w:hAnsi="Verdana"/>
          <w:sz w:val="20"/>
          <w:szCs w:val="20"/>
          <w:lang w:val="es-CR"/>
        </w:rPr>
        <w:t xml:space="preserve"> indican haber tomado conocimiento en 2014, aprobado </w:t>
      </w:r>
      <w:r>
        <w:rPr>
          <w:rFonts w:ascii="Verdana" w:hAnsi="Verdana"/>
          <w:sz w:val="20"/>
          <w:szCs w:val="20"/>
          <w:lang w:val="es-CR"/>
        </w:rPr>
        <w:t xml:space="preserve">en 2015 </w:t>
      </w:r>
      <w:r w:rsidRPr="00E00E6E">
        <w:rPr>
          <w:rFonts w:ascii="Verdana" w:hAnsi="Verdana"/>
          <w:sz w:val="20"/>
          <w:szCs w:val="20"/>
          <w:lang w:val="es-CR"/>
        </w:rPr>
        <w:t xml:space="preserve">por la Resolución provincial 16/15, y los posteriores “intentos” por detenerlo, y 7.- </w:t>
      </w:r>
      <w:r>
        <w:rPr>
          <w:rFonts w:ascii="Verdana" w:hAnsi="Verdana"/>
          <w:sz w:val="20"/>
          <w:szCs w:val="20"/>
          <w:lang w:val="es-CR"/>
        </w:rPr>
        <w:t xml:space="preserve">los </w:t>
      </w:r>
      <w:r w:rsidRPr="00E00E6E">
        <w:rPr>
          <w:rFonts w:ascii="Verdana" w:hAnsi="Verdana"/>
          <w:sz w:val="20"/>
          <w:szCs w:val="20"/>
          <w:lang w:val="es-CR"/>
        </w:rPr>
        <w:t>aducidos “inte</w:t>
      </w:r>
      <w:r w:rsidR="0057581E">
        <w:rPr>
          <w:rFonts w:ascii="Verdana" w:hAnsi="Verdana"/>
          <w:sz w:val="20"/>
          <w:szCs w:val="20"/>
          <w:lang w:val="es-CR"/>
        </w:rPr>
        <w:t>ntos de urbanización en Rancho E</w:t>
      </w:r>
      <w:r w:rsidRPr="00E00E6E">
        <w:rPr>
          <w:rFonts w:ascii="Verdana" w:hAnsi="Verdana"/>
          <w:sz w:val="20"/>
          <w:szCs w:val="20"/>
          <w:lang w:val="es-CR"/>
        </w:rPr>
        <w:t xml:space="preserve">l Ñato”, de los que </w:t>
      </w:r>
      <w:r>
        <w:rPr>
          <w:rFonts w:ascii="Verdana" w:hAnsi="Verdana"/>
          <w:sz w:val="20"/>
          <w:szCs w:val="20"/>
          <w:lang w:val="es-CR"/>
        </w:rPr>
        <w:t xml:space="preserve">los representantes manifestaron </w:t>
      </w:r>
      <w:r w:rsidRPr="00E00E6E">
        <w:rPr>
          <w:rFonts w:ascii="Verdana" w:hAnsi="Verdana"/>
          <w:sz w:val="20"/>
          <w:szCs w:val="20"/>
          <w:lang w:val="es-CR"/>
        </w:rPr>
        <w:t>hab</w:t>
      </w:r>
      <w:r>
        <w:rPr>
          <w:rFonts w:ascii="Verdana" w:hAnsi="Verdana"/>
          <w:sz w:val="20"/>
          <w:szCs w:val="20"/>
          <w:lang w:val="es-CR"/>
        </w:rPr>
        <w:t>er</w:t>
      </w:r>
      <w:r w:rsidRPr="00E00E6E">
        <w:rPr>
          <w:rFonts w:ascii="Verdana" w:hAnsi="Verdana"/>
          <w:sz w:val="20"/>
          <w:szCs w:val="20"/>
          <w:lang w:val="es-CR"/>
        </w:rPr>
        <w:t xml:space="preserve"> tomado conocimiento a fines de 2016.</w:t>
      </w:r>
      <w:r w:rsidRPr="00E00E6E">
        <w:rPr>
          <w:rFonts w:ascii="Verdana" w:hAnsi="Verdana"/>
          <w:b/>
          <w:sz w:val="20"/>
          <w:szCs w:val="20"/>
          <w:lang w:val="es-CR"/>
        </w:rPr>
        <w:t xml:space="preserve"> </w:t>
      </w:r>
    </w:p>
    <w:p w14:paraId="76D34D18" w14:textId="77777777" w:rsidR="009805F2" w:rsidRPr="00E00E6E" w:rsidRDefault="009805F2" w:rsidP="009805F2">
      <w:pPr>
        <w:pStyle w:val="Prrafodelista"/>
        <w:spacing w:after="0" w:line="240" w:lineRule="auto"/>
        <w:ind w:left="0" w:right="6"/>
        <w:jc w:val="both"/>
        <w:rPr>
          <w:rFonts w:ascii="Verdana" w:eastAsia="Batang" w:hAnsi="Verdana" w:cs="Times"/>
          <w:i/>
          <w:sz w:val="20"/>
          <w:szCs w:val="20"/>
          <w:lang w:val="es-CR" w:eastAsia="es-CR"/>
        </w:rPr>
      </w:pPr>
    </w:p>
    <w:p w14:paraId="23417707" w14:textId="5DD35A48" w:rsidR="009805F2" w:rsidRPr="00E00E6E" w:rsidRDefault="009805F2" w:rsidP="009805F2">
      <w:pPr>
        <w:pStyle w:val="Prrafodelista"/>
        <w:numPr>
          <w:ilvl w:val="0"/>
          <w:numId w:val="1"/>
        </w:numPr>
        <w:spacing w:after="0" w:line="240" w:lineRule="auto"/>
        <w:ind w:left="0" w:right="6" w:hanging="11"/>
        <w:jc w:val="both"/>
        <w:rPr>
          <w:rFonts w:ascii="Verdana" w:eastAsia="Batang" w:hAnsi="Verdana" w:cs="Times"/>
          <w:i/>
          <w:sz w:val="20"/>
          <w:szCs w:val="20"/>
          <w:lang w:val="es-CR" w:eastAsia="es-CR"/>
        </w:rPr>
      </w:pPr>
      <w:r w:rsidRPr="00524A19">
        <w:rPr>
          <w:rFonts w:ascii="Verdana" w:hAnsi="Verdana"/>
          <w:sz w:val="20"/>
          <w:szCs w:val="20"/>
          <w:lang w:val="es-CR"/>
        </w:rPr>
        <w:t xml:space="preserve">Los </w:t>
      </w:r>
      <w:r w:rsidRPr="00524A19">
        <w:rPr>
          <w:rFonts w:ascii="Verdana" w:hAnsi="Verdana"/>
          <w:b/>
          <w:i/>
          <w:sz w:val="20"/>
          <w:szCs w:val="20"/>
          <w:lang w:val="es-CR"/>
        </w:rPr>
        <w:t>representantes</w:t>
      </w:r>
      <w:r w:rsidRPr="00524A19">
        <w:rPr>
          <w:rFonts w:ascii="Verdana" w:hAnsi="Verdana"/>
          <w:sz w:val="20"/>
          <w:szCs w:val="20"/>
          <w:lang w:val="es-CR"/>
        </w:rPr>
        <w:t xml:space="preserve"> indicaron que se deben analizar todos los hechos acontecidos </w:t>
      </w:r>
      <w:r w:rsidR="00A95B2D">
        <w:rPr>
          <w:rFonts w:ascii="Verdana" w:hAnsi="Verdana"/>
          <w:sz w:val="20"/>
          <w:szCs w:val="20"/>
          <w:lang w:val="es-CR"/>
        </w:rPr>
        <w:t>tras la</w:t>
      </w:r>
      <w:r w:rsidRPr="00524A19">
        <w:rPr>
          <w:rFonts w:ascii="Verdana" w:hAnsi="Verdana"/>
          <w:sz w:val="20"/>
          <w:szCs w:val="20"/>
          <w:lang w:val="es-CR"/>
        </w:rPr>
        <w:t xml:space="preserve"> emisión del Informe de Fondo, </w:t>
      </w:r>
      <w:r>
        <w:rPr>
          <w:rFonts w:ascii="Verdana" w:hAnsi="Verdana"/>
          <w:sz w:val="20"/>
          <w:szCs w:val="20"/>
          <w:lang w:val="es-CR"/>
        </w:rPr>
        <w:t>pues</w:t>
      </w:r>
      <w:r w:rsidRPr="00524A19">
        <w:rPr>
          <w:rFonts w:ascii="Verdana" w:hAnsi="Verdana"/>
          <w:sz w:val="20"/>
          <w:szCs w:val="20"/>
          <w:lang w:val="es-CR"/>
        </w:rPr>
        <w:t xml:space="preserve"> tienen relación “directa […] con lo expuesto en el</w:t>
      </w:r>
      <w:r>
        <w:rPr>
          <w:rFonts w:ascii="Verdana" w:hAnsi="Verdana"/>
          <w:sz w:val="20"/>
          <w:szCs w:val="20"/>
          <w:lang w:val="es-CR"/>
        </w:rPr>
        <w:t xml:space="preserve"> [mismo]”</w:t>
      </w:r>
      <w:r w:rsidRPr="00524A19">
        <w:rPr>
          <w:rFonts w:ascii="Verdana" w:hAnsi="Verdana"/>
          <w:sz w:val="20"/>
          <w:szCs w:val="20"/>
          <w:lang w:val="es-CR"/>
        </w:rPr>
        <w:t xml:space="preserve">. </w:t>
      </w:r>
    </w:p>
    <w:p w14:paraId="218001EA" w14:textId="77777777" w:rsidR="009805F2" w:rsidRPr="00E00E6E" w:rsidRDefault="009805F2" w:rsidP="009805F2">
      <w:pPr>
        <w:pStyle w:val="Prrafodelista"/>
        <w:spacing w:line="240" w:lineRule="auto"/>
        <w:rPr>
          <w:rFonts w:ascii="Verdana" w:hAnsi="Verdana"/>
          <w:sz w:val="20"/>
          <w:szCs w:val="20"/>
          <w:lang w:val="es-CR"/>
        </w:rPr>
      </w:pPr>
    </w:p>
    <w:p w14:paraId="46D63497" w14:textId="77777777" w:rsidR="009805F2" w:rsidRPr="00524A19" w:rsidRDefault="009805F2" w:rsidP="009805F2">
      <w:pPr>
        <w:pStyle w:val="Prrafodelista"/>
        <w:numPr>
          <w:ilvl w:val="0"/>
          <w:numId w:val="1"/>
        </w:numPr>
        <w:spacing w:after="0" w:line="240" w:lineRule="auto"/>
        <w:ind w:left="0" w:right="6" w:hanging="11"/>
        <w:jc w:val="both"/>
        <w:rPr>
          <w:rFonts w:ascii="Verdana" w:eastAsia="Batang" w:hAnsi="Verdana" w:cs="Times"/>
          <w:i/>
          <w:sz w:val="20"/>
          <w:szCs w:val="20"/>
          <w:lang w:val="es-CR" w:eastAsia="es-CR"/>
        </w:rPr>
      </w:pPr>
      <w:r w:rsidRPr="00524A19">
        <w:rPr>
          <w:rFonts w:ascii="Verdana" w:hAnsi="Verdana"/>
          <w:sz w:val="20"/>
          <w:szCs w:val="20"/>
          <w:lang w:val="es-CR"/>
        </w:rPr>
        <w:t xml:space="preserve">La </w:t>
      </w:r>
      <w:r w:rsidRPr="00524A19">
        <w:rPr>
          <w:rFonts w:ascii="Verdana" w:hAnsi="Verdana"/>
          <w:b/>
          <w:i/>
          <w:sz w:val="20"/>
          <w:szCs w:val="20"/>
          <w:lang w:val="es-CR"/>
        </w:rPr>
        <w:t>Comisión</w:t>
      </w:r>
      <w:r w:rsidRPr="00524A19">
        <w:rPr>
          <w:rFonts w:ascii="Verdana" w:hAnsi="Verdana"/>
          <w:sz w:val="20"/>
          <w:szCs w:val="20"/>
          <w:lang w:val="es-CR"/>
        </w:rPr>
        <w:t xml:space="preserve"> observó que </w:t>
      </w:r>
      <w:r>
        <w:rPr>
          <w:rFonts w:ascii="Verdana" w:hAnsi="Verdana"/>
          <w:sz w:val="20"/>
          <w:szCs w:val="20"/>
          <w:lang w:val="es-CR"/>
        </w:rPr>
        <w:t xml:space="preserve">lo </w:t>
      </w:r>
      <w:r w:rsidRPr="00524A19">
        <w:rPr>
          <w:rFonts w:ascii="Verdana" w:hAnsi="Verdana"/>
          <w:sz w:val="20"/>
          <w:szCs w:val="20"/>
          <w:lang w:val="es-CR"/>
        </w:rPr>
        <w:t xml:space="preserve">aducido por el Estado no constituye una excepción preliminar, </w:t>
      </w:r>
      <w:r>
        <w:rPr>
          <w:rFonts w:ascii="Verdana" w:hAnsi="Verdana"/>
          <w:sz w:val="20"/>
          <w:szCs w:val="20"/>
          <w:lang w:val="es-CR"/>
        </w:rPr>
        <w:t>dado que</w:t>
      </w:r>
      <w:r w:rsidRPr="00524A19">
        <w:rPr>
          <w:rFonts w:ascii="Verdana" w:hAnsi="Verdana"/>
          <w:sz w:val="20"/>
          <w:szCs w:val="20"/>
          <w:lang w:val="es-CR"/>
        </w:rPr>
        <w:t xml:space="preserve"> </w:t>
      </w:r>
      <w:r>
        <w:rPr>
          <w:rFonts w:ascii="Verdana" w:hAnsi="Verdana"/>
          <w:sz w:val="20"/>
          <w:szCs w:val="20"/>
          <w:lang w:val="es-CR"/>
        </w:rPr>
        <w:t>refiere a</w:t>
      </w:r>
      <w:r w:rsidRPr="00524A19">
        <w:rPr>
          <w:rFonts w:ascii="Verdana" w:hAnsi="Verdana"/>
          <w:sz w:val="20"/>
          <w:szCs w:val="20"/>
          <w:lang w:val="es-CR"/>
        </w:rPr>
        <w:t xml:space="preserve"> </w:t>
      </w:r>
      <w:r>
        <w:rPr>
          <w:rFonts w:ascii="Verdana" w:hAnsi="Verdana"/>
          <w:sz w:val="20"/>
          <w:szCs w:val="20"/>
          <w:lang w:val="es-CR"/>
        </w:rPr>
        <w:t xml:space="preserve">una cuestión de fondo: </w:t>
      </w:r>
      <w:r w:rsidRPr="00524A19">
        <w:rPr>
          <w:rFonts w:ascii="Verdana" w:hAnsi="Verdana"/>
          <w:sz w:val="20"/>
          <w:szCs w:val="20"/>
          <w:lang w:val="es-CR"/>
        </w:rPr>
        <w:t>el marco fáctico.</w:t>
      </w:r>
    </w:p>
    <w:p w14:paraId="22AC62BE" w14:textId="77777777" w:rsidR="009805F2" w:rsidRDefault="009805F2" w:rsidP="009805F2">
      <w:pPr>
        <w:pStyle w:val="Prrafodelista"/>
        <w:spacing w:after="0" w:line="240" w:lineRule="auto"/>
        <w:ind w:left="0" w:right="6"/>
        <w:jc w:val="both"/>
        <w:rPr>
          <w:rFonts w:ascii="Verdana" w:hAnsi="Verdana"/>
          <w:b/>
          <w:sz w:val="20"/>
          <w:szCs w:val="20"/>
          <w:lang w:val="es-CR"/>
        </w:rPr>
      </w:pPr>
    </w:p>
    <w:p w14:paraId="4A54DD5A" w14:textId="77777777" w:rsidR="009805F2" w:rsidRPr="002A21F3" w:rsidRDefault="009805F2" w:rsidP="009805F2">
      <w:pPr>
        <w:pStyle w:val="Ttulo3"/>
        <w:spacing w:before="0" w:line="240" w:lineRule="auto"/>
        <w:ind w:left="567"/>
        <w:rPr>
          <w:rFonts w:ascii="Verdana" w:hAnsi="Verdana"/>
          <w:b/>
          <w:i/>
          <w:color w:val="auto"/>
          <w:sz w:val="20"/>
          <w:szCs w:val="20"/>
        </w:rPr>
      </w:pPr>
      <w:bookmarkStart w:id="30" w:name="_Toc32227087"/>
      <w:bookmarkStart w:id="31" w:name="_Toc34337516"/>
      <w:r w:rsidRPr="002A21F3">
        <w:rPr>
          <w:rFonts w:ascii="Verdana" w:hAnsi="Verdana"/>
          <w:b/>
          <w:i/>
          <w:color w:val="auto"/>
          <w:sz w:val="20"/>
          <w:szCs w:val="20"/>
        </w:rPr>
        <w:t>A.2 Consideraciones de la Corte</w:t>
      </w:r>
      <w:bookmarkEnd w:id="30"/>
      <w:bookmarkEnd w:id="31"/>
    </w:p>
    <w:p w14:paraId="34BCA6BA" w14:textId="77777777" w:rsidR="009805F2" w:rsidRPr="00312FC0" w:rsidRDefault="009805F2" w:rsidP="009805F2">
      <w:pPr>
        <w:pStyle w:val="Prrafodelista"/>
        <w:spacing w:after="0" w:line="240" w:lineRule="auto"/>
        <w:ind w:left="0" w:right="6"/>
        <w:jc w:val="both"/>
        <w:rPr>
          <w:rFonts w:ascii="Verdana" w:eastAsia="Batang" w:hAnsi="Verdana" w:cs="Times"/>
          <w:i/>
          <w:sz w:val="20"/>
          <w:szCs w:val="20"/>
          <w:lang w:val="es-CR" w:eastAsia="es-CR"/>
        </w:rPr>
      </w:pPr>
    </w:p>
    <w:p w14:paraId="44551007" w14:textId="77777777" w:rsidR="009805F2" w:rsidRPr="00006C57" w:rsidRDefault="009805F2" w:rsidP="009805F2">
      <w:pPr>
        <w:pStyle w:val="Prrafodelista"/>
        <w:numPr>
          <w:ilvl w:val="0"/>
          <w:numId w:val="1"/>
        </w:numPr>
        <w:spacing w:after="0" w:line="240" w:lineRule="auto"/>
        <w:ind w:left="0" w:right="6" w:firstLine="0"/>
        <w:jc w:val="both"/>
        <w:rPr>
          <w:rFonts w:ascii="Verdana" w:eastAsia="Batang" w:hAnsi="Verdana" w:cs="Times"/>
          <w:i/>
          <w:sz w:val="20"/>
          <w:szCs w:val="20"/>
          <w:lang w:val="es-CR" w:eastAsia="es-CR"/>
        </w:rPr>
      </w:pPr>
      <w:r>
        <w:rPr>
          <w:rFonts w:ascii="Verdana" w:eastAsia="Batang" w:hAnsi="Verdana" w:cs="Times"/>
          <w:sz w:val="20"/>
          <w:szCs w:val="20"/>
          <w:lang w:val="es-CR" w:eastAsia="es-CR"/>
        </w:rPr>
        <w:t xml:space="preserve">Esta Corte advierte que la objeción estatal no se relaciona con la competencia de la Corte ni con requisitos de admisibilidad del caso en sí, sino con la determinación de su marco fáctico. </w:t>
      </w:r>
      <w:r w:rsidRPr="00D04054">
        <w:rPr>
          <w:rFonts w:ascii="Verdana" w:eastAsia="Batang" w:hAnsi="Verdana" w:cs="Times"/>
          <w:sz w:val="20"/>
          <w:szCs w:val="20"/>
          <w:lang w:val="es-CR" w:eastAsia="es-CR"/>
        </w:rPr>
        <w:t>Por ello, no configura una excepción preliminar</w:t>
      </w:r>
      <w:r>
        <w:rPr>
          <w:rFonts w:ascii="Verdana" w:eastAsia="Batang" w:hAnsi="Verdana" w:cs="Times"/>
          <w:sz w:val="20"/>
          <w:szCs w:val="20"/>
          <w:lang w:val="es-CR" w:eastAsia="es-CR"/>
        </w:rPr>
        <w:t xml:space="preserve">.  </w:t>
      </w:r>
    </w:p>
    <w:p w14:paraId="0E54A9F2" w14:textId="77777777" w:rsidR="009805F2" w:rsidRPr="00886AAE" w:rsidRDefault="009805F2" w:rsidP="009805F2">
      <w:pPr>
        <w:pStyle w:val="Prrafodelista"/>
        <w:spacing w:after="0" w:line="240" w:lineRule="auto"/>
        <w:ind w:left="0" w:right="6"/>
        <w:jc w:val="both"/>
        <w:rPr>
          <w:rFonts w:ascii="Verdana" w:eastAsia="Batang" w:hAnsi="Verdana" w:cs="Times"/>
          <w:i/>
          <w:sz w:val="20"/>
          <w:szCs w:val="20"/>
          <w:lang w:val="es-CR" w:eastAsia="es-CR"/>
        </w:rPr>
      </w:pPr>
    </w:p>
    <w:p w14:paraId="610874BD" w14:textId="696FD85F" w:rsidR="009805F2" w:rsidRDefault="009805F2" w:rsidP="009805F2">
      <w:pPr>
        <w:pStyle w:val="Prrafodelista"/>
        <w:numPr>
          <w:ilvl w:val="0"/>
          <w:numId w:val="1"/>
        </w:numPr>
        <w:spacing w:after="0" w:line="240" w:lineRule="auto"/>
        <w:ind w:left="0" w:right="6" w:firstLine="0"/>
        <w:jc w:val="both"/>
        <w:rPr>
          <w:rFonts w:ascii="Verdana" w:eastAsia="Batang" w:hAnsi="Verdana" w:cs="Times"/>
          <w:i/>
          <w:sz w:val="20"/>
          <w:szCs w:val="20"/>
          <w:lang w:val="es-CR" w:eastAsia="es-CR"/>
        </w:rPr>
      </w:pPr>
      <w:r>
        <w:rPr>
          <w:rFonts w:ascii="Verdana" w:hAnsi="Verdana"/>
          <w:sz w:val="20"/>
          <w:szCs w:val="20"/>
          <w:lang w:val="es-CR"/>
        </w:rPr>
        <w:t>C</w:t>
      </w:r>
      <w:r w:rsidRPr="00312FC0">
        <w:rPr>
          <w:rFonts w:ascii="Verdana" w:hAnsi="Verdana"/>
          <w:sz w:val="20"/>
          <w:szCs w:val="20"/>
          <w:lang w:val="es-CR"/>
        </w:rPr>
        <w:t>abe recordar que</w:t>
      </w:r>
      <w:r w:rsidR="004A6AF0">
        <w:rPr>
          <w:rFonts w:ascii="Verdana" w:hAnsi="Verdana"/>
          <w:sz w:val="20"/>
          <w:szCs w:val="20"/>
          <w:lang w:val="es-CR"/>
        </w:rPr>
        <w:t>,</w:t>
      </w:r>
      <w:r w:rsidRPr="00312FC0">
        <w:rPr>
          <w:rFonts w:ascii="Verdana" w:hAnsi="Verdana"/>
          <w:sz w:val="20"/>
          <w:szCs w:val="20"/>
          <w:lang w:val="es-CR"/>
        </w:rPr>
        <w:t xml:space="preserve"> si bien el marco fáctico del caso tiene </w:t>
      </w:r>
      <w:r w:rsidR="00A95B2D">
        <w:rPr>
          <w:rFonts w:ascii="Verdana" w:hAnsi="Verdana"/>
          <w:sz w:val="20"/>
          <w:szCs w:val="20"/>
          <w:lang w:val="es-CR"/>
        </w:rPr>
        <w:t>como</w:t>
      </w:r>
      <w:r w:rsidRPr="00312FC0">
        <w:rPr>
          <w:rFonts w:ascii="Verdana" w:hAnsi="Verdana"/>
          <w:sz w:val="20"/>
          <w:szCs w:val="20"/>
          <w:lang w:val="es-CR"/>
        </w:rPr>
        <w:t xml:space="preserve"> base los hechos referidos en el Informe de Fondo, puede también</w:t>
      </w:r>
      <w:r w:rsidRPr="00D60A3B">
        <w:rPr>
          <w:rFonts w:ascii="Verdana" w:hAnsi="Verdana"/>
          <w:sz w:val="20"/>
          <w:szCs w:val="20"/>
          <w:lang w:val="es-CR"/>
        </w:rPr>
        <w:t xml:space="preserve"> integrarse por hechos supervinientes, </w:t>
      </w:r>
      <w:r w:rsidRPr="00D87443">
        <w:rPr>
          <w:rFonts w:ascii="Verdana" w:hAnsi="Verdana"/>
          <w:sz w:val="20"/>
          <w:szCs w:val="20"/>
          <w:lang w:val="es-CR"/>
        </w:rPr>
        <w:t>que podrían ser remitidos al Tribunal siempre que se enc</w:t>
      </w:r>
      <w:r w:rsidR="00A95B2D">
        <w:rPr>
          <w:rFonts w:ascii="Verdana" w:hAnsi="Verdana"/>
          <w:sz w:val="20"/>
          <w:szCs w:val="20"/>
          <w:lang w:val="es-CR"/>
        </w:rPr>
        <w:t>ontraran</w:t>
      </w:r>
      <w:r w:rsidRPr="00D87443">
        <w:rPr>
          <w:rFonts w:ascii="Verdana" w:hAnsi="Verdana"/>
          <w:sz w:val="20"/>
          <w:szCs w:val="20"/>
          <w:lang w:val="es-CR"/>
        </w:rPr>
        <w:t xml:space="preserve"> ligados a los hechos del caso y en cualquier estado del proceso antes de la emisión de la sentencia</w:t>
      </w:r>
      <w:r>
        <w:rPr>
          <w:rStyle w:val="Refdenotaalpie"/>
          <w:lang w:val="es-CR"/>
        </w:rPr>
        <w:footnoteReference w:id="17"/>
      </w:r>
      <w:r w:rsidRPr="00D60A3B">
        <w:rPr>
          <w:rFonts w:ascii="Verdana" w:hAnsi="Verdana"/>
          <w:sz w:val="20"/>
          <w:szCs w:val="20"/>
          <w:lang w:val="es-CR"/>
        </w:rPr>
        <w:t xml:space="preserve">. </w:t>
      </w:r>
    </w:p>
    <w:p w14:paraId="1C736FF9" w14:textId="77777777" w:rsidR="009805F2" w:rsidRPr="00D60A3B" w:rsidRDefault="009805F2" w:rsidP="009805F2">
      <w:pPr>
        <w:pStyle w:val="Prrafodelista"/>
        <w:spacing w:after="0" w:line="240" w:lineRule="auto"/>
        <w:rPr>
          <w:rFonts w:ascii="Verdana" w:hAnsi="Verdana"/>
          <w:sz w:val="20"/>
          <w:szCs w:val="20"/>
          <w:lang w:val="es-CR"/>
        </w:rPr>
      </w:pPr>
    </w:p>
    <w:p w14:paraId="139B59DC" w14:textId="77777777" w:rsidR="009805F2" w:rsidRDefault="009805F2" w:rsidP="009805F2">
      <w:pPr>
        <w:pStyle w:val="Prrafodelista"/>
        <w:numPr>
          <w:ilvl w:val="0"/>
          <w:numId w:val="1"/>
        </w:numPr>
        <w:spacing w:after="0" w:line="240" w:lineRule="auto"/>
        <w:ind w:left="0" w:right="6" w:hanging="11"/>
        <w:jc w:val="both"/>
        <w:rPr>
          <w:rFonts w:ascii="Verdana" w:hAnsi="Verdana"/>
          <w:sz w:val="20"/>
          <w:szCs w:val="20"/>
          <w:lang w:val="es-CR"/>
        </w:rPr>
      </w:pPr>
      <w:r w:rsidRPr="00695A87">
        <w:rPr>
          <w:rFonts w:ascii="Verdana" w:hAnsi="Verdana"/>
          <w:sz w:val="20"/>
          <w:szCs w:val="20"/>
          <w:lang w:val="es-CR"/>
        </w:rPr>
        <w:t xml:space="preserve">Ahora bien, el Estado no explicó de forma clara por qué debería negarse a todos los hechos posteriores al 26 de enero de 2012 el carácter de superviniente: Argentina sólo mencionó algunos ejemplos incluidos en alegatos de los representantes. </w:t>
      </w:r>
    </w:p>
    <w:p w14:paraId="49D2FB74" w14:textId="77777777" w:rsidR="009805F2" w:rsidRPr="00695A87" w:rsidRDefault="009805F2" w:rsidP="009805F2">
      <w:pPr>
        <w:pStyle w:val="Prrafodelista"/>
        <w:spacing w:after="0" w:line="240" w:lineRule="auto"/>
        <w:ind w:left="0" w:right="6"/>
        <w:jc w:val="both"/>
        <w:rPr>
          <w:rFonts w:ascii="Verdana" w:hAnsi="Verdana"/>
          <w:sz w:val="20"/>
          <w:szCs w:val="20"/>
          <w:lang w:val="es-CR"/>
        </w:rPr>
      </w:pPr>
    </w:p>
    <w:p w14:paraId="3E056343" w14:textId="7CE55FB5" w:rsidR="009805F2" w:rsidRPr="007B1900" w:rsidRDefault="009805F2" w:rsidP="009805F2">
      <w:pPr>
        <w:pStyle w:val="Prrafodelista"/>
        <w:numPr>
          <w:ilvl w:val="0"/>
          <w:numId w:val="1"/>
        </w:numPr>
        <w:spacing w:after="0" w:line="240" w:lineRule="auto"/>
        <w:ind w:left="0" w:right="6" w:hanging="11"/>
        <w:jc w:val="both"/>
        <w:rPr>
          <w:rFonts w:ascii="Verdana" w:hAnsi="Verdana"/>
          <w:sz w:val="20"/>
          <w:szCs w:val="20"/>
          <w:lang w:val="es-CR"/>
        </w:rPr>
      </w:pPr>
      <w:r>
        <w:rPr>
          <w:rFonts w:ascii="Verdana" w:hAnsi="Verdana"/>
          <w:sz w:val="20"/>
          <w:szCs w:val="20"/>
          <w:lang w:val="es-CR"/>
        </w:rPr>
        <w:t>Entre tales ejemplos, el Estado se refirió a hechos relacionados con el p</w:t>
      </w:r>
      <w:r w:rsidRPr="007B1900">
        <w:rPr>
          <w:rFonts w:ascii="Verdana" w:hAnsi="Verdana"/>
          <w:sz w:val="20"/>
          <w:szCs w:val="20"/>
          <w:lang w:val="es-CR"/>
        </w:rPr>
        <w:t xml:space="preserve">royecto de Gasoducto del Noreste Argentin[o] (GNEA)”, </w:t>
      </w:r>
      <w:r>
        <w:rPr>
          <w:rFonts w:ascii="Verdana" w:hAnsi="Verdana"/>
          <w:sz w:val="20"/>
          <w:szCs w:val="20"/>
          <w:lang w:val="es-CR"/>
        </w:rPr>
        <w:t xml:space="preserve">que se indicó que fue </w:t>
      </w:r>
      <w:r w:rsidRPr="007B1900">
        <w:rPr>
          <w:rFonts w:ascii="Verdana" w:hAnsi="Verdana"/>
          <w:sz w:val="20"/>
          <w:szCs w:val="20"/>
          <w:lang w:val="es-CR"/>
        </w:rPr>
        <w:t>aprobado en 2015</w:t>
      </w:r>
      <w:r>
        <w:rPr>
          <w:rFonts w:ascii="Verdana" w:hAnsi="Verdana"/>
          <w:sz w:val="20"/>
          <w:szCs w:val="20"/>
          <w:lang w:val="es-CR"/>
        </w:rPr>
        <w:t xml:space="preserve">, así como </w:t>
      </w:r>
      <w:r w:rsidR="00A95B2D">
        <w:rPr>
          <w:rFonts w:ascii="Verdana" w:hAnsi="Verdana"/>
          <w:sz w:val="20"/>
          <w:szCs w:val="20"/>
          <w:lang w:val="es-CR"/>
        </w:rPr>
        <w:t xml:space="preserve">también </w:t>
      </w:r>
      <w:r>
        <w:rPr>
          <w:rFonts w:ascii="Verdana" w:hAnsi="Verdana"/>
          <w:sz w:val="20"/>
          <w:szCs w:val="20"/>
          <w:lang w:val="es-CR"/>
        </w:rPr>
        <w:t xml:space="preserve">a </w:t>
      </w:r>
      <w:r w:rsidRPr="007B1900">
        <w:rPr>
          <w:rFonts w:ascii="Verdana" w:hAnsi="Verdana"/>
          <w:sz w:val="20"/>
          <w:szCs w:val="20"/>
          <w:lang w:val="es-CR"/>
        </w:rPr>
        <w:t>aducidos “intentos</w:t>
      </w:r>
      <w:r>
        <w:rPr>
          <w:rFonts w:ascii="Verdana" w:hAnsi="Verdana"/>
          <w:sz w:val="20"/>
          <w:szCs w:val="20"/>
          <w:lang w:val="es-CR"/>
        </w:rPr>
        <w:t>”</w:t>
      </w:r>
      <w:r w:rsidRPr="007B1900">
        <w:rPr>
          <w:rFonts w:ascii="Verdana" w:hAnsi="Verdana"/>
          <w:sz w:val="20"/>
          <w:szCs w:val="20"/>
          <w:lang w:val="es-CR"/>
        </w:rPr>
        <w:t xml:space="preserve"> de </w:t>
      </w:r>
      <w:r>
        <w:rPr>
          <w:rFonts w:ascii="Verdana" w:hAnsi="Verdana"/>
          <w:sz w:val="20"/>
          <w:szCs w:val="20"/>
          <w:lang w:val="es-CR"/>
        </w:rPr>
        <w:t>“</w:t>
      </w:r>
      <w:r w:rsidRPr="007B1900">
        <w:rPr>
          <w:rFonts w:ascii="Verdana" w:hAnsi="Verdana"/>
          <w:sz w:val="20"/>
          <w:szCs w:val="20"/>
          <w:lang w:val="es-CR"/>
        </w:rPr>
        <w:t>urbanización</w:t>
      </w:r>
      <w:r>
        <w:rPr>
          <w:rFonts w:ascii="Verdana" w:hAnsi="Verdana"/>
          <w:sz w:val="20"/>
          <w:szCs w:val="20"/>
          <w:lang w:val="es-CR"/>
        </w:rPr>
        <w:t>” de un lugar dentro de la zona reclamada por las comunidades indígenas, llamado</w:t>
      </w:r>
      <w:r w:rsidRPr="007B1900">
        <w:rPr>
          <w:rFonts w:ascii="Verdana" w:hAnsi="Verdana"/>
          <w:sz w:val="20"/>
          <w:szCs w:val="20"/>
          <w:lang w:val="es-CR"/>
        </w:rPr>
        <w:t xml:space="preserve"> </w:t>
      </w:r>
      <w:r>
        <w:rPr>
          <w:rFonts w:ascii="Verdana" w:hAnsi="Verdana"/>
          <w:sz w:val="20"/>
          <w:szCs w:val="20"/>
          <w:lang w:val="es-CR"/>
        </w:rPr>
        <w:t>“</w:t>
      </w:r>
      <w:r w:rsidR="0057581E">
        <w:rPr>
          <w:rFonts w:ascii="Verdana" w:hAnsi="Verdana"/>
          <w:sz w:val="20"/>
          <w:szCs w:val="20"/>
          <w:lang w:val="es-CR"/>
        </w:rPr>
        <w:t>Rancho E</w:t>
      </w:r>
      <w:r w:rsidRPr="007B1900">
        <w:rPr>
          <w:rFonts w:ascii="Verdana" w:hAnsi="Verdana"/>
          <w:sz w:val="20"/>
          <w:szCs w:val="20"/>
          <w:lang w:val="es-CR"/>
        </w:rPr>
        <w:t xml:space="preserve">l Ñato”, que los representantes </w:t>
      </w:r>
      <w:r>
        <w:rPr>
          <w:rFonts w:ascii="Verdana" w:hAnsi="Verdana"/>
          <w:sz w:val="20"/>
          <w:szCs w:val="20"/>
          <w:lang w:val="es-CR"/>
        </w:rPr>
        <w:t>habrían conocido</w:t>
      </w:r>
      <w:r w:rsidRPr="007B1900">
        <w:rPr>
          <w:rFonts w:ascii="Verdana" w:hAnsi="Verdana"/>
          <w:sz w:val="20"/>
          <w:szCs w:val="20"/>
          <w:lang w:val="es-CR"/>
        </w:rPr>
        <w:t xml:space="preserve"> a fines de 2016.</w:t>
      </w:r>
      <w:r w:rsidRPr="007B1900">
        <w:rPr>
          <w:rFonts w:ascii="Verdana" w:hAnsi="Verdana"/>
          <w:b/>
          <w:sz w:val="20"/>
          <w:szCs w:val="20"/>
          <w:lang w:val="es-CR"/>
        </w:rPr>
        <w:t xml:space="preserve"> </w:t>
      </w:r>
    </w:p>
    <w:p w14:paraId="6FBDDE2C" w14:textId="77777777" w:rsidR="009805F2" w:rsidRPr="007B1900" w:rsidRDefault="009805F2" w:rsidP="009805F2">
      <w:pPr>
        <w:pStyle w:val="Prrafodelista"/>
        <w:spacing w:line="240" w:lineRule="auto"/>
        <w:rPr>
          <w:rFonts w:ascii="Verdana" w:hAnsi="Verdana"/>
          <w:sz w:val="20"/>
          <w:szCs w:val="20"/>
          <w:lang w:val="es-CR"/>
        </w:rPr>
      </w:pPr>
    </w:p>
    <w:p w14:paraId="62014035" w14:textId="508B4788" w:rsidR="009805F2" w:rsidRPr="00286C58" w:rsidRDefault="009805F2" w:rsidP="009805F2">
      <w:pPr>
        <w:pStyle w:val="Prrafodelista"/>
        <w:numPr>
          <w:ilvl w:val="0"/>
          <w:numId w:val="1"/>
        </w:numPr>
        <w:spacing w:after="0" w:line="240" w:lineRule="auto"/>
        <w:ind w:left="0" w:right="6" w:hanging="11"/>
        <w:jc w:val="both"/>
        <w:rPr>
          <w:rFonts w:ascii="Verdana" w:hAnsi="Verdana"/>
          <w:sz w:val="20"/>
          <w:szCs w:val="20"/>
          <w:lang w:val="es-CR"/>
        </w:rPr>
      </w:pPr>
      <w:r>
        <w:rPr>
          <w:rFonts w:ascii="Verdana" w:hAnsi="Verdana"/>
          <w:sz w:val="20"/>
          <w:szCs w:val="20"/>
          <w:lang w:val="es-CR"/>
        </w:rPr>
        <w:t xml:space="preserve">Estos hechos no solo son posteriores a aquellos narrados en el Informe de Fondo, sino que también son independientes de los mismos. En efecto, el Informe de Fondo mencionó diversas obras o proyectos sobre el territorio, dando cuenta de la construcción de un puente internacional, </w:t>
      </w:r>
      <w:r w:rsidRPr="005B5C65">
        <w:rPr>
          <w:rFonts w:ascii="Verdana" w:hAnsi="Verdana"/>
          <w:sz w:val="20"/>
          <w:szCs w:val="20"/>
          <w:lang w:val="es-CR"/>
        </w:rPr>
        <w:t>la “construcción y ensanchamiento” de rutas y la exploración de hidrocarburos</w:t>
      </w:r>
      <w:r>
        <w:rPr>
          <w:rFonts w:ascii="Verdana" w:hAnsi="Verdana"/>
          <w:sz w:val="20"/>
          <w:szCs w:val="20"/>
          <w:lang w:val="es-CR"/>
        </w:rPr>
        <w:t>.</w:t>
      </w:r>
      <w:r>
        <w:rPr>
          <w:rFonts w:ascii="Verdana" w:hAnsi="Verdana"/>
          <w:b/>
          <w:sz w:val="20"/>
          <w:szCs w:val="20"/>
          <w:lang w:val="es-CR"/>
        </w:rPr>
        <w:t xml:space="preserve"> </w:t>
      </w:r>
      <w:r w:rsidRPr="005B5C65">
        <w:rPr>
          <w:rFonts w:ascii="Verdana" w:hAnsi="Verdana"/>
          <w:sz w:val="20"/>
          <w:szCs w:val="20"/>
          <w:lang w:val="es-CR"/>
        </w:rPr>
        <w:t>L</w:t>
      </w:r>
      <w:r>
        <w:rPr>
          <w:rFonts w:ascii="Verdana" w:hAnsi="Verdana"/>
          <w:sz w:val="20"/>
          <w:szCs w:val="20"/>
          <w:lang w:val="es-CR"/>
        </w:rPr>
        <w:t>a Corte encuentra que los hechos señalados por los representantes respecto al gasoducto o a la urbanización indicada no resultan una evolución de los mismos hechos contenidos en el Informe de Fondo, ni son circunstancias complementarias a éstos que resulten en una mayor explicación de los hechos que señaló la Comisión. Se trata, por el contrario, de hechos que si bien podrían relacionarse con la propiedad comunitaria reclamada, o con derechos relacionados con la misma, constituirían en su caso afectaciones nuevas y distintas a las que la Comisión sometió a conocimiento de la Corte. Por ello, este Tribunal entiende que los aducidos hechos vinculados a la construcción de un gasoducto en 2015</w:t>
      </w:r>
      <w:r w:rsidR="002569B3">
        <w:rPr>
          <w:rFonts w:ascii="Verdana" w:hAnsi="Verdana"/>
          <w:sz w:val="20"/>
          <w:szCs w:val="20"/>
          <w:lang w:val="es-CR"/>
        </w:rPr>
        <w:t xml:space="preserve"> y a la urbanización de Rancho E</w:t>
      </w:r>
      <w:r>
        <w:rPr>
          <w:rFonts w:ascii="Verdana" w:hAnsi="Verdana"/>
          <w:sz w:val="20"/>
          <w:szCs w:val="20"/>
          <w:lang w:val="es-CR"/>
        </w:rPr>
        <w:t xml:space="preserve">l Ñato no forman parte del marco fáctico del caso. Por ello, tampoco integra el marco fáctico una acción administrativa que los representantes adujeron que se presentó en julio de 2015 respecto al gasoducto. </w:t>
      </w:r>
      <w:r w:rsidRPr="00286C58">
        <w:rPr>
          <w:rFonts w:ascii="Verdana" w:hAnsi="Verdana"/>
          <w:sz w:val="20"/>
          <w:szCs w:val="20"/>
          <w:lang w:val="es-CR"/>
        </w:rPr>
        <w:t>Tales circunstancias fácticas</w:t>
      </w:r>
      <w:r>
        <w:rPr>
          <w:rFonts w:ascii="Verdana" w:hAnsi="Verdana"/>
          <w:sz w:val="20"/>
          <w:szCs w:val="20"/>
          <w:lang w:val="es-CR"/>
        </w:rPr>
        <w:t>, así como las alegaciones referidas específicamente a ellas,</w:t>
      </w:r>
      <w:r w:rsidRPr="00286C58">
        <w:rPr>
          <w:rFonts w:ascii="Verdana" w:hAnsi="Verdana"/>
          <w:sz w:val="20"/>
          <w:szCs w:val="20"/>
          <w:lang w:val="es-CR"/>
        </w:rPr>
        <w:t xml:space="preserve"> no serán analizadas. </w:t>
      </w:r>
    </w:p>
    <w:p w14:paraId="650925C4" w14:textId="77777777" w:rsidR="009805F2" w:rsidRDefault="009805F2" w:rsidP="009805F2">
      <w:pPr>
        <w:pStyle w:val="Prrafodelista"/>
        <w:spacing w:after="0" w:line="240" w:lineRule="auto"/>
        <w:ind w:left="0" w:right="6"/>
        <w:jc w:val="both"/>
        <w:rPr>
          <w:rFonts w:ascii="Verdana" w:hAnsi="Verdana"/>
          <w:sz w:val="20"/>
          <w:szCs w:val="20"/>
          <w:lang w:val="es-CR"/>
        </w:rPr>
      </w:pPr>
    </w:p>
    <w:p w14:paraId="2AFABB5A" w14:textId="25E13E7E" w:rsidR="009805F2" w:rsidRPr="00B54E9A" w:rsidRDefault="009805F2" w:rsidP="009805F2">
      <w:pPr>
        <w:pStyle w:val="Prrafodelista"/>
        <w:numPr>
          <w:ilvl w:val="0"/>
          <w:numId w:val="1"/>
        </w:numPr>
        <w:spacing w:after="0" w:line="240" w:lineRule="auto"/>
        <w:ind w:left="0" w:right="6" w:hanging="11"/>
        <w:jc w:val="both"/>
        <w:rPr>
          <w:rFonts w:ascii="Verdana" w:eastAsia="Batang" w:hAnsi="Verdana" w:cs="Times"/>
          <w:sz w:val="20"/>
          <w:szCs w:val="20"/>
          <w:lang w:val="es-CR" w:eastAsia="es-CR"/>
        </w:rPr>
      </w:pPr>
      <w:r w:rsidRPr="00B54E9A">
        <w:rPr>
          <w:rFonts w:ascii="Verdana" w:hAnsi="Verdana"/>
          <w:sz w:val="20"/>
          <w:szCs w:val="20"/>
          <w:lang w:val="es-CR"/>
        </w:rPr>
        <w:t xml:space="preserve">Aunado a lo anterior, </w:t>
      </w:r>
      <w:r w:rsidR="00A95B2D">
        <w:rPr>
          <w:rFonts w:ascii="Verdana" w:hAnsi="Verdana"/>
          <w:sz w:val="20"/>
          <w:szCs w:val="20"/>
          <w:lang w:val="es-CR"/>
        </w:rPr>
        <w:t>y aunque no forme</w:t>
      </w:r>
      <w:r w:rsidRPr="00B54E9A">
        <w:rPr>
          <w:rFonts w:ascii="Verdana" w:hAnsi="Verdana"/>
          <w:sz w:val="20"/>
          <w:szCs w:val="20"/>
          <w:lang w:val="es-CR"/>
        </w:rPr>
        <w:t xml:space="preserve"> parte de los “ejemplos” dados por el Estado, es propicio </w:t>
      </w:r>
      <w:r w:rsidR="00A95B2D">
        <w:rPr>
          <w:rFonts w:ascii="Verdana" w:hAnsi="Verdana"/>
          <w:sz w:val="20"/>
          <w:szCs w:val="20"/>
          <w:lang w:val="es-CR"/>
        </w:rPr>
        <w:t xml:space="preserve">aclarar </w:t>
      </w:r>
      <w:r>
        <w:rPr>
          <w:rFonts w:ascii="Verdana" w:hAnsi="Verdana"/>
          <w:sz w:val="20"/>
          <w:szCs w:val="20"/>
          <w:lang w:val="es-CR"/>
        </w:rPr>
        <w:t>lo siguiente: l</w:t>
      </w:r>
      <w:r w:rsidRPr="00B54E9A">
        <w:rPr>
          <w:rFonts w:ascii="Verdana" w:hAnsi="Verdana"/>
          <w:sz w:val="20"/>
        </w:rPr>
        <w:t xml:space="preserve">os representantes informaron, en sus alegatos finales escritos, que en razón de la construcción “inconsulta” de la ruta 54, se “afectó el normal escurrimiento del agua, lo que causó fuertes inundaciones a principios de 2019”. </w:t>
      </w:r>
      <w:r>
        <w:rPr>
          <w:rFonts w:ascii="Verdana" w:hAnsi="Verdana"/>
          <w:sz w:val="20"/>
        </w:rPr>
        <w:t xml:space="preserve">Los hechos sobre obras en </w:t>
      </w:r>
      <w:r w:rsidRPr="00B54E9A">
        <w:rPr>
          <w:rFonts w:ascii="Verdana" w:hAnsi="Verdana"/>
          <w:sz w:val="20"/>
        </w:rPr>
        <w:t xml:space="preserve">la ruta </w:t>
      </w:r>
      <w:r>
        <w:rPr>
          <w:rFonts w:ascii="Verdana" w:hAnsi="Verdana"/>
          <w:sz w:val="20"/>
        </w:rPr>
        <w:t xml:space="preserve">provincial </w:t>
      </w:r>
      <w:r w:rsidRPr="00B54E9A">
        <w:rPr>
          <w:rFonts w:ascii="Verdana" w:hAnsi="Verdana"/>
          <w:sz w:val="20"/>
        </w:rPr>
        <w:t>54</w:t>
      </w:r>
      <w:r>
        <w:rPr>
          <w:rFonts w:ascii="Verdana" w:hAnsi="Verdana"/>
          <w:sz w:val="20"/>
        </w:rPr>
        <w:t xml:space="preserve"> sí están dentro del marco fáctico fijado en el Informe de Fondo, pero esto</w:t>
      </w:r>
      <w:r w:rsidRPr="00B54E9A">
        <w:rPr>
          <w:rFonts w:ascii="Verdana" w:hAnsi="Verdana"/>
          <w:sz w:val="20"/>
          <w:szCs w:val="20"/>
          <w:lang w:val="es-CR"/>
        </w:rPr>
        <w:t xml:space="preserve"> no abarca circunstancias posteriores que, </w:t>
      </w:r>
      <w:r w:rsidRPr="00B54E9A">
        <w:rPr>
          <w:rFonts w:ascii="Verdana" w:hAnsi="Verdana"/>
          <w:sz w:val="20"/>
          <w:szCs w:val="20"/>
          <w:lang w:val="es-CR"/>
        </w:rPr>
        <w:lastRenderedPageBreak/>
        <w:t xml:space="preserve">eventualmente, podrían tener relación parcial con el modo en que las obras se habrían realizado. Un examen de esa índole sería una extensión excesiva de los hechos del caso. </w:t>
      </w:r>
      <w:r w:rsidRPr="00B54E9A">
        <w:rPr>
          <w:rFonts w:ascii="Verdana" w:hAnsi="Verdana"/>
          <w:sz w:val="20"/>
        </w:rPr>
        <w:t>La Corte</w:t>
      </w:r>
      <w:r w:rsidR="00A95B2D">
        <w:rPr>
          <w:rFonts w:ascii="Verdana" w:hAnsi="Verdana"/>
          <w:sz w:val="20"/>
        </w:rPr>
        <w:t>, por tanto,</w:t>
      </w:r>
      <w:r w:rsidRPr="00B54E9A">
        <w:rPr>
          <w:rFonts w:ascii="Verdana" w:hAnsi="Verdana"/>
          <w:sz w:val="20"/>
        </w:rPr>
        <w:t xml:space="preserve"> determina que las inundaciones aludidas no integran el marco fáctico del caso.</w:t>
      </w:r>
    </w:p>
    <w:p w14:paraId="6FF23BCB" w14:textId="77777777" w:rsidR="009805F2" w:rsidRDefault="009805F2" w:rsidP="009805F2">
      <w:pPr>
        <w:pStyle w:val="Prrafodelista"/>
        <w:spacing w:line="240" w:lineRule="auto"/>
        <w:rPr>
          <w:rFonts w:ascii="Verdana" w:hAnsi="Verdana"/>
          <w:sz w:val="20"/>
          <w:szCs w:val="20"/>
          <w:lang w:val="es-CR"/>
        </w:rPr>
      </w:pPr>
    </w:p>
    <w:p w14:paraId="3AECBB41" w14:textId="77777777" w:rsidR="009805F2" w:rsidRPr="00312FC0" w:rsidRDefault="009805F2" w:rsidP="009805F2">
      <w:pPr>
        <w:pStyle w:val="Prrafodelista"/>
        <w:numPr>
          <w:ilvl w:val="0"/>
          <w:numId w:val="1"/>
        </w:numPr>
        <w:spacing w:after="0" w:line="240" w:lineRule="auto"/>
        <w:ind w:left="0" w:right="6" w:hanging="11"/>
        <w:jc w:val="both"/>
        <w:rPr>
          <w:rFonts w:ascii="Verdana" w:eastAsia="Batang" w:hAnsi="Verdana" w:cs="Times"/>
          <w:i/>
          <w:sz w:val="20"/>
          <w:szCs w:val="20"/>
          <w:lang w:val="es-CR" w:eastAsia="es-CR"/>
        </w:rPr>
      </w:pPr>
      <w:r>
        <w:rPr>
          <w:rFonts w:ascii="Verdana" w:hAnsi="Verdana"/>
          <w:sz w:val="20"/>
          <w:szCs w:val="20"/>
          <w:lang w:val="es-CR"/>
        </w:rPr>
        <w:t xml:space="preserve">No corresponde, por el contrario, excluir otros hechos. El Informe de Fondo </w:t>
      </w:r>
      <w:r w:rsidRPr="00D60A3B">
        <w:rPr>
          <w:rFonts w:ascii="Verdana" w:hAnsi="Verdana"/>
          <w:sz w:val="20"/>
          <w:szCs w:val="20"/>
          <w:lang w:val="es-CR"/>
        </w:rPr>
        <w:t xml:space="preserve">enunció diversas circunstancias relacionadas con la “[s]ituación de la propiedad comunitaria indígena”. </w:t>
      </w:r>
      <w:r>
        <w:rPr>
          <w:rFonts w:ascii="Verdana" w:hAnsi="Verdana"/>
          <w:sz w:val="20"/>
          <w:szCs w:val="20"/>
          <w:lang w:val="es-CR"/>
        </w:rPr>
        <w:t>A excepción de los hechos ya excluidos, el resto de los aludidos por el Estado</w:t>
      </w:r>
      <w:r w:rsidRPr="00D60A3B">
        <w:rPr>
          <w:rFonts w:ascii="Verdana" w:hAnsi="Verdana"/>
          <w:sz w:val="20"/>
          <w:szCs w:val="20"/>
          <w:lang w:val="es-CR"/>
        </w:rPr>
        <w:t xml:space="preserve"> </w:t>
      </w:r>
      <w:r>
        <w:rPr>
          <w:rFonts w:ascii="Verdana" w:hAnsi="Verdana"/>
          <w:sz w:val="20"/>
          <w:szCs w:val="20"/>
          <w:lang w:val="es-CR"/>
        </w:rPr>
        <w:t>(</w:t>
      </w:r>
      <w:r>
        <w:rPr>
          <w:rFonts w:ascii="Verdana" w:hAnsi="Verdana"/>
          <w:i/>
          <w:sz w:val="20"/>
          <w:szCs w:val="20"/>
          <w:lang w:val="es-CR"/>
        </w:rPr>
        <w:t xml:space="preserve">supra </w:t>
      </w:r>
      <w:r>
        <w:rPr>
          <w:rFonts w:ascii="Verdana" w:hAnsi="Verdana"/>
          <w:sz w:val="20"/>
          <w:szCs w:val="20"/>
          <w:lang w:val="es-CR"/>
        </w:rPr>
        <w:t>párr. 16) son actos vinculados al reconocimiento de la propiedad. En ese sentido, constituyen un desarrollo o evolución de los hechos descritos en el Informe de Fondo. Por lo tanto, se trata de hechos que integran el caso presentado a este Tribunal. T</w:t>
      </w:r>
      <w:r w:rsidRPr="00D60A3B">
        <w:rPr>
          <w:rFonts w:ascii="Verdana" w:hAnsi="Verdana"/>
          <w:sz w:val="20"/>
          <w:szCs w:val="20"/>
          <w:lang w:val="es-CR"/>
        </w:rPr>
        <w:t>ienen</w:t>
      </w:r>
      <w:r>
        <w:rPr>
          <w:rFonts w:ascii="Verdana" w:hAnsi="Verdana"/>
          <w:sz w:val="20"/>
          <w:szCs w:val="20"/>
          <w:lang w:val="es-CR"/>
        </w:rPr>
        <w:t xml:space="preserve">, entonces, el </w:t>
      </w:r>
      <w:r w:rsidRPr="00D60A3B">
        <w:rPr>
          <w:rFonts w:ascii="Verdana" w:hAnsi="Verdana"/>
          <w:sz w:val="20"/>
          <w:szCs w:val="20"/>
          <w:lang w:val="es-CR"/>
        </w:rPr>
        <w:t xml:space="preserve">carácter </w:t>
      </w:r>
      <w:r>
        <w:rPr>
          <w:rFonts w:ascii="Verdana" w:hAnsi="Verdana"/>
          <w:sz w:val="20"/>
          <w:szCs w:val="20"/>
          <w:lang w:val="es-CR"/>
        </w:rPr>
        <w:t xml:space="preserve">de hechos </w:t>
      </w:r>
      <w:r w:rsidRPr="00D60A3B">
        <w:rPr>
          <w:rFonts w:ascii="Verdana" w:hAnsi="Verdana"/>
          <w:sz w:val="20"/>
          <w:szCs w:val="20"/>
          <w:lang w:val="es-CR"/>
        </w:rPr>
        <w:t>superviniente</w:t>
      </w:r>
      <w:r>
        <w:rPr>
          <w:rFonts w:ascii="Verdana" w:hAnsi="Verdana"/>
          <w:sz w:val="20"/>
          <w:szCs w:val="20"/>
          <w:lang w:val="es-CR"/>
        </w:rPr>
        <w:t>s,</w:t>
      </w:r>
      <w:r w:rsidRPr="00D60A3B">
        <w:rPr>
          <w:rFonts w:ascii="Verdana" w:hAnsi="Verdana"/>
          <w:sz w:val="20"/>
          <w:szCs w:val="20"/>
          <w:lang w:val="es-CR"/>
        </w:rPr>
        <w:t xml:space="preserve"> corresp</w:t>
      </w:r>
      <w:r>
        <w:rPr>
          <w:rFonts w:ascii="Verdana" w:hAnsi="Verdana"/>
          <w:sz w:val="20"/>
          <w:szCs w:val="20"/>
          <w:lang w:val="es-CR"/>
        </w:rPr>
        <w:t xml:space="preserve">onden al marco fáctico del caso y serán examinados. </w:t>
      </w:r>
    </w:p>
    <w:p w14:paraId="26D884A8" w14:textId="77777777" w:rsidR="009805F2" w:rsidRPr="00D60A3B" w:rsidRDefault="009805F2" w:rsidP="009805F2">
      <w:pPr>
        <w:pStyle w:val="Prrafodelista"/>
        <w:spacing w:line="240" w:lineRule="auto"/>
        <w:rPr>
          <w:rFonts w:ascii="Verdana" w:hAnsi="Verdana"/>
          <w:sz w:val="20"/>
          <w:szCs w:val="20"/>
          <w:lang w:val="es-CR"/>
        </w:rPr>
      </w:pPr>
    </w:p>
    <w:p w14:paraId="5B65E4EA" w14:textId="77777777" w:rsidR="009805F2" w:rsidRDefault="009805F2" w:rsidP="009805F2">
      <w:pPr>
        <w:pStyle w:val="Prrafodelista"/>
        <w:numPr>
          <w:ilvl w:val="0"/>
          <w:numId w:val="1"/>
        </w:numPr>
        <w:spacing w:after="0" w:line="240" w:lineRule="auto"/>
        <w:ind w:left="0" w:right="6" w:hanging="11"/>
        <w:jc w:val="both"/>
        <w:rPr>
          <w:rFonts w:ascii="Verdana" w:eastAsia="Batang" w:hAnsi="Verdana" w:cs="Times"/>
          <w:i/>
          <w:sz w:val="20"/>
          <w:szCs w:val="20"/>
          <w:lang w:val="es-CR" w:eastAsia="es-CR"/>
        </w:rPr>
      </w:pPr>
      <w:r>
        <w:rPr>
          <w:rFonts w:ascii="Verdana" w:hAnsi="Verdana"/>
          <w:sz w:val="20"/>
          <w:szCs w:val="20"/>
          <w:lang w:val="es-CR"/>
        </w:rPr>
        <w:t>Resta aclarar que dado que</w:t>
      </w:r>
      <w:r w:rsidRPr="00D60A3B">
        <w:rPr>
          <w:rFonts w:ascii="Verdana" w:hAnsi="Verdana"/>
          <w:sz w:val="20"/>
          <w:szCs w:val="20"/>
          <w:lang w:val="es-CR"/>
        </w:rPr>
        <w:t xml:space="preserve"> los hechos supervinientes integran el marco fáctico del caso</w:t>
      </w:r>
      <w:r>
        <w:rPr>
          <w:rFonts w:ascii="Verdana" w:hAnsi="Verdana"/>
          <w:sz w:val="20"/>
          <w:szCs w:val="20"/>
          <w:lang w:val="es-CR"/>
        </w:rPr>
        <w:t xml:space="preserve"> no conforman, por definición, un nuevo caso o una nueva situación presuntamente violatoria de derechos. Por ello,</w:t>
      </w:r>
      <w:r w:rsidRPr="00D60A3B">
        <w:rPr>
          <w:rFonts w:ascii="Verdana" w:hAnsi="Verdana"/>
          <w:sz w:val="20"/>
          <w:szCs w:val="20"/>
          <w:lang w:val="es-CR"/>
        </w:rPr>
        <w:t xml:space="preserve"> no resulta procedente entrar a examinar los argumentos estatales sobre el requisito de previo agotamiento de recursos internos</w:t>
      </w:r>
      <w:r>
        <w:rPr>
          <w:rFonts w:ascii="Verdana" w:hAnsi="Verdana"/>
          <w:sz w:val="20"/>
          <w:szCs w:val="20"/>
          <w:lang w:val="es-CR"/>
        </w:rPr>
        <w:t xml:space="preserve"> (</w:t>
      </w:r>
      <w:r>
        <w:rPr>
          <w:rFonts w:ascii="Verdana" w:hAnsi="Verdana"/>
          <w:i/>
          <w:sz w:val="20"/>
          <w:szCs w:val="20"/>
          <w:lang w:val="es-CR"/>
        </w:rPr>
        <w:t>supra</w:t>
      </w:r>
      <w:r>
        <w:rPr>
          <w:rFonts w:ascii="Verdana" w:hAnsi="Verdana"/>
          <w:sz w:val="20"/>
          <w:szCs w:val="20"/>
          <w:lang w:val="es-CR"/>
        </w:rPr>
        <w:t xml:space="preserve"> párr. 15)</w:t>
      </w:r>
      <w:r w:rsidRPr="00D60A3B">
        <w:rPr>
          <w:rFonts w:ascii="Verdana" w:hAnsi="Verdana"/>
          <w:sz w:val="20"/>
          <w:szCs w:val="20"/>
          <w:lang w:val="es-CR"/>
        </w:rPr>
        <w:t xml:space="preserve">. </w:t>
      </w:r>
    </w:p>
    <w:p w14:paraId="6F0BD493" w14:textId="77777777" w:rsidR="009805F2" w:rsidRDefault="009805F2" w:rsidP="009805F2">
      <w:pPr>
        <w:pStyle w:val="Prrafodelista"/>
        <w:spacing w:line="240" w:lineRule="auto"/>
        <w:rPr>
          <w:rFonts w:ascii="Verdana" w:hAnsi="Verdana"/>
          <w:sz w:val="20"/>
        </w:rPr>
      </w:pPr>
    </w:p>
    <w:p w14:paraId="33E6F700" w14:textId="77777777" w:rsidR="009805F2" w:rsidRPr="00040D85" w:rsidRDefault="009805F2" w:rsidP="009805F2">
      <w:pPr>
        <w:pStyle w:val="Prrafodelista"/>
        <w:tabs>
          <w:tab w:val="center" w:pos="4419"/>
          <w:tab w:val="left" w:pos="6330"/>
        </w:tabs>
        <w:spacing w:after="0" w:line="240" w:lineRule="auto"/>
        <w:ind w:left="284"/>
        <w:outlineLvl w:val="1"/>
        <w:rPr>
          <w:rFonts w:ascii="Verdana" w:hAnsi="Verdana"/>
          <w:b/>
          <w:i/>
          <w:sz w:val="20"/>
          <w:szCs w:val="20"/>
          <w:u w:val="single"/>
          <w:lang w:val="es-CR"/>
        </w:rPr>
      </w:pPr>
      <w:bookmarkStart w:id="32" w:name="_Toc32218818"/>
      <w:bookmarkStart w:id="33" w:name="_Toc32227088"/>
      <w:bookmarkStart w:id="34" w:name="_Toc34337517"/>
      <w:r w:rsidRPr="00667FF5">
        <w:rPr>
          <w:rFonts w:ascii="Verdana" w:hAnsi="Verdana"/>
          <w:b/>
          <w:i/>
          <w:sz w:val="20"/>
          <w:szCs w:val="20"/>
          <w:lang w:val="es-CR"/>
        </w:rPr>
        <w:t xml:space="preserve">B) </w:t>
      </w:r>
      <w:r w:rsidRPr="00040D85">
        <w:rPr>
          <w:rFonts w:ascii="Verdana" w:hAnsi="Verdana"/>
          <w:b/>
          <w:i/>
          <w:sz w:val="20"/>
          <w:szCs w:val="20"/>
          <w:u w:val="single"/>
          <w:lang w:val="es-CR"/>
        </w:rPr>
        <w:t>Sobre l</w:t>
      </w:r>
      <w:r>
        <w:rPr>
          <w:rFonts w:ascii="Verdana" w:hAnsi="Verdana"/>
          <w:b/>
          <w:i/>
          <w:sz w:val="20"/>
          <w:szCs w:val="20"/>
          <w:u w:val="single"/>
          <w:lang w:val="es-CR"/>
        </w:rPr>
        <w:t>a determinación de las presuntas víctimas</w:t>
      </w:r>
      <w:bookmarkEnd w:id="32"/>
      <w:bookmarkEnd w:id="33"/>
      <w:bookmarkEnd w:id="34"/>
    </w:p>
    <w:p w14:paraId="3E9E8E8C" w14:textId="77777777" w:rsidR="009805F2" w:rsidRDefault="009805F2" w:rsidP="009805F2">
      <w:pPr>
        <w:tabs>
          <w:tab w:val="center" w:pos="4419"/>
          <w:tab w:val="left" w:pos="6330"/>
        </w:tabs>
        <w:spacing w:after="0" w:line="240" w:lineRule="auto"/>
        <w:rPr>
          <w:rFonts w:ascii="Verdana" w:hAnsi="Verdana"/>
          <w:b/>
          <w:sz w:val="20"/>
          <w:szCs w:val="20"/>
        </w:rPr>
      </w:pPr>
    </w:p>
    <w:p w14:paraId="63CF58A4" w14:textId="77777777" w:rsidR="009805F2" w:rsidRPr="002A21F3" w:rsidRDefault="009805F2" w:rsidP="009805F2">
      <w:pPr>
        <w:pStyle w:val="Ttulo3"/>
        <w:spacing w:line="240" w:lineRule="auto"/>
        <w:ind w:left="567"/>
        <w:rPr>
          <w:rFonts w:ascii="Verdana" w:hAnsi="Verdana"/>
          <w:b/>
          <w:i/>
          <w:sz w:val="20"/>
          <w:szCs w:val="20"/>
        </w:rPr>
      </w:pPr>
      <w:bookmarkStart w:id="35" w:name="_Toc32218819"/>
      <w:bookmarkStart w:id="36" w:name="_Toc32227089"/>
      <w:bookmarkStart w:id="37" w:name="_Toc34337518"/>
      <w:r w:rsidRPr="002A21F3">
        <w:rPr>
          <w:rFonts w:ascii="Verdana" w:hAnsi="Verdana"/>
          <w:b/>
          <w:i/>
          <w:color w:val="auto"/>
          <w:sz w:val="20"/>
          <w:szCs w:val="20"/>
        </w:rPr>
        <w:t>B.1 Alegatos de las partes y la Comisión</w:t>
      </w:r>
      <w:bookmarkEnd w:id="35"/>
      <w:bookmarkEnd w:id="36"/>
      <w:bookmarkEnd w:id="37"/>
    </w:p>
    <w:p w14:paraId="248865DE" w14:textId="77777777" w:rsidR="009805F2" w:rsidRPr="009D43E9" w:rsidRDefault="009805F2" w:rsidP="009805F2">
      <w:pPr>
        <w:pStyle w:val="Prrafodelista"/>
        <w:spacing w:line="240" w:lineRule="auto"/>
        <w:rPr>
          <w:rFonts w:ascii="Verdana" w:hAnsi="Verdana"/>
          <w:sz w:val="20"/>
        </w:rPr>
      </w:pPr>
    </w:p>
    <w:p w14:paraId="1FB8CAC5" w14:textId="621C9BF4" w:rsidR="009805F2" w:rsidRPr="009D43E9" w:rsidRDefault="009805F2" w:rsidP="009805F2">
      <w:pPr>
        <w:pStyle w:val="Prrafodelista"/>
        <w:numPr>
          <w:ilvl w:val="0"/>
          <w:numId w:val="1"/>
        </w:numPr>
        <w:spacing w:after="0" w:line="240" w:lineRule="auto"/>
        <w:ind w:left="0" w:right="6" w:hanging="11"/>
        <w:jc w:val="both"/>
        <w:rPr>
          <w:rFonts w:ascii="Verdana" w:eastAsia="Batang" w:hAnsi="Verdana" w:cs="Times"/>
          <w:sz w:val="20"/>
          <w:szCs w:val="20"/>
          <w:lang w:val="es-CR" w:eastAsia="es-CR"/>
        </w:rPr>
      </w:pPr>
      <w:r w:rsidRPr="009D43E9">
        <w:rPr>
          <w:rFonts w:ascii="Verdana" w:hAnsi="Verdana"/>
          <w:sz w:val="20"/>
        </w:rPr>
        <w:t xml:space="preserve">La </w:t>
      </w:r>
      <w:r w:rsidRPr="009D43E9">
        <w:rPr>
          <w:rFonts w:ascii="Verdana" w:hAnsi="Verdana"/>
          <w:b/>
          <w:i/>
          <w:sz w:val="20"/>
        </w:rPr>
        <w:t>Comisión</w:t>
      </w:r>
      <w:r w:rsidRPr="009D43E9">
        <w:rPr>
          <w:rFonts w:ascii="Verdana" w:hAnsi="Verdana"/>
          <w:sz w:val="20"/>
        </w:rPr>
        <w:t xml:space="preserve">, en el Informe de Fondo emitido el 26 de enero de 2012, </w:t>
      </w:r>
      <w:r w:rsidR="00A95B2D">
        <w:rPr>
          <w:rFonts w:ascii="Verdana" w:hAnsi="Verdana"/>
          <w:sz w:val="20"/>
        </w:rPr>
        <w:t xml:space="preserve">consideró </w:t>
      </w:r>
      <w:r w:rsidRPr="009D43E9">
        <w:rPr>
          <w:rFonts w:ascii="Verdana" w:hAnsi="Verdana"/>
          <w:sz w:val="20"/>
        </w:rPr>
        <w:t>víctimas a 27 comunidades que, conforme información estatal, se encontraban afiliadas a la Asociación Lhaka Honhat. Asimismo, advirtió que “el número de comunidades indígenas que habitan en los [ex</w:t>
      </w:r>
      <w:r>
        <w:rPr>
          <w:rFonts w:ascii="Verdana" w:hAnsi="Verdana"/>
          <w:sz w:val="20"/>
        </w:rPr>
        <w:t xml:space="preserve"> l</w:t>
      </w:r>
      <w:r w:rsidRPr="009D43E9">
        <w:rPr>
          <w:rFonts w:ascii="Verdana" w:hAnsi="Verdana"/>
          <w:sz w:val="20"/>
        </w:rPr>
        <w:t>]otes fiscales 55 y 14 ha[bía] variado a lo largo del proceso”</w:t>
      </w:r>
      <w:r>
        <w:rPr>
          <w:rStyle w:val="Refdenotaalpie"/>
          <w:rFonts w:ascii="Verdana" w:hAnsi="Verdana"/>
          <w:sz w:val="20"/>
        </w:rPr>
        <w:footnoteReference w:id="18"/>
      </w:r>
      <w:r w:rsidRPr="009D43E9">
        <w:rPr>
          <w:rFonts w:ascii="Verdana" w:hAnsi="Verdana"/>
          <w:sz w:val="20"/>
        </w:rPr>
        <w:t xml:space="preserve">. </w:t>
      </w:r>
      <w:r w:rsidRPr="009D43E9">
        <w:rPr>
          <w:rFonts w:ascii="Verdana" w:hAnsi="Verdana"/>
          <w:sz w:val="20"/>
          <w:szCs w:val="20"/>
        </w:rPr>
        <w:t>En sus observaciones finales escritas</w:t>
      </w:r>
      <w:r>
        <w:rPr>
          <w:rFonts w:ascii="Verdana" w:hAnsi="Verdana"/>
          <w:sz w:val="20"/>
          <w:szCs w:val="20"/>
        </w:rPr>
        <w:t>,</w:t>
      </w:r>
      <w:r w:rsidRPr="009D43E9">
        <w:rPr>
          <w:rFonts w:ascii="Verdana" w:hAnsi="Verdana"/>
          <w:sz w:val="20"/>
          <w:szCs w:val="20"/>
        </w:rPr>
        <w:t xml:space="preserve"> la Comisión expresó que “independientemente de quiénes sean representados por la [Lhaka Honhat</w:t>
      </w:r>
      <w:r>
        <w:rPr>
          <w:rFonts w:ascii="Verdana" w:hAnsi="Verdana"/>
          <w:sz w:val="20"/>
          <w:szCs w:val="20"/>
        </w:rPr>
        <w:t>,</w:t>
      </w:r>
      <w:r w:rsidRPr="009D43E9">
        <w:rPr>
          <w:rFonts w:ascii="Verdana" w:hAnsi="Verdana"/>
          <w:sz w:val="20"/>
          <w:szCs w:val="20"/>
        </w:rPr>
        <w:t>] todas [las comunidades] tienen derecho legítimo sobre su territorio ancestral”.</w:t>
      </w:r>
    </w:p>
    <w:p w14:paraId="0F47A83C" w14:textId="77777777" w:rsidR="009805F2" w:rsidRDefault="009805F2" w:rsidP="009805F2">
      <w:pPr>
        <w:pStyle w:val="Prrafodelista"/>
        <w:spacing w:after="0" w:line="240" w:lineRule="auto"/>
        <w:ind w:left="0" w:right="6"/>
        <w:jc w:val="both"/>
        <w:rPr>
          <w:rFonts w:ascii="Verdana" w:eastAsia="Batang" w:hAnsi="Verdana" w:cs="Times"/>
          <w:sz w:val="20"/>
          <w:szCs w:val="20"/>
          <w:lang w:val="es-CR" w:eastAsia="es-CR"/>
        </w:rPr>
      </w:pPr>
    </w:p>
    <w:p w14:paraId="4B0DAFE8" w14:textId="392F2C0D" w:rsidR="009805F2" w:rsidRPr="002E07B4" w:rsidRDefault="009805F2" w:rsidP="009805F2">
      <w:pPr>
        <w:pStyle w:val="Prrafodelista"/>
        <w:numPr>
          <w:ilvl w:val="0"/>
          <w:numId w:val="1"/>
        </w:numPr>
        <w:spacing w:after="0" w:line="240" w:lineRule="auto"/>
        <w:ind w:left="0" w:right="6" w:hanging="11"/>
        <w:jc w:val="both"/>
        <w:rPr>
          <w:rFonts w:ascii="Verdana" w:eastAsia="Batang" w:hAnsi="Verdana" w:cs="Times"/>
          <w:b/>
          <w:sz w:val="16"/>
          <w:szCs w:val="16"/>
          <w:lang w:val="es-CR" w:eastAsia="es-CR"/>
        </w:rPr>
      </w:pPr>
      <w:r w:rsidRPr="009D43E9">
        <w:rPr>
          <w:rFonts w:ascii="Verdana" w:hAnsi="Verdana"/>
          <w:sz w:val="20"/>
        </w:rPr>
        <w:t xml:space="preserve">Los </w:t>
      </w:r>
      <w:r w:rsidRPr="009D43E9">
        <w:rPr>
          <w:rFonts w:ascii="Verdana" w:hAnsi="Verdana"/>
          <w:b/>
          <w:i/>
          <w:sz w:val="20"/>
        </w:rPr>
        <w:t>representantes</w:t>
      </w:r>
      <w:r w:rsidRPr="009D43E9">
        <w:rPr>
          <w:rFonts w:ascii="Verdana" w:hAnsi="Verdana"/>
          <w:sz w:val="20"/>
        </w:rPr>
        <w:t xml:space="preserve"> afirmaron que</w:t>
      </w:r>
      <w:r w:rsidR="004A6AF0">
        <w:rPr>
          <w:rFonts w:ascii="Verdana" w:hAnsi="Verdana"/>
          <w:sz w:val="20"/>
        </w:rPr>
        <w:t>,</w:t>
      </w:r>
      <w:r w:rsidRPr="009D43E9">
        <w:rPr>
          <w:rFonts w:ascii="Verdana" w:hAnsi="Verdana"/>
          <w:sz w:val="20"/>
        </w:rPr>
        <w:t xml:space="preserve"> de conformidad con el Decreto provincial 1498/14 de 2014, el Estado había reconocido 71 comunidades como titulares de propiedad comunitaria, que para el 14 de marzo de 2018 se habían conformado otras 18, y que el 25 de </w:t>
      </w:r>
      <w:r>
        <w:rPr>
          <w:rFonts w:ascii="Verdana" w:hAnsi="Verdana"/>
          <w:sz w:val="20"/>
        </w:rPr>
        <w:t xml:space="preserve">abril </w:t>
      </w:r>
      <w:r w:rsidRPr="009D43E9">
        <w:rPr>
          <w:rFonts w:ascii="Verdana" w:hAnsi="Verdana"/>
          <w:sz w:val="20"/>
        </w:rPr>
        <w:t>de ese año había “por lo menos 92 comunidades que luchan por sus derechos”</w:t>
      </w:r>
      <w:r>
        <w:rPr>
          <w:rStyle w:val="Refdenotaalpie"/>
          <w:rFonts w:ascii="Verdana" w:hAnsi="Verdana"/>
          <w:sz w:val="20"/>
        </w:rPr>
        <w:footnoteReference w:id="19"/>
      </w:r>
      <w:r w:rsidRPr="009D43E9">
        <w:rPr>
          <w:rFonts w:ascii="Verdana" w:hAnsi="Verdana"/>
          <w:sz w:val="20"/>
        </w:rPr>
        <w:t>. Explicaron que la variación se “de[be] a la naturaleza de las comunidades de fusionarse en nuevas y separarse para crear otras”. E</w:t>
      </w:r>
      <w:r>
        <w:rPr>
          <w:rFonts w:ascii="Verdana" w:hAnsi="Verdana"/>
          <w:sz w:val="20"/>
        </w:rPr>
        <w:t xml:space="preserve">l 3 de </w:t>
      </w:r>
      <w:r w:rsidRPr="009D43E9">
        <w:rPr>
          <w:rFonts w:ascii="Verdana" w:hAnsi="Verdana"/>
          <w:sz w:val="20"/>
        </w:rPr>
        <w:t>junio</w:t>
      </w:r>
      <w:r>
        <w:rPr>
          <w:rFonts w:ascii="Verdana" w:hAnsi="Verdana"/>
          <w:sz w:val="20"/>
        </w:rPr>
        <w:t xml:space="preserve"> </w:t>
      </w:r>
      <w:r w:rsidRPr="009D43E9">
        <w:rPr>
          <w:rFonts w:ascii="Verdana" w:hAnsi="Verdana"/>
          <w:sz w:val="20"/>
        </w:rPr>
        <w:t>de 2019 presentaron una lista actualizada de las comu</w:t>
      </w:r>
      <w:r>
        <w:rPr>
          <w:rFonts w:ascii="Verdana" w:hAnsi="Verdana"/>
          <w:sz w:val="20"/>
        </w:rPr>
        <w:t>nidades indígenas a mayo del mismo año,</w:t>
      </w:r>
      <w:r w:rsidRPr="009D43E9">
        <w:rPr>
          <w:rFonts w:ascii="Verdana" w:hAnsi="Verdana"/>
          <w:sz w:val="20"/>
        </w:rPr>
        <w:t xml:space="preserve"> i</w:t>
      </w:r>
      <w:r w:rsidR="00A95B2D">
        <w:rPr>
          <w:rFonts w:ascii="Verdana" w:hAnsi="Verdana"/>
          <w:sz w:val="20"/>
        </w:rPr>
        <w:t>dentifi</w:t>
      </w:r>
      <w:r w:rsidRPr="009D43E9">
        <w:rPr>
          <w:rFonts w:ascii="Verdana" w:hAnsi="Verdana"/>
          <w:sz w:val="20"/>
        </w:rPr>
        <w:t>ca</w:t>
      </w:r>
      <w:r>
        <w:rPr>
          <w:rFonts w:ascii="Verdana" w:hAnsi="Verdana"/>
          <w:sz w:val="20"/>
        </w:rPr>
        <w:t>ndo</w:t>
      </w:r>
      <w:r w:rsidRPr="009D43E9">
        <w:rPr>
          <w:rFonts w:ascii="Verdana" w:hAnsi="Verdana"/>
          <w:sz w:val="20"/>
        </w:rPr>
        <w:t xml:space="preserve"> un total de 132 comunidades indígenas en el territorio</w:t>
      </w:r>
      <w:r>
        <w:rPr>
          <w:rStyle w:val="Refdenotaalpie"/>
          <w:rFonts w:ascii="Verdana" w:hAnsi="Verdana"/>
          <w:sz w:val="20"/>
        </w:rPr>
        <w:footnoteReference w:id="20"/>
      </w:r>
      <w:r w:rsidRPr="009D43E9">
        <w:rPr>
          <w:rFonts w:ascii="Verdana" w:hAnsi="Verdana"/>
          <w:sz w:val="20"/>
        </w:rPr>
        <w:t>.</w:t>
      </w:r>
      <w:r>
        <w:rPr>
          <w:rFonts w:ascii="Verdana" w:hAnsi="Verdana"/>
          <w:sz w:val="20"/>
        </w:rPr>
        <w:t xml:space="preserve"> </w:t>
      </w:r>
      <w:r w:rsidRPr="009F47E8">
        <w:rPr>
          <w:rFonts w:ascii="Verdana" w:hAnsi="Verdana"/>
          <w:sz w:val="20"/>
        </w:rPr>
        <w:t xml:space="preserve">Aclararon </w:t>
      </w:r>
      <w:r w:rsidRPr="009F47E8">
        <w:rPr>
          <w:rFonts w:ascii="Verdana" w:hAnsi="Verdana"/>
          <w:sz w:val="20"/>
        </w:rPr>
        <w:lastRenderedPageBreak/>
        <w:t>que no se trata de “personas que no estuvieran ya incorporadas”</w:t>
      </w:r>
      <w:r w:rsidR="00A95B2D">
        <w:rPr>
          <w:rFonts w:ascii="Verdana" w:hAnsi="Verdana"/>
          <w:sz w:val="20"/>
        </w:rPr>
        <w:t>,</w:t>
      </w:r>
      <w:r w:rsidRPr="009F47E8">
        <w:rPr>
          <w:rFonts w:ascii="Verdana" w:hAnsi="Verdana"/>
          <w:sz w:val="20"/>
        </w:rPr>
        <w:t xml:space="preserve"> sino que son “las mismas que ya residían en el territorio”, pero que por diversas razones han decidido formar más comunidades.</w:t>
      </w:r>
    </w:p>
    <w:p w14:paraId="67223444" w14:textId="77777777" w:rsidR="009805F2" w:rsidRPr="009D43E9" w:rsidRDefault="009805F2" w:rsidP="009805F2">
      <w:pPr>
        <w:pStyle w:val="Prrafodelista"/>
        <w:spacing w:line="240" w:lineRule="auto"/>
        <w:rPr>
          <w:rFonts w:ascii="Verdana" w:hAnsi="Verdana"/>
          <w:sz w:val="20"/>
        </w:rPr>
      </w:pPr>
    </w:p>
    <w:p w14:paraId="263BFE81" w14:textId="77777777" w:rsidR="009805F2" w:rsidRDefault="009805F2" w:rsidP="009805F2">
      <w:pPr>
        <w:pStyle w:val="Prrafodelista"/>
        <w:numPr>
          <w:ilvl w:val="0"/>
          <w:numId w:val="1"/>
        </w:numPr>
        <w:spacing w:after="0" w:line="240" w:lineRule="auto"/>
        <w:ind w:left="0" w:right="6" w:hanging="11"/>
        <w:jc w:val="both"/>
        <w:rPr>
          <w:rFonts w:ascii="Verdana" w:eastAsia="Batang" w:hAnsi="Verdana" w:cs="Times"/>
          <w:sz w:val="20"/>
          <w:szCs w:val="20"/>
          <w:lang w:val="es-CR" w:eastAsia="es-CR"/>
        </w:rPr>
      </w:pPr>
      <w:r w:rsidRPr="009D43E9">
        <w:rPr>
          <w:rFonts w:ascii="Verdana" w:hAnsi="Verdana"/>
          <w:sz w:val="20"/>
        </w:rPr>
        <w:t xml:space="preserve">El </w:t>
      </w:r>
      <w:r w:rsidRPr="009D43E9">
        <w:rPr>
          <w:rFonts w:ascii="Verdana" w:hAnsi="Verdana"/>
          <w:b/>
          <w:i/>
          <w:sz w:val="20"/>
        </w:rPr>
        <w:t>Estado</w:t>
      </w:r>
      <w:r w:rsidRPr="009D43E9">
        <w:rPr>
          <w:rFonts w:ascii="Verdana" w:hAnsi="Verdana"/>
          <w:sz w:val="20"/>
        </w:rPr>
        <w:t xml:space="preserve"> adujo que “es necesario considerar la complejidad que aporta la aparición de nuevas comunidades que en un futuro no quieran ser parte de un título único y se susciten conflictos intercomunitarios por tod</w:t>
      </w:r>
      <w:r>
        <w:rPr>
          <w:rFonts w:ascii="Verdana" w:hAnsi="Verdana"/>
          <w:sz w:val="20"/>
        </w:rPr>
        <w:t>[a]</w:t>
      </w:r>
      <w:r w:rsidRPr="009D43E9">
        <w:rPr>
          <w:rFonts w:ascii="Verdana" w:hAnsi="Verdana"/>
          <w:sz w:val="20"/>
        </w:rPr>
        <w:t>s tener la propiedad compartida y el uso de recursos naturales”. A</w:t>
      </w:r>
      <w:r>
        <w:rPr>
          <w:rFonts w:ascii="Verdana" w:hAnsi="Verdana"/>
          <w:sz w:val="20"/>
        </w:rPr>
        <w:t>rgentina negó el carácter superviniente del</w:t>
      </w:r>
      <w:r w:rsidRPr="009D43E9">
        <w:rPr>
          <w:rFonts w:ascii="Verdana" w:hAnsi="Verdana"/>
          <w:sz w:val="20"/>
        </w:rPr>
        <w:t xml:space="preserve"> último listado de comunidades presentado por los representantes</w:t>
      </w:r>
      <w:r>
        <w:rPr>
          <w:rFonts w:ascii="Verdana" w:hAnsi="Verdana"/>
          <w:sz w:val="20"/>
        </w:rPr>
        <w:t xml:space="preserve"> y señaló que “no le consta” la autenticidad de la lista.</w:t>
      </w:r>
    </w:p>
    <w:p w14:paraId="669F609F" w14:textId="77777777" w:rsidR="009805F2" w:rsidRDefault="009805F2" w:rsidP="009805F2">
      <w:pPr>
        <w:tabs>
          <w:tab w:val="center" w:pos="4419"/>
          <w:tab w:val="left" w:pos="6330"/>
        </w:tabs>
        <w:spacing w:after="0" w:line="240" w:lineRule="auto"/>
        <w:rPr>
          <w:rFonts w:ascii="Verdana" w:hAnsi="Verdana"/>
          <w:b/>
          <w:sz w:val="20"/>
          <w:szCs w:val="20"/>
        </w:rPr>
      </w:pPr>
    </w:p>
    <w:p w14:paraId="0B4A91BA" w14:textId="77777777" w:rsidR="009805F2" w:rsidRPr="002A21F3" w:rsidRDefault="009805F2" w:rsidP="009805F2">
      <w:pPr>
        <w:pStyle w:val="Ttulo3"/>
        <w:spacing w:line="240" w:lineRule="auto"/>
        <w:ind w:left="567"/>
        <w:rPr>
          <w:rFonts w:ascii="Verdana" w:hAnsi="Verdana"/>
          <w:b/>
          <w:i/>
          <w:sz w:val="20"/>
          <w:szCs w:val="20"/>
        </w:rPr>
      </w:pPr>
      <w:bookmarkStart w:id="38" w:name="_Toc32218820"/>
      <w:bookmarkStart w:id="39" w:name="_Toc32227090"/>
      <w:bookmarkStart w:id="40" w:name="_Toc34337519"/>
      <w:r w:rsidRPr="002A21F3">
        <w:rPr>
          <w:rFonts w:ascii="Verdana" w:hAnsi="Verdana"/>
          <w:b/>
          <w:i/>
          <w:color w:val="auto"/>
          <w:sz w:val="20"/>
          <w:szCs w:val="20"/>
        </w:rPr>
        <w:t>B.2 Consideraciones de la Corte</w:t>
      </w:r>
      <w:bookmarkEnd w:id="38"/>
      <w:bookmarkEnd w:id="39"/>
      <w:bookmarkEnd w:id="40"/>
    </w:p>
    <w:p w14:paraId="46C53781" w14:textId="77777777" w:rsidR="009805F2" w:rsidRPr="009D43E9" w:rsidRDefault="009805F2" w:rsidP="009805F2">
      <w:pPr>
        <w:pStyle w:val="Prrafodelista"/>
        <w:spacing w:line="240" w:lineRule="auto"/>
        <w:rPr>
          <w:rFonts w:ascii="Verdana" w:hAnsi="Verdana"/>
          <w:sz w:val="20"/>
        </w:rPr>
      </w:pPr>
    </w:p>
    <w:p w14:paraId="16EF2CC7" w14:textId="77777777" w:rsidR="009805F2" w:rsidRDefault="009805F2" w:rsidP="009805F2">
      <w:pPr>
        <w:pStyle w:val="Prrafodelista"/>
        <w:numPr>
          <w:ilvl w:val="0"/>
          <w:numId w:val="1"/>
        </w:numPr>
        <w:spacing w:after="0" w:line="240" w:lineRule="auto"/>
        <w:ind w:left="0" w:right="6" w:hanging="11"/>
        <w:jc w:val="both"/>
        <w:rPr>
          <w:rFonts w:ascii="Verdana" w:eastAsia="Batang" w:hAnsi="Verdana" w:cs="Times"/>
          <w:sz w:val="20"/>
          <w:szCs w:val="20"/>
          <w:lang w:val="es-CR" w:eastAsia="es-CR"/>
        </w:rPr>
      </w:pPr>
      <w:r w:rsidRPr="009D43E9">
        <w:rPr>
          <w:rFonts w:ascii="Verdana" w:hAnsi="Verdana"/>
          <w:sz w:val="20"/>
        </w:rPr>
        <w:t xml:space="preserve">La </w:t>
      </w:r>
      <w:r w:rsidRPr="009D43E9">
        <w:rPr>
          <w:rFonts w:ascii="Verdana" w:hAnsi="Verdana"/>
          <w:b/>
          <w:i/>
          <w:sz w:val="20"/>
        </w:rPr>
        <w:t>Corte</w:t>
      </w:r>
      <w:r w:rsidRPr="009D43E9">
        <w:rPr>
          <w:rFonts w:ascii="Verdana" w:hAnsi="Verdana"/>
          <w:sz w:val="20"/>
        </w:rPr>
        <w:t>, en primer lugar, deja sentado que es procedente</w:t>
      </w:r>
      <w:r>
        <w:rPr>
          <w:rFonts w:ascii="Verdana" w:hAnsi="Verdana"/>
          <w:sz w:val="20"/>
        </w:rPr>
        <w:t>,</w:t>
      </w:r>
      <w:r w:rsidRPr="009D43E9">
        <w:rPr>
          <w:rFonts w:ascii="Verdana" w:hAnsi="Verdana"/>
          <w:sz w:val="20"/>
        </w:rPr>
        <w:t xml:space="preserve"> en casos referidos a derechos propios de pueblos indígenas, </w:t>
      </w:r>
      <w:r>
        <w:rPr>
          <w:rFonts w:ascii="Verdana" w:hAnsi="Verdana"/>
          <w:sz w:val="20"/>
        </w:rPr>
        <w:t xml:space="preserve">que </w:t>
      </w:r>
      <w:r w:rsidRPr="009D43E9">
        <w:rPr>
          <w:rFonts w:ascii="Verdana" w:hAnsi="Verdana"/>
          <w:sz w:val="20"/>
        </w:rPr>
        <w:t>las “comunidades” indígenas sean consideradas presuntas víctimas</w:t>
      </w:r>
      <w:r>
        <w:rPr>
          <w:rStyle w:val="Refdenotaalpie"/>
          <w:rFonts w:ascii="Verdana" w:hAnsi="Verdana"/>
          <w:sz w:val="20"/>
        </w:rPr>
        <w:footnoteReference w:id="21"/>
      </w:r>
      <w:r w:rsidRPr="009D43E9">
        <w:rPr>
          <w:rFonts w:ascii="Verdana" w:hAnsi="Verdana"/>
          <w:sz w:val="20"/>
        </w:rPr>
        <w:t xml:space="preserve">. </w:t>
      </w:r>
    </w:p>
    <w:p w14:paraId="70958AC2" w14:textId="77777777" w:rsidR="009805F2" w:rsidRPr="009D43E9" w:rsidRDefault="009805F2" w:rsidP="009805F2">
      <w:pPr>
        <w:pStyle w:val="Prrafodelista"/>
        <w:spacing w:line="240" w:lineRule="auto"/>
        <w:rPr>
          <w:rFonts w:ascii="Verdana" w:hAnsi="Verdana"/>
          <w:sz w:val="20"/>
        </w:rPr>
      </w:pPr>
    </w:p>
    <w:p w14:paraId="33F924B8" w14:textId="77777777" w:rsidR="009805F2" w:rsidRDefault="009805F2" w:rsidP="009805F2">
      <w:pPr>
        <w:pStyle w:val="Prrafodelista"/>
        <w:numPr>
          <w:ilvl w:val="0"/>
          <w:numId w:val="1"/>
        </w:numPr>
        <w:spacing w:after="0" w:line="240" w:lineRule="auto"/>
        <w:ind w:left="0" w:right="6" w:hanging="11"/>
        <w:jc w:val="both"/>
        <w:rPr>
          <w:rFonts w:ascii="Verdana" w:eastAsia="Batang" w:hAnsi="Verdana" w:cs="Times"/>
          <w:sz w:val="20"/>
          <w:szCs w:val="20"/>
          <w:lang w:val="es-CR" w:eastAsia="es-CR"/>
        </w:rPr>
      </w:pPr>
      <w:r w:rsidRPr="009D43E9">
        <w:rPr>
          <w:rFonts w:ascii="Verdana" w:hAnsi="Verdana"/>
          <w:sz w:val="20"/>
        </w:rPr>
        <w:t>Por otra parte, si bien de acuerdo al artículo 35.1 del Reglamento el Informe de Fondo debe contener la identificación de las presuntas víctimas, el artículo reglamentario 35.2 prevé una excepción. La misma opera cuando hay “un impedimento material o práctico para identificar a presuntas víctimas en casos de violaciones masivas o colectivas a los derechos humanos”</w:t>
      </w:r>
      <w:r>
        <w:rPr>
          <w:rStyle w:val="Refdenotaalpie"/>
          <w:rFonts w:ascii="Verdana" w:hAnsi="Verdana"/>
          <w:sz w:val="20"/>
        </w:rPr>
        <w:footnoteReference w:id="22"/>
      </w:r>
      <w:r w:rsidRPr="009D43E9">
        <w:rPr>
          <w:rFonts w:ascii="Verdana" w:hAnsi="Verdana"/>
          <w:sz w:val="20"/>
        </w:rPr>
        <w:t xml:space="preserve">. Para determinar la procedencia de la excepción, este Tribunal ha evaluado las características particulares de cada caso. </w:t>
      </w:r>
    </w:p>
    <w:p w14:paraId="78028493" w14:textId="77777777" w:rsidR="009805F2" w:rsidRPr="009D43E9" w:rsidRDefault="009805F2" w:rsidP="009805F2">
      <w:pPr>
        <w:pStyle w:val="Prrafodelista"/>
        <w:spacing w:line="240" w:lineRule="auto"/>
        <w:rPr>
          <w:rFonts w:ascii="Verdana" w:hAnsi="Verdana"/>
          <w:sz w:val="20"/>
        </w:rPr>
      </w:pPr>
    </w:p>
    <w:p w14:paraId="13A50486" w14:textId="6C091C3B" w:rsidR="009805F2" w:rsidRPr="001E3405" w:rsidRDefault="009805F2" w:rsidP="009805F2">
      <w:pPr>
        <w:pStyle w:val="Prrafodelista"/>
        <w:numPr>
          <w:ilvl w:val="0"/>
          <w:numId w:val="1"/>
        </w:numPr>
        <w:spacing w:after="0" w:line="240" w:lineRule="auto"/>
        <w:ind w:left="0" w:right="6" w:hanging="11"/>
        <w:jc w:val="both"/>
        <w:rPr>
          <w:rFonts w:ascii="Verdana" w:eastAsia="Batang" w:hAnsi="Verdana" w:cs="Times"/>
          <w:sz w:val="20"/>
          <w:szCs w:val="20"/>
          <w:lang w:val="es-CR" w:eastAsia="es-CR"/>
        </w:rPr>
      </w:pPr>
      <w:r w:rsidRPr="009D43E9">
        <w:rPr>
          <w:rFonts w:ascii="Verdana" w:hAnsi="Verdana"/>
          <w:sz w:val="20"/>
        </w:rPr>
        <w:t xml:space="preserve">Al respecto, la información presentada a </w:t>
      </w:r>
      <w:r>
        <w:rPr>
          <w:rFonts w:ascii="Verdana" w:hAnsi="Verdana"/>
          <w:sz w:val="20"/>
        </w:rPr>
        <w:t>la Corte</w:t>
      </w:r>
      <w:r w:rsidRPr="009D43E9">
        <w:rPr>
          <w:rFonts w:ascii="Verdana" w:hAnsi="Verdana"/>
          <w:sz w:val="20"/>
        </w:rPr>
        <w:t xml:space="preserve"> indica que el número de comunidades indígenas asentadas en el territorio reclamado ha ido variando.</w:t>
      </w:r>
      <w:r>
        <w:rPr>
          <w:rFonts w:ascii="Verdana" w:hAnsi="Verdana"/>
          <w:sz w:val="20"/>
        </w:rPr>
        <w:t xml:space="preserve"> Los representantes informaron que en junio de 2019 el número de comunidades era 1</w:t>
      </w:r>
      <w:r w:rsidR="00DB757A">
        <w:rPr>
          <w:rFonts w:ascii="Verdana" w:hAnsi="Verdana"/>
          <w:sz w:val="20"/>
        </w:rPr>
        <w:t>3</w:t>
      </w:r>
      <w:r>
        <w:rPr>
          <w:rFonts w:ascii="Verdana" w:hAnsi="Verdana"/>
          <w:sz w:val="20"/>
        </w:rPr>
        <w:t xml:space="preserve">2, siendo superior al señalado en el escrito de solicitudes y argumentos. Aunque el Estado negó el carácter superviniente del incremento, no dio razones para ello. No hay motivos para considerar falsa la información indicada por los representantes quienes, a su vez, aclararon que no se trata de personas nuevas, sino de las mismas personas que formaron nuevas comunidades. </w:t>
      </w:r>
      <w:r w:rsidRPr="009D43E9">
        <w:rPr>
          <w:rFonts w:ascii="Verdana" w:hAnsi="Verdana"/>
          <w:sz w:val="20"/>
        </w:rPr>
        <w:t xml:space="preserve"> </w:t>
      </w:r>
    </w:p>
    <w:p w14:paraId="3CAB4BBE" w14:textId="77777777" w:rsidR="009805F2" w:rsidRPr="001E3405" w:rsidRDefault="009805F2" w:rsidP="009805F2">
      <w:pPr>
        <w:pStyle w:val="Prrafodelista"/>
        <w:spacing w:line="240" w:lineRule="auto"/>
        <w:rPr>
          <w:rFonts w:ascii="Verdana" w:hAnsi="Verdana"/>
          <w:sz w:val="20"/>
        </w:rPr>
      </w:pPr>
    </w:p>
    <w:p w14:paraId="1285814E" w14:textId="77777777" w:rsidR="009805F2" w:rsidRDefault="009805F2" w:rsidP="009805F2">
      <w:pPr>
        <w:pStyle w:val="Prrafodelista"/>
        <w:numPr>
          <w:ilvl w:val="0"/>
          <w:numId w:val="1"/>
        </w:numPr>
        <w:spacing w:after="0" w:line="240" w:lineRule="auto"/>
        <w:ind w:left="0" w:right="6" w:hanging="11"/>
        <w:jc w:val="both"/>
        <w:rPr>
          <w:rFonts w:ascii="Verdana" w:eastAsia="Batang" w:hAnsi="Verdana" w:cs="Times"/>
          <w:sz w:val="20"/>
          <w:szCs w:val="20"/>
          <w:lang w:val="es-CR" w:eastAsia="es-CR"/>
        </w:rPr>
      </w:pPr>
      <w:r>
        <w:rPr>
          <w:rFonts w:ascii="Verdana" w:hAnsi="Verdana"/>
          <w:sz w:val="20"/>
        </w:rPr>
        <w:lastRenderedPageBreak/>
        <w:t>S</w:t>
      </w:r>
      <w:r w:rsidRPr="009D43E9">
        <w:rPr>
          <w:rFonts w:ascii="Verdana" w:hAnsi="Verdana"/>
          <w:sz w:val="20"/>
        </w:rPr>
        <w:t>e ha señalado que</w:t>
      </w:r>
      <w:r>
        <w:rPr>
          <w:rFonts w:ascii="Verdana" w:hAnsi="Verdana"/>
          <w:sz w:val="20"/>
        </w:rPr>
        <w:t xml:space="preserve"> las </w:t>
      </w:r>
      <w:r w:rsidRPr="009D43E9">
        <w:rPr>
          <w:rFonts w:ascii="Verdana" w:hAnsi="Verdana"/>
          <w:sz w:val="20"/>
        </w:rPr>
        <w:t>variaci</w:t>
      </w:r>
      <w:r>
        <w:rPr>
          <w:rFonts w:ascii="Verdana" w:hAnsi="Verdana"/>
          <w:sz w:val="20"/>
        </w:rPr>
        <w:t>o</w:t>
      </w:r>
      <w:r w:rsidRPr="009D43E9">
        <w:rPr>
          <w:rFonts w:ascii="Verdana" w:hAnsi="Verdana"/>
          <w:sz w:val="20"/>
        </w:rPr>
        <w:t>n</w:t>
      </w:r>
      <w:r>
        <w:rPr>
          <w:rFonts w:ascii="Verdana" w:hAnsi="Verdana"/>
          <w:sz w:val="20"/>
        </w:rPr>
        <w:t>es</w:t>
      </w:r>
      <w:r w:rsidRPr="009D43E9">
        <w:rPr>
          <w:rFonts w:ascii="Verdana" w:hAnsi="Verdana"/>
          <w:sz w:val="20"/>
        </w:rPr>
        <w:t xml:space="preserve"> </w:t>
      </w:r>
      <w:r>
        <w:rPr>
          <w:rFonts w:ascii="Verdana" w:hAnsi="Verdana"/>
          <w:sz w:val="20"/>
        </w:rPr>
        <w:t xml:space="preserve">de cantidad </w:t>
      </w:r>
      <w:r w:rsidRPr="009D43E9">
        <w:rPr>
          <w:rFonts w:ascii="Verdana" w:hAnsi="Verdana"/>
          <w:sz w:val="20"/>
        </w:rPr>
        <w:t>obedece</w:t>
      </w:r>
      <w:r>
        <w:rPr>
          <w:rFonts w:ascii="Verdana" w:hAnsi="Verdana"/>
          <w:sz w:val="20"/>
        </w:rPr>
        <w:t>n</w:t>
      </w:r>
      <w:r w:rsidRPr="009D43E9">
        <w:rPr>
          <w:rFonts w:ascii="Verdana" w:hAnsi="Verdana"/>
          <w:sz w:val="20"/>
        </w:rPr>
        <w:t xml:space="preserve"> a las propias características de los pueblos involucrados</w:t>
      </w:r>
      <w:r>
        <w:rPr>
          <w:rFonts w:ascii="Verdana" w:hAnsi="Verdana"/>
          <w:sz w:val="20"/>
        </w:rPr>
        <w:t>, pues</w:t>
      </w:r>
      <w:r w:rsidRPr="009D43E9">
        <w:rPr>
          <w:rFonts w:ascii="Verdana" w:hAnsi="Verdana"/>
          <w:sz w:val="20"/>
        </w:rPr>
        <w:t xml:space="preserve"> se trata de comunidades nómadas,</w:t>
      </w:r>
      <w:r>
        <w:rPr>
          <w:rFonts w:ascii="Verdana" w:hAnsi="Verdana"/>
          <w:sz w:val="20"/>
        </w:rPr>
        <w:t xml:space="preserve"> cuya</w:t>
      </w:r>
      <w:r w:rsidRPr="009D43E9">
        <w:rPr>
          <w:rFonts w:ascii="Verdana" w:hAnsi="Verdana"/>
          <w:sz w:val="20"/>
        </w:rPr>
        <w:t xml:space="preserve"> estructura social ancestral involucra la dinámica denominada de “fisión-fusión”</w:t>
      </w:r>
      <w:r>
        <w:rPr>
          <w:rStyle w:val="Refdenotaalpie"/>
          <w:rFonts w:ascii="Verdana" w:hAnsi="Verdana"/>
          <w:sz w:val="20"/>
        </w:rPr>
        <w:footnoteReference w:id="23"/>
      </w:r>
      <w:r w:rsidRPr="009D43E9">
        <w:rPr>
          <w:rFonts w:ascii="Verdana" w:hAnsi="Verdana"/>
          <w:sz w:val="20"/>
        </w:rPr>
        <w:t>. Esto no surge solo de señalamientos de</w:t>
      </w:r>
      <w:r>
        <w:rPr>
          <w:rFonts w:ascii="Verdana" w:hAnsi="Verdana"/>
          <w:sz w:val="20"/>
        </w:rPr>
        <w:t xml:space="preserve"> los representantes</w:t>
      </w:r>
      <w:r w:rsidRPr="009D43E9">
        <w:rPr>
          <w:rFonts w:ascii="Verdana" w:hAnsi="Verdana"/>
          <w:sz w:val="20"/>
        </w:rPr>
        <w:t xml:space="preserve"> y de la Comisión, sino también de prueba pericial. Así, la perita Naharro ha dicho que “resulta muy dificultoso calcular el número exacto de comunidades, ya que esta cifra es muy cambiante, dado que los procesos de fisión y fusión de las unidades residenciales forman parte del principal repertorio social destinado a mantener la convivencia”.</w:t>
      </w:r>
      <w:r w:rsidRPr="009D43E9">
        <w:rPr>
          <w:rFonts w:ascii="Verdana" w:hAnsi="Verdana"/>
          <w:b/>
          <w:sz w:val="20"/>
          <w:szCs w:val="16"/>
        </w:rPr>
        <w:t xml:space="preserve"> </w:t>
      </w:r>
    </w:p>
    <w:p w14:paraId="26BE598A" w14:textId="77777777" w:rsidR="009805F2" w:rsidRPr="00BA2700" w:rsidRDefault="009805F2" w:rsidP="009805F2">
      <w:pPr>
        <w:pStyle w:val="Prrafodelista"/>
        <w:spacing w:line="240" w:lineRule="auto"/>
        <w:rPr>
          <w:rFonts w:ascii="Verdana" w:hAnsi="Verdana"/>
          <w:sz w:val="20"/>
          <w:szCs w:val="16"/>
          <w:lang w:val="es-CR"/>
        </w:rPr>
      </w:pPr>
    </w:p>
    <w:p w14:paraId="6F7DD28E" w14:textId="4303B0A3" w:rsidR="009805F2" w:rsidRDefault="009805F2" w:rsidP="009805F2">
      <w:pPr>
        <w:pStyle w:val="Prrafodelista"/>
        <w:numPr>
          <w:ilvl w:val="0"/>
          <w:numId w:val="1"/>
        </w:numPr>
        <w:spacing w:after="0" w:line="240" w:lineRule="auto"/>
        <w:ind w:left="0" w:right="6" w:hanging="11"/>
        <w:jc w:val="both"/>
        <w:rPr>
          <w:rFonts w:ascii="Verdana" w:eastAsia="Batang" w:hAnsi="Verdana" w:cs="Times"/>
          <w:sz w:val="20"/>
          <w:szCs w:val="20"/>
          <w:lang w:val="es-CR" w:eastAsia="es-CR"/>
        </w:rPr>
      </w:pPr>
      <w:r w:rsidRPr="009D43E9">
        <w:rPr>
          <w:rFonts w:ascii="Verdana" w:hAnsi="Verdana"/>
          <w:sz w:val="20"/>
          <w:szCs w:val="16"/>
        </w:rPr>
        <w:t xml:space="preserve">La dificultad expresada se vincula </w:t>
      </w:r>
      <w:r w:rsidR="004A6AF0">
        <w:rPr>
          <w:rFonts w:ascii="Verdana" w:hAnsi="Verdana"/>
          <w:sz w:val="20"/>
          <w:szCs w:val="16"/>
        </w:rPr>
        <w:t>con</w:t>
      </w:r>
      <w:r w:rsidRPr="009D43E9">
        <w:rPr>
          <w:rFonts w:ascii="Verdana" w:hAnsi="Verdana"/>
          <w:sz w:val="20"/>
          <w:szCs w:val="16"/>
        </w:rPr>
        <w:t xml:space="preserve"> las características culturales propias de las comunidades indígenas. Esto es una situación de hecho que, como tal, resulta independiente de delimitaciones formales que pudieran establecerse por motivos pragmáticos, tales como los que se desprenden del argumento estatal </w:t>
      </w:r>
      <w:r>
        <w:rPr>
          <w:rFonts w:ascii="Verdana" w:hAnsi="Verdana"/>
          <w:sz w:val="20"/>
          <w:szCs w:val="16"/>
        </w:rPr>
        <w:t>s</w:t>
      </w:r>
      <w:r w:rsidRPr="009D43E9">
        <w:rPr>
          <w:rFonts w:ascii="Verdana" w:hAnsi="Verdana"/>
          <w:sz w:val="20"/>
          <w:szCs w:val="16"/>
        </w:rPr>
        <w:t xml:space="preserve">obre la “complejidad” que podría presentar la </w:t>
      </w:r>
      <w:r>
        <w:rPr>
          <w:rFonts w:ascii="Verdana" w:hAnsi="Verdana"/>
          <w:sz w:val="20"/>
          <w:szCs w:val="16"/>
        </w:rPr>
        <w:t xml:space="preserve">falta de </w:t>
      </w:r>
      <w:r w:rsidRPr="009D43E9">
        <w:rPr>
          <w:rFonts w:ascii="Verdana" w:hAnsi="Verdana"/>
          <w:sz w:val="20"/>
          <w:szCs w:val="16"/>
        </w:rPr>
        <w:t>determinación precisa (</w:t>
      </w:r>
      <w:r w:rsidRPr="009D43E9">
        <w:rPr>
          <w:rFonts w:ascii="Verdana" w:hAnsi="Verdana"/>
          <w:i/>
          <w:sz w:val="20"/>
          <w:szCs w:val="16"/>
        </w:rPr>
        <w:t>supra</w:t>
      </w:r>
      <w:r w:rsidRPr="009D43E9">
        <w:rPr>
          <w:rFonts w:ascii="Verdana" w:hAnsi="Verdana"/>
          <w:sz w:val="20"/>
          <w:szCs w:val="16"/>
        </w:rPr>
        <w:t xml:space="preserve"> párr. </w:t>
      </w:r>
      <w:r>
        <w:rPr>
          <w:rFonts w:ascii="Verdana" w:hAnsi="Verdana"/>
          <w:sz w:val="20"/>
          <w:szCs w:val="16"/>
        </w:rPr>
        <w:t>29</w:t>
      </w:r>
      <w:r w:rsidRPr="009D43E9">
        <w:rPr>
          <w:rFonts w:ascii="Verdana" w:hAnsi="Verdana"/>
          <w:sz w:val="20"/>
          <w:szCs w:val="16"/>
        </w:rPr>
        <w:t>).</w:t>
      </w:r>
      <w:r w:rsidRPr="009D43E9">
        <w:rPr>
          <w:rFonts w:ascii="Verdana" w:hAnsi="Verdana"/>
          <w:b/>
          <w:sz w:val="20"/>
          <w:szCs w:val="16"/>
        </w:rPr>
        <w:t xml:space="preserve"> </w:t>
      </w:r>
      <w:r>
        <w:rPr>
          <w:rFonts w:ascii="Verdana" w:hAnsi="Verdana"/>
          <w:sz w:val="20"/>
          <w:szCs w:val="16"/>
        </w:rPr>
        <w:t>D</w:t>
      </w:r>
      <w:r w:rsidRPr="009D43E9">
        <w:rPr>
          <w:rFonts w:ascii="Verdana" w:hAnsi="Verdana"/>
          <w:sz w:val="20"/>
          <w:szCs w:val="16"/>
        </w:rPr>
        <w:t>elimitar las presuntas víctimas desconociendo las características culturales propias de las comunidades referidas sería contradictorio con la tutela de los derechos de pueblos y comunidades indígenas, que tiene por base la identidad cultural de los mismos; además, podría afectar la eficacia de la decisión de la Corte, que quedaría circunscrita a un conjunto de comunidades definido sob</w:t>
      </w:r>
      <w:r>
        <w:rPr>
          <w:rFonts w:ascii="Verdana" w:hAnsi="Verdana"/>
          <w:sz w:val="20"/>
          <w:szCs w:val="16"/>
        </w:rPr>
        <w:t>r</w:t>
      </w:r>
      <w:r w:rsidRPr="009D43E9">
        <w:rPr>
          <w:rFonts w:ascii="Verdana" w:hAnsi="Verdana"/>
          <w:sz w:val="20"/>
          <w:szCs w:val="16"/>
        </w:rPr>
        <w:t>e bases</w:t>
      </w:r>
      <w:r>
        <w:rPr>
          <w:rFonts w:ascii="Verdana" w:hAnsi="Verdana"/>
          <w:sz w:val="20"/>
          <w:szCs w:val="16"/>
        </w:rPr>
        <w:t xml:space="preserve"> </w:t>
      </w:r>
      <w:r w:rsidRPr="009D43E9">
        <w:rPr>
          <w:rFonts w:ascii="Verdana" w:hAnsi="Verdana"/>
          <w:sz w:val="20"/>
          <w:szCs w:val="16"/>
        </w:rPr>
        <w:t xml:space="preserve">meramente formales, no necesariamente correlativas a la realidad de los hechos. </w:t>
      </w:r>
    </w:p>
    <w:p w14:paraId="4903801B" w14:textId="77777777" w:rsidR="009805F2" w:rsidRPr="006258CB" w:rsidRDefault="009805F2" w:rsidP="009805F2">
      <w:pPr>
        <w:pStyle w:val="Prrafodelista"/>
        <w:spacing w:line="240" w:lineRule="auto"/>
        <w:rPr>
          <w:rFonts w:ascii="Verdana" w:hAnsi="Verdana"/>
          <w:sz w:val="20"/>
          <w:lang w:val="es-CR"/>
        </w:rPr>
      </w:pPr>
    </w:p>
    <w:p w14:paraId="265662A7" w14:textId="77777777" w:rsidR="009805F2" w:rsidRPr="00DE6E47" w:rsidRDefault="009805F2" w:rsidP="009805F2">
      <w:pPr>
        <w:pStyle w:val="Prrafodelista"/>
        <w:numPr>
          <w:ilvl w:val="0"/>
          <w:numId w:val="1"/>
        </w:numPr>
        <w:spacing w:after="0" w:line="240" w:lineRule="auto"/>
        <w:ind w:left="0" w:right="6" w:hanging="11"/>
        <w:jc w:val="both"/>
        <w:rPr>
          <w:rFonts w:ascii="Verdana" w:eastAsia="Batang" w:hAnsi="Verdana" w:cs="Times"/>
          <w:sz w:val="20"/>
          <w:szCs w:val="20"/>
          <w:lang w:val="es-CR" w:eastAsia="es-CR"/>
        </w:rPr>
      </w:pPr>
      <w:r>
        <w:rPr>
          <w:rFonts w:ascii="Verdana" w:hAnsi="Verdana"/>
          <w:sz w:val="20"/>
        </w:rPr>
        <w:t>Este Tribunal</w:t>
      </w:r>
      <w:r w:rsidRPr="009D43E9">
        <w:rPr>
          <w:rFonts w:ascii="Verdana" w:hAnsi="Verdana"/>
          <w:sz w:val="20"/>
        </w:rPr>
        <w:t xml:space="preserve"> encuentr</w:t>
      </w:r>
      <w:r>
        <w:rPr>
          <w:rFonts w:ascii="Verdana" w:hAnsi="Verdana"/>
          <w:sz w:val="20"/>
        </w:rPr>
        <w:t>a</w:t>
      </w:r>
      <w:r w:rsidRPr="009D43E9">
        <w:rPr>
          <w:rFonts w:ascii="Verdana" w:hAnsi="Verdana"/>
          <w:sz w:val="20"/>
        </w:rPr>
        <w:t xml:space="preserve"> que el caso es colectivo </w:t>
      </w:r>
      <w:r>
        <w:rPr>
          <w:rFonts w:ascii="Verdana" w:hAnsi="Verdana"/>
          <w:sz w:val="20"/>
        </w:rPr>
        <w:t xml:space="preserve">y que </w:t>
      </w:r>
      <w:r w:rsidRPr="009D43E9">
        <w:rPr>
          <w:rFonts w:ascii="Verdana" w:hAnsi="Verdana"/>
          <w:sz w:val="20"/>
        </w:rPr>
        <w:t xml:space="preserve">resulta aplicable el artículo 35.2 del Reglamento. </w:t>
      </w:r>
      <w:r>
        <w:rPr>
          <w:rFonts w:ascii="Verdana" w:hAnsi="Verdana"/>
          <w:sz w:val="20"/>
        </w:rPr>
        <w:t>La Corte</w:t>
      </w:r>
      <w:r w:rsidRPr="009D43E9">
        <w:rPr>
          <w:rFonts w:ascii="Verdana" w:hAnsi="Verdana"/>
          <w:sz w:val="20"/>
        </w:rPr>
        <w:t xml:space="preserve"> considera presuntas víctimas a todas las comunidades indígenas </w:t>
      </w:r>
      <w:r>
        <w:rPr>
          <w:rFonts w:ascii="Verdana" w:hAnsi="Verdana"/>
          <w:sz w:val="20"/>
        </w:rPr>
        <w:t xml:space="preserve">indicadas por los representantes en sus alegatos finales escritos </w:t>
      </w:r>
      <w:r w:rsidRPr="009D43E9">
        <w:rPr>
          <w:rFonts w:ascii="Verdana" w:hAnsi="Verdana"/>
          <w:sz w:val="20"/>
        </w:rPr>
        <w:t>que habitan e</w:t>
      </w:r>
      <w:r>
        <w:rPr>
          <w:rFonts w:ascii="Verdana" w:hAnsi="Verdana"/>
          <w:sz w:val="20"/>
        </w:rPr>
        <w:t xml:space="preserve">n la tierra antes señalada como “lotes fiscales 14 y 55” y actualmente </w:t>
      </w:r>
      <w:r>
        <w:rPr>
          <w:rFonts w:ascii="Verdana" w:eastAsia="Batang" w:hAnsi="Verdana" w:cs="Times"/>
          <w:sz w:val="20"/>
          <w:szCs w:val="20"/>
          <w:lang w:val="es-CR" w:eastAsia="es-CR"/>
        </w:rPr>
        <w:t xml:space="preserve">identificada con las matrículas catastrales </w:t>
      </w:r>
      <w:r w:rsidRPr="00190177">
        <w:rPr>
          <w:rFonts w:ascii="Verdana" w:hAnsi="Verdana"/>
          <w:sz w:val="20"/>
          <w:szCs w:val="20"/>
          <w:lang w:val="es-CR"/>
        </w:rPr>
        <w:t>175 y 5557</w:t>
      </w:r>
      <w:r>
        <w:rPr>
          <w:rFonts w:ascii="Verdana" w:hAnsi="Verdana"/>
          <w:sz w:val="20"/>
          <w:szCs w:val="20"/>
          <w:lang w:val="es-CR"/>
        </w:rPr>
        <w:t>, del Departamento Rivadavia de la Provincia de Salta (</w:t>
      </w:r>
      <w:r>
        <w:rPr>
          <w:rFonts w:ascii="Verdana" w:hAnsi="Verdana"/>
          <w:i/>
          <w:sz w:val="20"/>
          <w:szCs w:val="20"/>
          <w:lang w:val="es-CR"/>
        </w:rPr>
        <w:t xml:space="preserve">supra, </w:t>
      </w:r>
      <w:r>
        <w:rPr>
          <w:rFonts w:ascii="Verdana" w:hAnsi="Verdana"/>
          <w:sz w:val="20"/>
          <w:szCs w:val="20"/>
          <w:lang w:val="es-CR"/>
        </w:rPr>
        <w:t xml:space="preserve">párr. 1 e </w:t>
      </w:r>
      <w:r w:rsidRPr="00BB1B9F">
        <w:rPr>
          <w:rFonts w:ascii="Verdana" w:hAnsi="Verdana"/>
          <w:i/>
          <w:sz w:val="20"/>
          <w:szCs w:val="20"/>
          <w:lang w:val="es-CR"/>
        </w:rPr>
        <w:t>infra</w:t>
      </w:r>
      <w:r>
        <w:rPr>
          <w:rFonts w:ascii="Verdana" w:hAnsi="Verdana"/>
          <w:sz w:val="20"/>
          <w:szCs w:val="20"/>
          <w:lang w:val="es-CR"/>
        </w:rPr>
        <w:t>, párr. 80)</w:t>
      </w:r>
      <w:r>
        <w:rPr>
          <w:rFonts w:ascii="Verdana" w:hAnsi="Verdana"/>
          <w:sz w:val="20"/>
        </w:rPr>
        <w:t>. L</w:t>
      </w:r>
      <w:r w:rsidRPr="009D43E9">
        <w:rPr>
          <w:rFonts w:ascii="Verdana" w:hAnsi="Verdana"/>
          <w:sz w:val="20"/>
        </w:rPr>
        <w:t>as presuntas víctimas del caso son</w:t>
      </w:r>
      <w:r>
        <w:rPr>
          <w:rFonts w:ascii="Verdana" w:hAnsi="Verdana"/>
          <w:sz w:val="20"/>
        </w:rPr>
        <w:t>, entonces,</w:t>
      </w:r>
      <w:r w:rsidRPr="009D43E9">
        <w:rPr>
          <w:rFonts w:ascii="Verdana" w:hAnsi="Verdana"/>
          <w:sz w:val="20"/>
        </w:rPr>
        <w:t xml:space="preserve"> las 132 comunidades indígenas indicadas por los representantes (</w:t>
      </w:r>
      <w:r w:rsidRPr="009D43E9">
        <w:rPr>
          <w:rFonts w:ascii="Verdana" w:hAnsi="Verdana"/>
          <w:i/>
          <w:sz w:val="20"/>
        </w:rPr>
        <w:t>supra</w:t>
      </w:r>
      <w:r w:rsidRPr="009D43E9">
        <w:rPr>
          <w:rFonts w:ascii="Verdana" w:hAnsi="Verdana"/>
          <w:sz w:val="20"/>
        </w:rPr>
        <w:t xml:space="preserve"> párr. </w:t>
      </w:r>
      <w:r>
        <w:rPr>
          <w:rFonts w:ascii="Verdana" w:hAnsi="Verdana"/>
          <w:sz w:val="20"/>
        </w:rPr>
        <w:t>28</w:t>
      </w:r>
      <w:r w:rsidRPr="009D43E9">
        <w:rPr>
          <w:rFonts w:ascii="Verdana" w:hAnsi="Verdana"/>
          <w:sz w:val="20"/>
        </w:rPr>
        <w:t xml:space="preserve"> y Anexo </w:t>
      </w:r>
      <w:r>
        <w:rPr>
          <w:rFonts w:ascii="Verdana" w:hAnsi="Verdana"/>
          <w:sz w:val="20"/>
        </w:rPr>
        <w:t>V</w:t>
      </w:r>
      <w:r w:rsidRPr="009D43E9">
        <w:rPr>
          <w:rFonts w:ascii="Verdana" w:hAnsi="Verdana"/>
          <w:sz w:val="20"/>
        </w:rPr>
        <w:t>)</w:t>
      </w:r>
      <w:r>
        <w:rPr>
          <w:rFonts w:ascii="Verdana" w:hAnsi="Verdana"/>
          <w:sz w:val="20"/>
        </w:rPr>
        <w:t>;</w:t>
      </w:r>
      <w:r w:rsidRPr="009D43E9">
        <w:rPr>
          <w:rFonts w:ascii="Verdana" w:hAnsi="Verdana"/>
          <w:sz w:val="20"/>
        </w:rPr>
        <w:t xml:space="preserve"> debe entenderse que ello abarca a las comunidades </w:t>
      </w:r>
      <w:r>
        <w:rPr>
          <w:rFonts w:ascii="Verdana" w:hAnsi="Verdana"/>
          <w:sz w:val="20"/>
        </w:rPr>
        <w:t>pertenecientes a los pueblos indígenas implicados en el caso (</w:t>
      </w:r>
      <w:r w:rsidRPr="00190177">
        <w:rPr>
          <w:rFonts w:ascii="Verdana" w:hAnsi="Verdana"/>
          <w:i/>
          <w:sz w:val="20"/>
        </w:rPr>
        <w:t>infra</w:t>
      </w:r>
      <w:r>
        <w:rPr>
          <w:rFonts w:ascii="Verdana" w:hAnsi="Verdana"/>
          <w:sz w:val="20"/>
        </w:rPr>
        <w:t xml:space="preserve">, párr. 47) </w:t>
      </w:r>
      <w:r w:rsidRPr="009D43E9">
        <w:rPr>
          <w:rFonts w:ascii="Verdana" w:hAnsi="Verdana"/>
          <w:sz w:val="20"/>
        </w:rPr>
        <w:t>que</w:t>
      </w:r>
      <w:r>
        <w:rPr>
          <w:rFonts w:ascii="Verdana" w:hAnsi="Verdana"/>
          <w:sz w:val="20"/>
        </w:rPr>
        <w:t xml:space="preserve"> habiten el territorio indicado y que</w:t>
      </w:r>
      <w:r w:rsidRPr="009D43E9">
        <w:rPr>
          <w:rFonts w:ascii="Verdana" w:hAnsi="Verdana"/>
          <w:sz w:val="20"/>
        </w:rPr>
        <w:t xml:space="preserve"> puedan derivarse de </w:t>
      </w:r>
      <w:r>
        <w:rPr>
          <w:rFonts w:ascii="Verdana" w:hAnsi="Verdana"/>
          <w:sz w:val="20"/>
        </w:rPr>
        <w:t>las</w:t>
      </w:r>
      <w:r w:rsidRPr="009D43E9">
        <w:rPr>
          <w:rFonts w:ascii="Verdana" w:hAnsi="Verdana"/>
          <w:sz w:val="20"/>
        </w:rPr>
        <w:t xml:space="preserve"> 132 </w:t>
      </w:r>
      <w:r>
        <w:rPr>
          <w:rFonts w:ascii="Verdana" w:hAnsi="Verdana"/>
          <w:sz w:val="20"/>
        </w:rPr>
        <w:t xml:space="preserve">comunidades señaladas </w:t>
      </w:r>
      <w:r w:rsidRPr="009D43E9">
        <w:rPr>
          <w:rFonts w:ascii="Verdana" w:hAnsi="Verdana"/>
          <w:sz w:val="20"/>
        </w:rPr>
        <w:t>por acción del proceso de “fisión-fusión” referido (</w:t>
      </w:r>
      <w:r w:rsidRPr="009D43E9">
        <w:rPr>
          <w:rFonts w:ascii="Verdana" w:hAnsi="Verdana"/>
          <w:i/>
          <w:sz w:val="20"/>
        </w:rPr>
        <w:t xml:space="preserve">supra </w:t>
      </w:r>
      <w:r w:rsidRPr="009D43E9">
        <w:rPr>
          <w:rFonts w:ascii="Verdana" w:hAnsi="Verdana"/>
          <w:sz w:val="20"/>
        </w:rPr>
        <w:t xml:space="preserve">párr. </w:t>
      </w:r>
      <w:r>
        <w:rPr>
          <w:rFonts w:ascii="Verdana" w:hAnsi="Verdana"/>
          <w:sz w:val="20"/>
        </w:rPr>
        <w:t>33</w:t>
      </w:r>
      <w:r w:rsidRPr="009D43E9">
        <w:rPr>
          <w:rFonts w:ascii="Verdana" w:hAnsi="Verdana"/>
          <w:sz w:val="20"/>
        </w:rPr>
        <w:t>)</w:t>
      </w:r>
      <w:r>
        <w:rPr>
          <w:rStyle w:val="Refdenotaalpie"/>
          <w:rFonts w:ascii="Verdana" w:hAnsi="Verdana"/>
          <w:sz w:val="20"/>
        </w:rPr>
        <w:footnoteReference w:id="24"/>
      </w:r>
      <w:r w:rsidRPr="009D43E9">
        <w:rPr>
          <w:rFonts w:ascii="Verdana" w:hAnsi="Verdana"/>
          <w:sz w:val="20"/>
        </w:rPr>
        <w:t>.</w:t>
      </w:r>
    </w:p>
    <w:p w14:paraId="5B136826" w14:textId="77777777" w:rsidR="009805F2" w:rsidRDefault="009805F2" w:rsidP="009805F2">
      <w:pPr>
        <w:pStyle w:val="Prrafodelista"/>
        <w:spacing w:line="240" w:lineRule="auto"/>
      </w:pPr>
    </w:p>
    <w:p w14:paraId="4F9D022F" w14:textId="1977BCDF" w:rsidR="000555A9" w:rsidRPr="000555A9" w:rsidRDefault="009805F2" w:rsidP="000555A9">
      <w:pPr>
        <w:pStyle w:val="Prrafodelista"/>
        <w:numPr>
          <w:ilvl w:val="0"/>
          <w:numId w:val="1"/>
        </w:numPr>
        <w:tabs>
          <w:tab w:val="left" w:pos="960"/>
        </w:tabs>
        <w:spacing w:after="0" w:line="240" w:lineRule="auto"/>
        <w:ind w:left="0" w:right="6" w:hanging="11"/>
        <w:jc w:val="both"/>
      </w:pPr>
      <w:r>
        <w:t>E</w:t>
      </w:r>
      <w:r w:rsidRPr="007E5DA0">
        <w:rPr>
          <w:rFonts w:ascii="Verdana" w:hAnsi="Verdana"/>
          <w:sz w:val="20"/>
          <w:szCs w:val="20"/>
        </w:rPr>
        <w:t xml:space="preserve">s pertinente dejar sentado también que este Tribunal observa que los lotes 14 y 55 están habitados también por “criollos”, pobladores no indígenas. La Corte está impedida de pronunciarse </w:t>
      </w:r>
      <w:r>
        <w:rPr>
          <w:rFonts w:ascii="Verdana" w:hAnsi="Verdana"/>
          <w:sz w:val="20"/>
          <w:szCs w:val="20"/>
        </w:rPr>
        <w:t xml:space="preserve">directamente </w:t>
      </w:r>
      <w:r w:rsidRPr="007E5DA0">
        <w:rPr>
          <w:rFonts w:ascii="Verdana" w:hAnsi="Verdana"/>
          <w:sz w:val="20"/>
          <w:szCs w:val="20"/>
        </w:rPr>
        <w:t xml:space="preserve">sobre los derechos de pobladores criollos, pues no son parte formal </w:t>
      </w:r>
      <w:r w:rsidR="00A95B2D">
        <w:rPr>
          <w:rFonts w:ascii="Verdana" w:hAnsi="Verdana"/>
          <w:sz w:val="20"/>
          <w:szCs w:val="20"/>
        </w:rPr>
        <w:t>d</w:t>
      </w:r>
      <w:r w:rsidRPr="007E5DA0">
        <w:rPr>
          <w:rFonts w:ascii="Verdana" w:hAnsi="Verdana"/>
          <w:sz w:val="20"/>
          <w:szCs w:val="20"/>
        </w:rPr>
        <w:t xml:space="preserve">el proceso judicial internacional. No obstante, resulta innegable que son parte, en un sentido material, </w:t>
      </w:r>
      <w:r w:rsidR="00A95B2D">
        <w:rPr>
          <w:rFonts w:ascii="Verdana" w:hAnsi="Verdana"/>
          <w:sz w:val="20"/>
          <w:szCs w:val="20"/>
        </w:rPr>
        <w:t>d</w:t>
      </w:r>
      <w:r w:rsidRPr="007E5DA0">
        <w:rPr>
          <w:rFonts w:ascii="Verdana" w:hAnsi="Verdana"/>
          <w:sz w:val="20"/>
          <w:szCs w:val="20"/>
        </w:rPr>
        <w:t>el conflicto sustantivo relacionado con el uso y propiedad de la tierra. A</w:t>
      </w:r>
      <w:r>
        <w:rPr>
          <w:rFonts w:ascii="Verdana" w:hAnsi="Verdana"/>
          <w:sz w:val="20"/>
          <w:szCs w:val="20"/>
        </w:rPr>
        <w:t>u</w:t>
      </w:r>
      <w:r w:rsidRPr="007E5DA0">
        <w:rPr>
          <w:rFonts w:ascii="Verdana" w:hAnsi="Verdana"/>
          <w:sz w:val="20"/>
          <w:szCs w:val="20"/>
        </w:rPr>
        <w:t>n cuando este Tribunal no puede pronunciarse sobre sus derechos, entiende que tener en cuenta su situación resulta pertinente a efectos de analizar adecuadamente el caso que le ha sido planteado y procurar la efectividad de la decisión que se adopta en la presente Sentencia</w:t>
      </w:r>
      <w:r>
        <w:rPr>
          <w:rFonts w:ascii="Verdana" w:hAnsi="Verdana"/>
          <w:sz w:val="20"/>
          <w:szCs w:val="20"/>
        </w:rPr>
        <w:t xml:space="preserve">. </w:t>
      </w:r>
      <w:r w:rsidRPr="007E5DA0">
        <w:rPr>
          <w:rFonts w:ascii="Verdana" w:hAnsi="Verdana"/>
          <w:sz w:val="20"/>
          <w:szCs w:val="20"/>
        </w:rPr>
        <w:t xml:space="preserve">La Corte ha procurado, en el marco de </w:t>
      </w:r>
      <w:r w:rsidRPr="007E5DA0">
        <w:rPr>
          <w:rFonts w:ascii="Verdana" w:hAnsi="Verdana"/>
          <w:sz w:val="20"/>
          <w:szCs w:val="20"/>
        </w:rPr>
        <w:lastRenderedPageBreak/>
        <w:t>las pautas procesales que rigen su actuación, escuchar</w:t>
      </w:r>
      <w:r w:rsidRPr="00C92D97">
        <w:rPr>
          <w:rFonts w:ascii="Verdana" w:hAnsi="Verdana"/>
          <w:b/>
          <w:sz w:val="20"/>
          <w:szCs w:val="20"/>
        </w:rPr>
        <w:t xml:space="preserve"> </w:t>
      </w:r>
      <w:r w:rsidRPr="00BB1B9F">
        <w:rPr>
          <w:rFonts w:ascii="Verdana" w:hAnsi="Verdana"/>
          <w:sz w:val="20"/>
          <w:szCs w:val="20"/>
        </w:rPr>
        <w:t>a</w:t>
      </w:r>
      <w:r w:rsidRPr="00C92D97">
        <w:rPr>
          <w:rFonts w:ascii="Verdana" w:hAnsi="Verdana"/>
          <w:b/>
          <w:sz w:val="20"/>
          <w:szCs w:val="20"/>
        </w:rPr>
        <w:t xml:space="preserve"> </w:t>
      </w:r>
      <w:r w:rsidRPr="007E5DA0">
        <w:rPr>
          <w:rFonts w:ascii="Verdana" w:hAnsi="Verdana"/>
          <w:sz w:val="20"/>
          <w:szCs w:val="20"/>
        </w:rPr>
        <w:t>las personas criollas. Así, ha mantenido una reunión con</w:t>
      </w:r>
      <w:r>
        <w:rPr>
          <w:rFonts w:ascii="Verdana" w:hAnsi="Verdana"/>
          <w:sz w:val="20"/>
          <w:szCs w:val="20"/>
        </w:rPr>
        <w:t xml:space="preserve"> varias personas</w:t>
      </w:r>
      <w:r w:rsidRPr="007E5DA0">
        <w:rPr>
          <w:rFonts w:ascii="Verdana" w:hAnsi="Verdana"/>
          <w:sz w:val="20"/>
          <w:szCs w:val="20"/>
        </w:rPr>
        <w:t xml:space="preserve"> representantes de familias y organizaciones criollas en el marco de la </w:t>
      </w:r>
      <w:r w:rsidRPr="00C92D97">
        <w:rPr>
          <w:rFonts w:ascii="Verdana" w:hAnsi="Verdana"/>
          <w:iCs/>
          <w:sz w:val="20"/>
          <w:szCs w:val="20"/>
        </w:rPr>
        <w:t xml:space="preserve">visita </w:t>
      </w:r>
      <w:r w:rsidRPr="007E5DA0">
        <w:rPr>
          <w:rFonts w:ascii="Verdana" w:hAnsi="Verdana"/>
          <w:i/>
          <w:iCs/>
          <w:sz w:val="20"/>
          <w:szCs w:val="20"/>
        </w:rPr>
        <w:t>in situ</w:t>
      </w:r>
      <w:r w:rsidRPr="007E5DA0">
        <w:rPr>
          <w:rFonts w:ascii="Verdana" w:hAnsi="Verdana"/>
          <w:sz w:val="20"/>
          <w:szCs w:val="20"/>
        </w:rPr>
        <w:t xml:space="preserve">. Durante la misma, </w:t>
      </w:r>
      <w:r>
        <w:rPr>
          <w:rFonts w:ascii="Verdana" w:hAnsi="Verdana"/>
          <w:sz w:val="20"/>
          <w:szCs w:val="20"/>
        </w:rPr>
        <w:t>se refirieron a la problemática territorial, exponiendo sus puntos de vista respecto del proceso de acuerdos para la localización de las personas criollas, las condiciones para avanzar en soluciones al conflicto territorial y la intervención estatal al respecto</w:t>
      </w:r>
      <w:r w:rsidRPr="007E5DA0">
        <w:rPr>
          <w:rFonts w:ascii="Verdana" w:hAnsi="Verdana"/>
          <w:sz w:val="20"/>
          <w:szCs w:val="20"/>
        </w:rPr>
        <w:t xml:space="preserve">. Además, durante la misma diligencia </w:t>
      </w:r>
      <w:r>
        <w:rPr>
          <w:rFonts w:ascii="Verdana" w:hAnsi="Verdana"/>
          <w:sz w:val="20"/>
          <w:szCs w:val="20"/>
        </w:rPr>
        <w:t xml:space="preserve">la delegación del Tribunal </w:t>
      </w:r>
      <w:r w:rsidRPr="007E5DA0">
        <w:rPr>
          <w:rFonts w:ascii="Verdana" w:hAnsi="Verdana"/>
          <w:sz w:val="20"/>
          <w:szCs w:val="20"/>
        </w:rPr>
        <w:t xml:space="preserve">recibió documentación </w:t>
      </w:r>
      <w:r>
        <w:rPr>
          <w:rFonts w:ascii="Verdana" w:hAnsi="Verdana"/>
          <w:sz w:val="20"/>
          <w:szCs w:val="20"/>
        </w:rPr>
        <w:t>presentada por</w:t>
      </w:r>
      <w:r w:rsidRPr="007E5DA0">
        <w:rPr>
          <w:rFonts w:ascii="Verdana" w:hAnsi="Verdana"/>
          <w:sz w:val="20"/>
          <w:szCs w:val="20"/>
        </w:rPr>
        <w:t xml:space="preserve"> personas criollas, </w:t>
      </w:r>
      <w:r>
        <w:rPr>
          <w:rFonts w:ascii="Verdana" w:hAnsi="Verdana"/>
          <w:sz w:val="20"/>
          <w:szCs w:val="20"/>
        </w:rPr>
        <w:t>y también lo hizo</w:t>
      </w:r>
      <w:r w:rsidRPr="007E5DA0">
        <w:rPr>
          <w:rFonts w:ascii="Verdana" w:hAnsi="Verdana"/>
          <w:sz w:val="20"/>
          <w:szCs w:val="20"/>
        </w:rPr>
        <w:t xml:space="preserve"> con posterioridad. </w:t>
      </w:r>
      <w:r>
        <w:rPr>
          <w:rFonts w:ascii="Verdana" w:hAnsi="Verdana"/>
          <w:sz w:val="20"/>
          <w:szCs w:val="20"/>
        </w:rPr>
        <w:t>En d</w:t>
      </w:r>
      <w:r w:rsidRPr="007E5DA0">
        <w:rPr>
          <w:rFonts w:ascii="Verdana" w:hAnsi="Verdana"/>
          <w:sz w:val="20"/>
          <w:szCs w:val="20"/>
        </w:rPr>
        <w:t xml:space="preserve">icha documentación </w:t>
      </w:r>
      <w:r>
        <w:rPr>
          <w:rFonts w:ascii="Verdana" w:hAnsi="Verdana"/>
          <w:sz w:val="20"/>
          <w:szCs w:val="20"/>
        </w:rPr>
        <w:t>se encuentra</w:t>
      </w:r>
      <w:r w:rsidRPr="007E5DA0">
        <w:rPr>
          <w:rFonts w:ascii="Verdana" w:hAnsi="Verdana"/>
          <w:sz w:val="20"/>
          <w:szCs w:val="20"/>
        </w:rPr>
        <w:t xml:space="preserve"> una “propuesta” </w:t>
      </w:r>
      <w:r>
        <w:rPr>
          <w:rFonts w:ascii="Verdana" w:hAnsi="Verdana"/>
          <w:sz w:val="20"/>
          <w:szCs w:val="20"/>
        </w:rPr>
        <w:t>respecto a la distinción del territorio indígena y la tierra correspondiente a la población criolla.</w:t>
      </w:r>
      <w:r w:rsidRPr="007E5DA0">
        <w:rPr>
          <w:rFonts w:ascii="Verdana" w:hAnsi="Verdana"/>
          <w:b/>
          <w:sz w:val="16"/>
          <w:szCs w:val="16"/>
        </w:rPr>
        <w:t xml:space="preserve"> </w:t>
      </w:r>
      <w:r>
        <w:rPr>
          <w:rFonts w:ascii="Verdana" w:hAnsi="Verdana"/>
          <w:sz w:val="20"/>
          <w:szCs w:val="20"/>
        </w:rPr>
        <w:t>Asimismo, este Tribunal ha receptado</w:t>
      </w:r>
      <w:r w:rsidRPr="007E5DA0">
        <w:rPr>
          <w:rFonts w:ascii="Verdana" w:hAnsi="Verdana"/>
          <w:sz w:val="20"/>
          <w:szCs w:val="20"/>
        </w:rPr>
        <w:t xml:space="preserve"> declaraciones testimoniales </w:t>
      </w:r>
      <w:r>
        <w:rPr>
          <w:rFonts w:ascii="Verdana" w:hAnsi="Verdana"/>
          <w:sz w:val="20"/>
          <w:szCs w:val="20"/>
        </w:rPr>
        <w:t xml:space="preserve">escritas </w:t>
      </w:r>
      <w:r w:rsidRPr="007E5DA0">
        <w:rPr>
          <w:rFonts w:ascii="Verdana" w:hAnsi="Verdana"/>
          <w:sz w:val="20"/>
          <w:szCs w:val="20"/>
        </w:rPr>
        <w:t>de personas criollas (</w:t>
      </w:r>
      <w:r>
        <w:rPr>
          <w:rFonts w:ascii="Verdana" w:hAnsi="Verdana"/>
          <w:i/>
          <w:iCs/>
          <w:sz w:val="20"/>
          <w:szCs w:val="20"/>
        </w:rPr>
        <w:t>infr</w:t>
      </w:r>
      <w:r w:rsidRPr="007E5DA0">
        <w:rPr>
          <w:rFonts w:ascii="Verdana" w:hAnsi="Verdana"/>
          <w:i/>
          <w:iCs/>
          <w:sz w:val="20"/>
          <w:szCs w:val="20"/>
        </w:rPr>
        <w:t>a</w:t>
      </w:r>
      <w:r w:rsidRPr="007E5DA0">
        <w:rPr>
          <w:rFonts w:ascii="Verdana" w:hAnsi="Verdana"/>
          <w:sz w:val="20"/>
          <w:szCs w:val="20"/>
        </w:rPr>
        <w:t xml:space="preserve"> párr. </w:t>
      </w:r>
      <w:r>
        <w:rPr>
          <w:rFonts w:ascii="Verdana" w:hAnsi="Verdana"/>
          <w:sz w:val="20"/>
          <w:szCs w:val="20"/>
        </w:rPr>
        <w:t>45</w:t>
      </w:r>
      <w:r w:rsidRPr="007E5DA0">
        <w:rPr>
          <w:rFonts w:ascii="Verdana" w:hAnsi="Verdana"/>
          <w:sz w:val="20"/>
          <w:szCs w:val="20"/>
        </w:rPr>
        <w:t xml:space="preserve">), </w:t>
      </w:r>
      <w:r>
        <w:rPr>
          <w:rFonts w:ascii="Verdana" w:hAnsi="Verdana"/>
          <w:sz w:val="20"/>
          <w:szCs w:val="20"/>
        </w:rPr>
        <w:t xml:space="preserve">en la que se refirieron a los hechos del caso, expresando, </w:t>
      </w:r>
      <w:r w:rsidRPr="007419AC">
        <w:rPr>
          <w:rFonts w:ascii="Verdana" w:hAnsi="Verdana"/>
          <w:sz w:val="20"/>
          <w:szCs w:val="20"/>
        </w:rPr>
        <w:t>entre otras cuestiones, dificultades y afectaciones en el marco del proceso de reubicación territorial. La Corte tiene en cuen</w:t>
      </w:r>
      <w:bookmarkStart w:id="41" w:name="_Toc22224860"/>
      <w:bookmarkStart w:id="42" w:name="_Toc32218821"/>
      <w:bookmarkStart w:id="43" w:name="_Toc32227091"/>
      <w:r w:rsidR="000555A9" w:rsidRPr="007419AC">
        <w:rPr>
          <w:rFonts w:ascii="Verdana" w:hAnsi="Verdana"/>
          <w:sz w:val="20"/>
          <w:szCs w:val="20"/>
        </w:rPr>
        <w:t xml:space="preserve">ta las manifestaciones aludidas, </w:t>
      </w:r>
      <w:r w:rsidR="000555A9" w:rsidRPr="007419AC">
        <w:rPr>
          <w:rFonts w:ascii="Verdana" w:eastAsia="Calibri" w:hAnsi="Verdana" w:cs="Times"/>
          <w:sz w:val="20"/>
          <w:szCs w:val="20"/>
          <w:lang w:eastAsia="es-CR"/>
        </w:rPr>
        <w:t>en particular, a fin de evaluar las acciones seguidas en el caso relacionadas con la presencia de población criolla en tierra reclamada por las comunidades indígenas y el traslado de dicha población, y a efectos de considerar las medidas de reparación que, al respecto, pudieran corresponder.</w:t>
      </w:r>
    </w:p>
    <w:p w14:paraId="55699BEA" w14:textId="77777777" w:rsidR="000555A9" w:rsidRDefault="000555A9" w:rsidP="009805F2">
      <w:pPr>
        <w:tabs>
          <w:tab w:val="left" w:pos="1860"/>
        </w:tabs>
        <w:spacing w:after="0" w:line="240" w:lineRule="auto"/>
        <w:ind w:left="720"/>
        <w:contextualSpacing/>
        <w:jc w:val="center"/>
        <w:outlineLvl w:val="0"/>
        <w:rPr>
          <w:rFonts w:ascii="Verdana" w:eastAsia="Calibri" w:hAnsi="Verdana" w:cs="Times"/>
          <w:b/>
          <w:sz w:val="20"/>
          <w:szCs w:val="20"/>
          <w:lang w:eastAsia="es-CR"/>
        </w:rPr>
      </w:pPr>
    </w:p>
    <w:p w14:paraId="3E616E76" w14:textId="77777777" w:rsidR="009805F2" w:rsidRPr="00873FEC" w:rsidRDefault="009805F2" w:rsidP="009805F2">
      <w:pPr>
        <w:tabs>
          <w:tab w:val="left" w:pos="1860"/>
        </w:tabs>
        <w:spacing w:after="0" w:line="240" w:lineRule="auto"/>
        <w:ind w:left="720"/>
        <w:contextualSpacing/>
        <w:jc w:val="center"/>
        <w:outlineLvl w:val="0"/>
        <w:rPr>
          <w:rFonts w:ascii="Verdana" w:eastAsia="Calibri" w:hAnsi="Verdana" w:cs="Times"/>
          <w:b/>
          <w:sz w:val="20"/>
          <w:szCs w:val="20"/>
          <w:lang w:eastAsia="es-CR"/>
        </w:rPr>
      </w:pPr>
      <w:bookmarkStart w:id="44" w:name="_Toc34337520"/>
      <w:r w:rsidRPr="00873FEC">
        <w:rPr>
          <w:rFonts w:ascii="Verdana" w:eastAsia="Calibri" w:hAnsi="Verdana" w:cs="Times"/>
          <w:b/>
          <w:sz w:val="20"/>
          <w:szCs w:val="20"/>
          <w:lang w:eastAsia="es-CR"/>
        </w:rPr>
        <w:t>V</w:t>
      </w:r>
      <w:bookmarkEnd w:id="41"/>
      <w:bookmarkEnd w:id="42"/>
      <w:bookmarkEnd w:id="43"/>
      <w:bookmarkEnd w:id="44"/>
    </w:p>
    <w:p w14:paraId="3AD7836D" w14:textId="77777777" w:rsidR="009805F2" w:rsidRPr="00873FEC" w:rsidRDefault="009805F2" w:rsidP="009805F2">
      <w:pPr>
        <w:tabs>
          <w:tab w:val="left" w:pos="1860"/>
        </w:tabs>
        <w:spacing w:after="0" w:line="240" w:lineRule="auto"/>
        <w:ind w:left="720"/>
        <w:contextualSpacing/>
        <w:jc w:val="center"/>
        <w:outlineLvl w:val="0"/>
        <w:rPr>
          <w:rFonts w:ascii="Verdana" w:eastAsia="Calibri" w:hAnsi="Verdana" w:cs="Times"/>
          <w:b/>
          <w:sz w:val="20"/>
          <w:szCs w:val="20"/>
          <w:lang w:eastAsia="es-CR"/>
        </w:rPr>
      </w:pPr>
      <w:bookmarkStart w:id="45" w:name="_Toc22224861"/>
      <w:bookmarkStart w:id="46" w:name="_Toc32218822"/>
      <w:bookmarkStart w:id="47" w:name="_Toc32227092"/>
      <w:bookmarkStart w:id="48" w:name="_Toc34337521"/>
      <w:r w:rsidRPr="00873FEC">
        <w:rPr>
          <w:rFonts w:ascii="Verdana" w:eastAsia="Calibri" w:hAnsi="Verdana" w:cs="Times"/>
          <w:b/>
          <w:sz w:val="20"/>
          <w:szCs w:val="20"/>
          <w:lang w:eastAsia="es-CR"/>
        </w:rPr>
        <w:t>PRUEBA</w:t>
      </w:r>
      <w:bookmarkEnd w:id="45"/>
      <w:bookmarkEnd w:id="46"/>
      <w:bookmarkEnd w:id="47"/>
      <w:bookmarkEnd w:id="48"/>
    </w:p>
    <w:p w14:paraId="78D9CF46" w14:textId="77777777" w:rsidR="009805F2" w:rsidRPr="00873FEC" w:rsidRDefault="009805F2" w:rsidP="009805F2">
      <w:pPr>
        <w:tabs>
          <w:tab w:val="left" w:pos="1860"/>
        </w:tabs>
        <w:spacing w:after="0" w:line="240" w:lineRule="auto"/>
        <w:ind w:left="720"/>
        <w:contextualSpacing/>
        <w:rPr>
          <w:rFonts w:ascii="Verdana" w:eastAsia="Calibri" w:hAnsi="Verdana" w:cs="Times"/>
          <w:sz w:val="20"/>
          <w:szCs w:val="20"/>
          <w:lang w:eastAsia="es-CR"/>
        </w:rPr>
      </w:pPr>
    </w:p>
    <w:p w14:paraId="56F1B919" w14:textId="77777777" w:rsidR="009805F2" w:rsidRPr="00AA551F" w:rsidRDefault="009805F2" w:rsidP="009805F2">
      <w:pPr>
        <w:pStyle w:val="Prrafodelista"/>
        <w:numPr>
          <w:ilvl w:val="0"/>
          <w:numId w:val="3"/>
        </w:numPr>
        <w:tabs>
          <w:tab w:val="left" w:pos="1245"/>
          <w:tab w:val="left" w:pos="1860"/>
        </w:tabs>
        <w:spacing w:after="0" w:line="240" w:lineRule="auto"/>
        <w:ind w:left="284" w:firstLine="0"/>
        <w:outlineLvl w:val="1"/>
        <w:rPr>
          <w:rFonts w:ascii="Verdana" w:eastAsia="Calibri" w:hAnsi="Verdana" w:cs="Times"/>
          <w:b/>
          <w:i/>
          <w:sz w:val="20"/>
          <w:szCs w:val="20"/>
          <w:u w:val="single"/>
          <w:lang w:eastAsia="es-CR"/>
        </w:rPr>
      </w:pPr>
      <w:bookmarkStart w:id="49" w:name="_Toc22224862"/>
      <w:bookmarkStart w:id="50" w:name="_Toc32218823"/>
      <w:bookmarkStart w:id="51" w:name="_Toc32227093"/>
      <w:bookmarkStart w:id="52" w:name="_Toc34337522"/>
      <w:r w:rsidRPr="00AA551F">
        <w:rPr>
          <w:rFonts w:ascii="Verdana" w:eastAsia="Calibri" w:hAnsi="Verdana" w:cs="Times"/>
          <w:b/>
          <w:i/>
          <w:sz w:val="20"/>
          <w:szCs w:val="20"/>
          <w:u w:val="single"/>
          <w:lang w:eastAsia="es-CR"/>
        </w:rPr>
        <w:t>Admisibilidad de la prueba documental</w:t>
      </w:r>
      <w:bookmarkEnd w:id="49"/>
      <w:bookmarkEnd w:id="50"/>
      <w:bookmarkEnd w:id="51"/>
      <w:bookmarkEnd w:id="52"/>
      <w:r w:rsidRPr="00AA551F">
        <w:rPr>
          <w:rFonts w:ascii="Verdana" w:eastAsia="Calibri" w:hAnsi="Verdana" w:cs="Times"/>
          <w:b/>
          <w:i/>
          <w:sz w:val="20"/>
          <w:szCs w:val="20"/>
          <w:u w:val="single"/>
          <w:lang w:eastAsia="es-CR"/>
        </w:rPr>
        <w:t xml:space="preserve"> </w:t>
      </w:r>
    </w:p>
    <w:p w14:paraId="1256D9EA" w14:textId="77777777" w:rsidR="009805F2" w:rsidRDefault="009805F2" w:rsidP="009805F2">
      <w:pPr>
        <w:pStyle w:val="Prrafodelista"/>
        <w:spacing w:after="0" w:line="240" w:lineRule="auto"/>
        <w:ind w:left="0" w:right="6"/>
        <w:jc w:val="both"/>
        <w:rPr>
          <w:rFonts w:ascii="Verdana" w:eastAsia="Batang" w:hAnsi="Verdana" w:cs="Times"/>
          <w:sz w:val="20"/>
          <w:szCs w:val="20"/>
          <w:lang w:val="es-CR" w:eastAsia="es-CR"/>
        </w:rPr>
      </w:pPr>
    </w:p>
    <w:p w14:paraId="28F293B7" w14:textId="77777777" w:rsidR="009805F2" w:rsidRPr="00567D84" w:rsidRDefault="009805F2" w:rsidP="009805F2">
      <w:pPr>
        <w:pStyle w:val="Prrafodelista"/>
        <w:numPr>
          <w:ilvl w:val="0"/>
          <w:numId w:val="1"/>
        </w:numPr>
        <w:spacing w:after="0" w:line="240" w:lineRule="auto"/>
        <w:ind w:left="0" w:right="6" w:hanging="11"/>
        <w:jc w:val="both"/>
        <w:rPr>
          <w:rFonts w:ascii="Verdana" w:eastAsia="Batang" w:hAnsi="Verdana" w:cs="Times"/>
          <w:sz w:val="20"/>
          <w:szCs w:val="20"/>
          <w:lang w:val="es-CR" w:eastAsia="es-CR"/>
        </w:rPr>
      </w:pPr>
      <w:r w:rsidRPr="00DE6E47">
        <w:rPr>
          <w:rFonts w:ascii="Verdana" w:eastAsia="Batang" w:hAnsi="Verdana" w:cs="Times"/>
          <w:sz w:val="20"/>
          <w:szCs w:val="20"/>
          <w:lang w:val="es-CR" w:eastAsia="es-CR"/>
        </w:rPr>
        <w:t xml:space="preserve">La Corte recibió </w:t>
      </w:r>
      <w:r w:rsidRPr="00DE6E47">
        <w:rPr>
          <w:rFonts w:ascii="Verdana" w:hAnsi="Verdana"/>
          <w:sz w:val="20"/>
          <w:szCs w:val="20"/>
        </w:rPr>
        <w:t>diversos documentos</w:t>
      </w:r>
      <w:r>
        <w:rPr>
          <w:rFonts w:ascii="Verdana" w:hAnsi="Verdana"/>
          <w:sz w:val="20"/>
          <w:szCs w:val="20"/>
        </w:rPr>
        <w:t>,</w:t>
      </w:r>
      <w:r w:rsidRPr="00DE6E47">
        <w:rPr>
          <w:rFonts w:ascii="Verdana" w:hAnsi="Verdana"/>
          <w:sz w:val="20"/>
          <w:szCs w:val="20"/>
        </w:rPr>
        <w:t xml:space="preserve"> presentados como prueba por la Comisión, </w:t>
      </w:r>
      <w:r w:rsidRPr="00DE6E47">
        <w:rPr>
          <w:rFonts w:ascii="Verdana" w:hAnsi="Verdana"/>
          <w:sz w:val="20"/>
        </w:rPr>
        <w:t>los representantes y el Estado, adjuntos a sus escritos principales (</w:t>
      </w:r>
      <w:r w:rsidRPr="00DE6E47">
        <w:rPr>
          <w:rFonts w:ascii="Verdana" w:hAnsi="Verdana"/>
          <w:i/>
          <w:sz w:val="20"/>
        </w:rPr>
        <w:t>supra</w:t>
      </w:r>
      <w:r w:rsidRPr="00DE6E47">
        <w:rPr>
          <w:rFonts w:ascii="Verdana" w:hAnsi="Verdana"/>
          <w:sz w:val="20"/>
        </w:rPr>
        <w:t xml:space="preserve"> párrs. </w:t>
      </w:r>
      <w:r>
        <w:rPr>
          <w:rFonts w:ascii="Verdana" w:hAnsi="Verdana"/>
          <w:sz w:val="20"/>
        </w:rPr>
        <w:t>1, 3, 6 y 7</w:t>
      </w:r>
      <w:r w:rsidRPr="00DE6E47">
        <w:rPr>
          <w:rFonts w:ascii="Verdana" w:hAnsi="Verdana"/>
          <w:sz w:val="20"/>
        </w:rPr>
        <w:t>).</w:t>
      </w:r>
      <w:r w:rsidRPr="00DE6E47">
        <w:rPr>
          <w:rFonts w:ascii="Verdana" w:hAnsi="Verdana"/>
          <w:sz w:val="20"/>
          <w:szCs w:val="20"/>
        </w:rPr>
        <w:t xml:space="preserve"> Asimismo, recibió documentos adjuntos a los alegatos finales escritos de los representantes y del Estado (</w:t>
      </w:r>
      <w:r w:rsidRPr="00DE6E47">
        <w:rPr>
          <w:rFonts w:ascii="Verdana" w:hAnsi="Verdana"/>
          <w:i/>
          <w:sz w:val="20"/>
          <w:szCs w:val="20"/>
        </w:rPr>
        <w:t>supra</w:t>
      </w:r>
      <w:r w:rsidRPr="00DE6E47">
        <w:rPr>
          <w:rFonts w:ascii="Verdana" w:hAnsi="Verdana"/>
          <w:sz w:val="20"/>
          <w:szCs w:val="20"/>
        </w:rPr>
        <w:t xml:space="preserve"> párr. </w:t>
      </w:r>
      <w:r>
        <w:rPr>
          <w:rFonts w:ascii="Verdana" w:hAnsi="Verdana"/>
          <w:sz w:val="20"/>
          <w:szCs w:val="20"/>
        </w:rPr>
        <w:t>11</w:t>
      </w:r>
      <w:r w:rsidRPr="00DE6E47">
        <w:rPr>
          <w:rFonts w:ascii="Verdana" w:hAnsi="Verdana"/>
          <w:sz w:val="20"/>
          <w:szCs w:val="20"/>
        </w:rPr>
        <w:t>), dos documentos entregados durante la visita a terreno y un documento enviado después por pobladores criollos (</w:t>
      </w:r>
      <w:r w:rsidRPr="00DE6E47">
        <w:rPr>
          <w:rFonts w:ascii="Verdana" w:hAnsi="Verdana"/>
          <w:i/>
          <w:sz w:val="20"/>
          <w:szCs w:val="20"/>
        </w:rPr>
        <w:t>infra</w:t>
      </w:r>
      <w:r>
        <w:rPr>
          <w:rFonts w:ascii="Verdana" w:hAnsi="Verdana"/>
          <w:sz w:val="20"/>
          <w:szCs w:val="20"/>
        </w:rPr>
        <w:t xml:space="preserve"> párrs. 40 y 43, y nota a pie de página 2</w:t>
      </w:r>
      <w:r w:rsidR="004F298F">
        <w:rPr>
          <w:rFonts w:ascii="Verdana" w:hAnsi="Verdana"/>
          <w:sz w:val="20"/>
          <w:szCs w:val="20"/>
        </w:rPr>
        <w:t>7</w:t>
      </w:r>
      <w:r w:rsidRPr="00DE6E47">
        <w:rPr>
          <w:rFonts w:ascii="Verdana" w:hAnsi="Verdana"/>
          <w:sz w:val="20"/>
          <w:szCs w:val="20"/>
        </w:rPr>
        <w:t>)</w:t>
      </w:r>
      <w:r>
        <w:rPr>
          <w:rFonts w:ascii="Verdana" w:hAnsi="Verdana"/>
          <w:sz w:val="20"/>
          <w:szCs w:val="20"/>
        </w:rPr>
        <w:t>.</w:t>
      </w:r>
      <w:r w:rsidRPr="00DE6E47">
        <w:rPr>
          <w:rFonts w:ascii="Verdana" w:hAnsi="Verdana"/>
          <w:sz w:val="20"/>
          <w:szCs w:val="20"/>
        </w:rPr>
        <w:t xml:space="preserve"> También fueron allegados videos sobre la visita (</w:t>
      </w:r>
      <w:r w:rsidRPr="00DE6E47">
        <w:rPr>
          <w:rFonts w:ascii="Verdana" w:hAnsi="Verdana"/>
          <w:i/>
          <w:sz w:val="20"/>
          <w:szCs w:val="20"/>
        </w:rPr>
        <w:t>infra</w:t>
      </w:r>
      <w:r w:rsidRPr="00DE6E47">
        <w:rPr>
          <w:rFonts w:ascii="Verdana" w:hAnsi="Verdana"/>
          <w:sz w:val="20"/>
          <w:szCs w:val="20"/>
        </w:rPr>
        <w:t xml:space="preserve"> párr. </w:t>
      </w:r>
      <w:r>
        <w:rPr>
          <w:rFonts w:ascii="Verdana" w:hAnsi="Verdana"/>
          <w:sz w:val="20"/>
          <w:szCs w:val="20"/>
        </w:rPr>
        <w:t>39</w:t>
      </w:r>
      <w:r w:rsidRPr="00DE6E47">
        <w:rPr>
          <w:rFonts w:ascii="Verdana" w:hAnsi="Verdana"/>
          <w:sz w:val="20"/>
          <w:szCs w:val="20"/>
        </w:rPr>
        <w:t xml:space="preserve">). </w:t>
      </w:r>
    </w:p>
    <w:p w14:paraId="7D19A5AC" w14:textId="77777777" w:rsidR="009805F2" w:rsidRDefault="009805F2" w:rsidP="009805F2">
      <w:pPr>
        <w:pStyle w:val="Prrafodelista"/>
        <w:spacing w:after="0" w:line="240" w:lineRule="auto"/>
        <w:ind w:left="0" w:right="6"/>
        <w:jc w:val="both"/>
        <w:rPr>
          <w:rFonts w:ascii="Verdana" w:eastAsia="Batang" w:hAnsi="Verdana" w:cs="Times"/>
          <w:sz w:val="20"/>
          <w:szCs w:val="20"/>
          <w:lang w:val="es-CR" w:eastAsia="es-CR"/>
        </w:rPr>
      </w:pPr>
    </w:p>
    <w:p w14:paraId="5BF5C1A7" w14:textId="77777777" w:rsidR="009805F2" w:rsidRDefault="009805F2" w:rsidP="009805F2">
      <w:pPr>
        <w:pStyle w:val="Prrafodelista"/>
        <w:numPr>
          <w:ilvl w:val="0"/>
          <w:numId w:val="1"/>
        </w:numPr>
        <w:spacing w:after="0" w:line="240" w:lineRule="auto"/>
        <w:ind w:left="0" w:right="6" w:hanging="11"/>
        <w:jc w:val="both"/>
        <w:rPr>
          <w:rFonts w:ascii="Verdana" w:eastAsia="Batang" w:hAnsi="Verdana" w:cs="Times"/>
          <w:sz w:val="20"/>
          <w:szCs w:val="20"/>
          <w:lang w:val="es-CR" w:eastAsia="es-CR"/>
        </w:rPr>
      </w:pPr>
      <w:r w:rsidRPr="00567D84">
        <w:rPr>
          <w:rFonts w:ascii="Verdana" w:eastAsia="Batang" w:hAnsi="Verdana" w:cs="Times"/>
          <w:sz w:val="20"/>
          <w:szCs w:val="20"/>
          <w:lang w:val="es-CR" w:eastAsia="es-CR"/>
        </w:rPr>
        <w:t xml:space="preserve">Este </w:t>
      </w:r>
      <w:r>
        <w:rPr>
          <w:rFonts w:ascii="Verdana" w:hAnsi="Verdana"/>
          <w:sz w:val="20"/>
          <w:lang w:val="es-CR"/>
        </w:rPr>
        <w:t>T</w:t>
      </w:r>
      <w:r w:rsidRPr="00567D84">
        <w:rPr>
          <w:rFonts w:ascii="Verdana" w:hAnsi="Verdana"/>
          <w:sz w:val="20"/>
        </w:rPr>
        <w:t>ribunal admite aquellos documentos presentados oportunamente por las partes y la Comisión cuya admisibilidad no fue controvertida ni objetada y cuya autenticidad no fue puesta en duda</w:t>
      </w:r>
      <w:r>
        <w:rPr>
          <w:rStyle w:val="Refdenotaalpie"/>
        </w:rPr>
        <w:footnoteReference w:id="25"/>
      </w:r>
      <w:r w:rsidRPr="00567D84">
        <w:rPr>
          <w:rFonts w:ascii="Verdana" w:hAnsi="Verdana"/>
          <w:sz w:val="20"/>
        </w:rPr>
        <w:t xml:space="preserve">. Además, el 29 de agosto de 2019 </w:t>
      </w:r>
      <w:r>
        <w:rPr>
          <w:rFonts w:ascii="Verdana" w:hAnsi="Verdana"/>
          <w:sz w:val="20"/>
        </w:rPr>
        <w:t>la Corte</w:t>
      </w:r>
      <w:r w:rsidRPr="00567D84">
        <w:rPr>
          <w:rFonts w:ascii="Verdana" w:hAnsi="Verdana"/>
          <w:sz w:val="20"/>
        </w:rPr>
        <w:t xml:space="preserve"> comunicó a las partes y a la Comisión la incorporación de prueba de oficio y solicitó al Estado prueba para mejor resolver. Las partes y la Comisión no presentaron objeciones a la admisibilidad de dicha documentación, que ha quedado incorporada</w:t>
      </w:r>
      <w:r>
        <w:rPr>
          <w:rStyle w:val="Refdenotaalpie"/>
        </w:rPr>
        <w:footnoteReference w:id="26"/>
      </w:r>
      <w:r w:rsidRPr="00567D84">
        <w:rPr>
          <w:rFonts w:ascii="Verdana" w:hAnsi="Verdana"/>
          <w:sz w:val="20"/>
          <w:szCs w:val="20"/>
        </w:rPr>
        <w:t>.</w:t>
      </w:r>
      <w:r w:rsidRPr="00567D84">
        <w:rPr>
          <w:rFonts w:ascii="Verdana" w:hAnsi="Verdana" w:cs="Verdana"/>
          <w:color w:val="000000"/>
          <w:sz w:val="20"/>
          <w:szCs w:val="20"/>
          <w:lang w:val="es-CR"/>
        </w:rPr>
        <w:t xml:space="preserve"> </w:t>
      </w:r>
    </w:p>
    <w:p w14:paraId="7E12FB68" w14:textId="77777777" w:rsidR="009805F2" w:rsidRPr="00567D84" w:rsidRDefault="009805F2" w:rsidP="009805F2">
      <w:pPr>
        <w:pStyle w:val="Prrafodelista"/>
        <w:spacing w:line="240" w:lineRule="auto"/>
        <w:rPr>
          <w:rFonts w:ascii="Verdana" w:eastAsia="Batang" w:hAnsi="Verdana" w:cs="Times"/>
          <w:sz w:val="20"/>
          <w:szCs w:val="20"/>
          <w:lang w:val="es-CR" w:eastAsia="es-CR"/>
        </w:rPr>
      </w:pPr>
    </w:p>
    <w:p w14:paraId="3943B985" w14:textId="6E1AD955" w:rsidR="009805F2" w:rsidRPr="00567D84" w:rsidRDefault="009805F2" w:rsidP="009805F2">
      <w:pPr>
        <w:pStyle w:val="Prrafodelista"/>
        <w:numPr>
          <w:ilvl w:val="0"/>
          <w:numId w:val="1"/>
        </w:numPr>
        <w:spacing w:after="0" w:line="240" w:lineRule="auto"/>
        <w:ind w:left="0" w:right="6" w:hanging="11"/>
        <w:jc w:val="both"/>
        <w:rPr>
          <w:rFonts w:ascii="Verdana" w:eastAsia="Batang" w:hAnsi="Verdana" w:cs="Times"/>
          <w:sz w:val="20"/>
          <w:szCs w:val="20"/>
          <w:lang w:val="es-CR" w:eastAsia="es-CR"/>
        </w:rPr>
      </w:pPr>
      <w:r w:rsidRPr="00567D84">
        <w:rPr>
          <w:rFonts w:ascii="Verdana" w:eastAsia="Batang" w:hAnsi="Verdana" w:cs="Times"/>
          <w:sz w:val="20"/>
          <w:szCs w:val="20"/>
          <w:lang w:val="es-CR" w:eastAsia="es-CR"/>
        </w:rPr>
        <w:t xml:space="preserve">Los </w:t>
      </w:r>
      <w:r w:rsidRPr="00567D84">
        <w:rPr>
          <w:rFonts w:ascii="Verdana" w:eastAsia="Batang" w:hAnsi="Verdana" w:cs="Times"/>
          <w:b/>
          <w:i/>
          <w:sz w:val="20"/>
          <w:szCs w:val="20"/>
          <w:lang w:val="es-CR" w:eastAsia="es-CR"/>
        </w:rPr>
        <w:t>representantes</w:t>
      </w:r>
      <w:r w:rsidRPr="00567D84">
        <w:rPr>
          <w:rFonts w:ascii="Verdana" w:eastAsia="Batang" w:hAnsi="Verdana" w:cs="Times"/>
          <w:sz w:val="20"/>
          <w:szCs w:val="20"/>
          <w:lang w:val="es-CR" w:eastAsia="es-CR"/>
        </w:rPr>
        <w:t xml:space="preserve"> </w:t>
      </w:r>
      <w:r w:rsidR="004A6AF0">
        <w:rPr>
          <w:rFonts w:ascii="Verdana" w:eastAsia="Batang" w:hAnsi="Verdana" w:cs="Times"/>
          <w:sz w:val="20"/>
          <w:szCs w:val="20"/>
          <w:lang w:val="es-CR" w:eastAsia="es-CR"/>
        </w:rPr>
        <w:t xml:space="preserve">presentaron </w:t>
      </w:r>
      <w:r w:rsidRPr="00567D84">
        <w:rPr>
          <w:rFonts w:ascii="Verdana" w:hAnsi="Verdana"/>
          <w:sz w:val="20"/>
        </w:rPr>
        <w:t>junto con sus alegat</w:t>
      </w:r>
      <w:r w:rsidR="004A6AF0">
        <w:rPr>
          <w:rFonts w:ascii="Verdana" w:hAnsi="Verdana"/>
          <w:sz w:val="20"/>
        </w:rPr>
        <w:t xml:space="preserve">os finales escritos </w:t>
      </w:r>
      <w:r w:rsidRPr="00567D84">
        <w:rPr>
          <w:rFonts w:ascii="Verdana" w:hAnsi="Verdana"/>
          <w:sz w:val="20"/>
        </w:rPr>
        <w:t>dos grupos de do</w:t>
      </w:r>
      <w:r w:rsidR="00CA74EA">
        <w:rPr>
          <w:rFonts w:ascii="Verdana" w:hAnsi="Verdana"/>
          <w:sz w:val="20"/>
        </w:rPr>
        <w:t xml:space="preserve">cumentos: a) por una parte, un </w:t>
      </w:r>
      <w:r w:rsidRPr="00567D84">
        <w:rPr>
          <w:rFonts w:ascii="Verdana" w:hAnsi="Verdana"/>
          <w:sz w:val="20"/>
        </w:rPr>
        <w:t xml:space="preserve">informe sobre inundaciones a inicios de 2019, elaborado por Luis María de la Cruz, </w:t>
      </w:r>
      <w:r>
        <w:rPr>
          <w:rFonts w:ascii="Verdana" w:hAnsi="Verdana"/>
          <w:sz w:val="20"/>
        </w:rPr>
        <w:t xml:space="preserve">junto a </w:t>
      </w:r>
      <w:r w:rsidRPr="00567D84">
        <w:rPr>
          <w:rFonts w:ascii="Verdana" w:hAnsi="Verdana"/>
          <w:sz w:val="20"/>
        </w:rPr>
        <w:t xml:space="preserve">su </w:t>
      </w:r>
      <w:r w:rsidRPr="00567D84">
        <w:rPr>
          <w:rFonts w:ascii="Verdana" w:hAnsi="Verdana"/>
          <w:i/>
          <w:sz w:val="20"/>
        </w:rPr>
        <w:t xml:space="preserve">curriculum vitae; </w:t>
      </w:r>
      <w:r w:rsidRPr="00567D84">
        <w:rPr>
          <w:rFonts w:ascii="Verdana" w:hAnsi="Verdana"/>
          <w:sz w:val="20"/>
        </w:rPr>
        <w:t>b) por otra parte, un listado de 132 comunidades indígenas y una serie de documentos en que se indica el nombre de comunidades y de caciques, o en que representantes de comunidades indígenas afirman que las mismas están asentadas en el territorio reclamado en el caso y que apoyan a Lhaka Honhat.</w:t>
      </w:r>
      <w:r w:rsidRPr="00567D84">
        <w:rPr>
          <w:rFonts w:ascii="Verdana" w:hAnsi="Verdana"/>
          <w:b/>
          <w:sz w:val="16"/>
          <w:szCs w:val="16"/>
        </w:rPr>
        <w:t xml:space="preserve"> </w:t>
      </w:r>
      <w:r w:rsidRPr="00567D84">
        <w:rPr>
          <w:rFonts w:ascii="Verdana" w:hAnsi="Verdana"/>
          <w:sz w:val="20"/>
        </w:rPr>
        <w:t xml:space="preserve">El 5 de junio de 2019 los representantes remitieron vídeos, fotos y audios de la Asamblea de Caciques realizada el 17 de mayo de 2019, en el marco de la visita realizada por la Corte. El 18 de junio de 2019 el </w:t>
      </w:r>
      <w:r w:rsidRPr="00567D84">
        <w:rPr>
          <w:rFonts w:ascii="Verdana" w:hAnsi="Verdana"/>
          <w:b/>
          <w:i/>
          <w:sz w:val="20"/>
        </w:rPr>
        <w:t>Estado</w:t>
      </w:r>
      <w:r w:rsidRPr="00567D84">
        <w:rPr>
          <w:rFonts w:ascii="Verdana" w:hAnsi="Verdana"/>
          <w:sz w:val="20"/>
        </w:rPr>
        <w:t xml:space="preserve"> consideró extemporáneo el momento </w:t>
      </w:r>
      <w:r w:rsidR="00A95B2D">
        <w:rPr>
          <w:rFonts w:ascii="Verdana" w:hAnsi="Verdana"/>
          <w:sz w:val="20"/>
        </w:rPr>
        <w:t>en que se</w:t>
      </w:r>
      <w:r w:rsidRPr="00567D84">
        <w:rPr>
          <w:rFonts w:ascii="Verdana" w:hAnsi="Verdana"/>
          <w:sz w:val="20"/>
        </w:rPr>
        <w:t xml:space="preserve"> presentar</w:t>
      </w:r>
      <w:r w:rsidR="00A95B2D">
        <w:rPr>
          <w:rFonts w:ascii="Verdana" w:hAnsi="Verdana"/>
          <w:sz w:val="20"/>
        </w:rPr>
        <w:t>on</w:t>
      </w:r>
      <w:r w:rsidRPr="00567D84">
        <w:rPr>
          <w:rFonts w:ascii="Verdana" w:hAnsi="Verdana"/>
          <w:sz w:val="20"/>
        </w:rPr>
        <w:t xml:space="preserve"> todos los documentos anteriores y solicitó que se rechacen. Por otra parte</w:t>
      </w:r>
      <w:r w:rsidR="00D07A3F">
        <w:rPr>
          <w:rFonts w:ascii="Verdana" w:hAnsi="Verdana"/>
          <w:sz w:val="20"/>
        </w:rPr>
        <w:t>,</w:t>
      </w:r>
      <w:r w:rsidRPr="00567D84">
        <w:rPr>
          <w:rFonts w:ascii="Verdana" w:hAnsi="Verdana"/>
          <w:sz w:val="20"/>
        </w:rPr>
        <w:t xml:space="preserve"> durante la visita y en distintos días de junio de 2019 presentó videos sobre esa diligencia</w:t>
      </w:r>
      <w:r>
        <w:rPr>
          <w:rStyle w:val="Refdenotaalpie"/>
        </w:rPr>
        <w:footnoteReference w:id="27"/>
      </w:r>
      <w:r w:rsidRPr="00567D84">
        <w:rPr>
          <w:rFonts w:ascii="Verdana" w:hAnsi="Verdana"/>
          <w:sz w:val="20"/>
        </w:rPr>
        <w:t>.</w:t>
      </w:r>
    </w:p>
    <w:p w14:paraId="7630FD27" w14:textId="77777777" w:rsidR="009805F2" w:rsidRDefault="009805F2" w:rsidP="009805F2">
      <w:pPr>
        <w:pStyle w:val="Prrafodelista"/>
        <w:spacing w:after="0" w:line="240" w:lineRule="auto"/>
        <w:ind w:left="0" w:right="6"/>
        <w:jc w:val="both"/>
        <w:rPr>
          <w:rFonts w:ascii="Verdana" w:eastAsia="Batang" w:hAnsi="Verdana" w:cs="Times"/>
          <w:sz w:val="20"/>
          <w:szCs w:val="20"/>
          <w:lang w:val="es-CR" w:eastAsia="es-CR"/>
        </w:rPr>
      </w:pPr>
    </w:p>
    <w:p w14:paraId="506CB934" w14:textId="4909BE64" w:rsidR="009805F2" w:rsidRDefault="009805F2" w:rsidP="009805F2">
      <w:pPr>
        <w:pStyle w:val="Prrafodelista"/>
        <w:numPr>
          <w:ilvl w:val="0"/>
          <w:numId w:val="1"/>
        </w:numPr>
        <w:spacing w:after="0" w:line="240" w:lineRule="auto"/>
        <w:ind w:left="0" w:right="6" w:hanging="11"/>
        <w:jc w:val="both"/>
        <w:rPr>
          <w:rFonts w:ascii="Verdana" w:eastAsia="Batang" w:hAnsi="Verdana" w:cs="Times"/>
          <w:sz w:val="20"/>
          <w:szCs w:val="20"/>
          <w:lang w:val="es-CR" w:eastAsia="es-CR"/>
        </w:rPr>
      </w:pPr>
      <w:r w:rsidRPr="00567D84">
        <w:rPr>
          <w:rFonts w:ascii="Verdana" w:hAnsi="Verdana"/>
          <w:sz w:val="20"/>
          <w:szCs w:val="20"/>
        </w:rPr>
        <w:t xml:space="preserve">En primer lugar, la </w:t>
      </w:r>
      <w:r w:rsidRPr="00567D84">
        <w:rPr>
          <w:rFonts w:ascii="Verdana" w:hAnsi="Verdana"/>
          <w:b/>
          <w:i/>
          <w:sz w:val="20"/>
          <w:szCs w:val="20"/>
        </w:rPr>
        <w:t>Corte</w:t>
      </w:r>
      <w:r w:rsidRPr="00567D84">
        <w:rPr>
          <w:rFonts w:ascii="Verdana" w:hAnsi="Verdana"/>
          <w:sz w:val="20"/>
          <w:szCs w:val="20"/>
        </w:rPr>
        <w:t xml:space="preserve"> </w:t>
      </w:r>
      <w:r w:rsidRPr="00567D84">
        <w:rPr>
          <w:rFonts w:ascii="Verdana" w:hAnsi="Verdana"/>
          <w:sz w:val="20"/>
        </w:rPr>
        <w:t xml:space="preserve">recuerda que la remisión del registro audiovisual de la visita a terreno había sido solicitada </w:t>
      </w:r>
      <w:r w:rsidRPr="00667FF5">
        <w:rPr>
          <w:rFonts w:ascii="Verdana" w:hAnsi="Verdana"/>
          <w:sz w:val="20"/>
        </w:rPr>
        <w:t>a las partes</w:t>
      </w:r>
      <w:r w:rsidRPr="00C92D97">
        <w:rPr>
          <w:rFonts w:ascii="Verdana" w:hAnsi="Verdana"/>
          <w:b/>
          <w:sz w:val="20"/>
        </w:rPr>
        <w:t xml:space="preserve"> </w:t>
      </w:r>
      <w:r w:rsidRPr="00567D84">
        <w:rPr>
          <w:rFonts w:ascii="Verdana" w:hAnsi="Verdana"/>
          <w:sz w:val="20"/>
        </w:rPr>
        <w:t xml:space="preserve">por la Secretaría de la Corte el 26 de abril de 2019. Por otra parte, </w:t>
      </w:r>
      <w:r w:rsidRPr="00567D84">
        <w:rPr>
          <w:rFonts w:ascii="Verdana" w:hAnsi="Verdana"/>
          <w:sz w:val="20"/>
          <w:szCs w:val="20"/>
        </w:rPr>
        <w:t xml:space="preserve">es la diligencia </w:t>
      </w:r>
      <w:r w:rsidRPr="00567D84">
        <w:rPr>
          <w:rFonts w:ascii="Verdana" w:hAnsi="Verdana"/>
          <w:i/>
          <w:sz w:val="20"/>
          <w:szCs w:val="20"/>
        </w:rPr>
        <w:t>in situ</w:t>
      </w:r>
      <w:r w:rsidRPr="0088685A">
        <w:rPr>
          <w:rFonts w:ascii="Verdana" w:hAnsi="Verdana"/>
          <w:sz w:val="20"/>
          <w:szCs w:val="20"/>
        </w:rPr>
        <w:t>, realizada en virtud del principio de inmediación,</w:t>
      </w:r>
      <w:r>
        <w:rPr>
          <w:rFonts w:ascii="Verdana" w:hAnsi="Verdana"/>
          <w:i/>
          <w:sz w:val="20"/>
          <w:szCs w:val="20"/>
        </w:rPr>
        <w:t xml:space="preserve"> </w:t>
      </w:r>
      <w:r w:rsidRPr="00567D84">
        <w:rPr>
          <w:rFonts w:ascii="Verdana" w:hAnsi="Verdana"/>
          <w:sz w:val="20"/>
          <w:szCs w:val="20"/>
        </w:rPr>
        <w:t>la medida de prueba que se tendrá en consideración. Los documentos aludidos no pueden</w:t>
      </w:r>
      <w:r w:rsidRPr="00C92D97">
        <w:rPr>
          <w:rFonts w:ascii="Verdana" w:hAnsi="Verdana"/>
          <w:b/>
          <w:sz w:val="20"/>
          <w:szCs w:val="20"/>
        </w:rPr>
        <w:t xml:space="preserve"> </w:t>
      </w:r>
      <w:r w:rsidRPr="00667FF5">
        <w:rPr>
          <w:rFonts w:ascii="Verdana" w:hAnsi="Verdana"/>
          <w:sz w:val="20"/>
          <w:szCs w:val="20"/>
        </w:rPr>
        <w:t>considerarse</w:t>
      </w:r>
      <w:r w:rsidRPr="00567D84">
        <w:rPr>
          <w:rFonts w:ascii="Verdana" w:hAnsi="Verdana"/>
          <w:sz w:val="20"/>
          <w:szCs w:val="20"/>
        </w:rPr>
        <w:t xml:space="preserve">, en sí mismos, como “prueba documental”, sino que solo cumplen una función auxiliar, tendiente a dar cuenta de lo mismo que dos Jueces de la Corte presenciaron en forma directa. Con el alcance indicado, los documentos resultan útiles. </w:t>
      </w:r>
      <w:r w:rsidR="007419AC">
        <w:rPr>
          <w:rFonts w:ascii="Verdana" w:hAnsi="Verdana"/>
          <w:sz w:val="20"/>
          <w:szCs w:val="20"/>
        </w:rPr>
        <w:t>Por lo tanto, este Tribunal admite los</w:t>
      </w:r>
      <w:r w:rsidRPr="00567D84">
        <w:rPr>
          <w:rFonts w:ascii="Verdana" w:hAnsi="Verdana"/>
          <w:sz w:val="20"/>
          <w:szCs w:val="20"/>
        </w:rPr>
        <w:t xml:space="preserve"> videos sobre la visita remitidos por </w:t>
      </w:r>
      <w:r w:rsidR="007419AC">
        <w:rPr>
          <w:rFonts w:ascii="Verdana" w:hAnsi="Verdana"/>
          <w:sz w:val="20"/>
          <w:szCs w:val="20"/>
        </w:rPr>
        <w:t xml:space="preserve">los representantes y </w:t>
      </w:r>
      <w:r w:rsidRPr="00567D84">
        <w:rPr>
          <w:rFonts w:ascii="Verdana" w:hAnsi="Verdana"/>
          <w:sz w:val="20"/>
          <w:szCs w:val="20"/>
        </w:rPr>
        <w:t>el Estado. De igual modo, considera útiles los documentos recibidos durante la visita y los admite de conformidad con el artículo 58 del Reglamento</w:t>
      </w:r>
      <w:r w:rsidRPr="00EE0600">
        <w:rPr>
          <w:rStyle w:val="Refdenotaalpie"/>
          <w:rFonts w:cs="Arial"/>
        </w:rPr>
        <w:footnoteReference w:id="28"/>
      </w:r>
      <w:r w:rsidRPr="00567D84">
        <w:rPr>
          <w:rFonts w:ascii="Verdana" w:hAnsi="Verdana" w:cs="Arial"/>
          <w:sz w:val="20"/>
          <w:szCs w:val="20"/>
        </w:rPr>
        <w:t xml:space="preserve">. El segundo conjunto de documentos indicado en el párrafo anterior, remitido por los representantes con sus alegatos finales escritos, también resulta útil y queda admitido. </w:t>
      </w:r>
    </w:p>
    <w:p w14:paraId="7609D96D" w14:textId="77777777" w:rsidR="009805F2" w:rsidRPr="00567D84" w:rsidRDefault="009805F2" w:rsidP="009805F2">
      <w:pPr>
        <w:pStyle w:val="Prrafodelista"/>
        <w:spacing w:line="240" w:lineRule="auto"/>
        <w:rPr>
          <w:rFonts w:ascii="Verdana" w:eastAsia="Batang" w:hAnsi="Verdana" w:cs="Times"/>
          <w:sz w:val="20"/>
          <w:szCs w:val="20"/>
          <w:lang w:val="es-CR" w:eastAsia="es-CR"/>
        </w:rPr>
      </w:pPr>
    </w:p>
    <w:p w14:paraId="72E72D1F" w14:textId="77777777" w:rsidR="009805F2" w:rsidRDefault="009805F2" w:rsidP="009805F2">
      <w:pPr>
        <w:pStyle w:val="Prrafodelista"/>
        <w:numPr>
          <w:ilvl w:val="0"/>
          <w:numId w:val="1"/>
        </w:numPr>
        <w:spacing w:after="0" w:line="240" w:lineRule="auto"/>
        <w:ind w:left="0" w:right="6" w:hanging="11"/>
        <w:jc w:val="both"/>
        <w:rPr>
          <w:rFonts w:ascii="Verdana" w:eastAsia="Batang" w:hAnsi="Verdana" w:cs="Times"/>
          <w:sz w:val="20"/>
          <w:szCs w:val="20"/>
          <w:lang w:val="es-CR" w:eastAsia="es-CR"/>
        </w:rPr>
      </w:pPr>
      <w:r w:rsidRPr="0025496C">
        <w:rPr>
          <w:rFonts w:ascii="Verdana" w:hAnsi="Verdana"/>
          <w:sz w:val="20"/>
        </w:rPr>
        <w:t>El</w:t>
      </w:r>
      <w:r w:rsidRPr="0063081E">
        <w:rPr>
          <w:rFonts w:ascii="Verdana" w:hAnsi="Verdana"/>
          <w:b/>
          <w:sz w:val="20"/>
        </w:rPr>
        <w:t xml:space="preserve"> </w:t>
      </w:r>
      <w:r w:rsidRPr="00567D84">
        <w:rPr>
          <w:rFonts w:ascii="Verdana" w:hAnsi="Verdana"/>
          <w:sz w:val="20"/>
        </w:rPr>
        <w:t xml:space="preserve">informe de Luis María de la </w:t>
      </w:r>
      <w:r w:rsidRPr="008968F5">
        <w:rPr>
          <w:rFonts w:ascii="Verdana" w:hAnsi="Verdana"/>
          <w:sz w:val="20"/>
        </w:rPr>
        <w:t>Cruz</w:t>
      </w:r>
      <w:r w:rsidRPr="00567D84">
        <w:rPr>
          <w:rFonts w:ascii="Verdana" w:hAnsi="Verdana"/>
          <w:sz w:val="20"/>
        </w:rPr>
        <w:t xml:space="preserve"> </w:t>
      </w:r>
      <w:r>
        <w:rPr>
          <w:rFonts w:ascii="Verdana" w:hAnsi="Verdana"/>
          <w:sz w:val="20"/>
        </w:rPr>
        <w:t>(</w:t>
      </w:r>
      <w:r w:rsidRPr="0031391A">
        <w:rPr>
          <w:rFonts w:ascii="Verdana" w:hAnsi="Verdana"/>
          <w:i/>
          <w:sz w:val="20"/>
        </w:rPr>
        <w:t>supra</w:t>
      </w:r>
      <w:r>
        <w:rPr>
          <w:rFonts w:ascii="Verdana" w:hAnsi="Verdana"/>
          <w:sz w:val="20"/>
        </w:rPr>
        <w:t xml:space="preserve"> párr. 39) </w:t>
      </w:r>
      <w:r w:rsidRPr="0031391A">
        <w:rPr>
          <w:rFonts w:ascii="Verdana" w:hAnsi="Verdana"/>
          <w:sz w:val="20"/>
        </w:rPr>
        <w:t>no</w:t>
      </w:r>
      <w:r w:rsidRPr="00567D84">
        <w:rPr>
          <w:rFonts w:ascii="Verdana" w:hAnsi="Verdana"/>
          <w:sz w:val="20"/>
        </w:rPr>
        <w:t xml:space="preserve"> fue solicitado y trata sobre</w:t>
      </w:r>
      <w:r>
        <w:rPr>
          <w:rFonts w:ascii="Verdana" w:hAnsi="Verdana"/>
          <w:sz w:val="20"/>
        </w:rPr>
        <w:t xml:space="preserve"> las aducidas inundaciones en 2019,</w:t>
      </w:r>
      <w:r w:rsidRPr="00567D84">
        <w:rPr>
          <w:rFonts w:ascii="Verdana" w:hAnsi="Verdana"/>
          <w:sz w:val="20"/>
        </w:rPr>
        <w:t xml:space="preserve"> un hecho que no integra el marco fáctico (</w:t>
      </w:r>
      <w:r w:rsidRPr="00567D84">
        <w:rPr>
          <w:rFonts w:ascii="Verdana" w:hAnsi="Verdana"/>
          <w:i/>
          <w:sz w:val="20"/>
        </w:rPr>
        <w:t xml:space="preserve">supra </w:t>
      </w:r>
      <w:r w:rsidRPr="00567D84">
        <w:rPr>
          <w:rFonts w:ascii="Verdana" w:hAnsi="Verdana"/>
          <w:sz w:val="20"/>
        </w:rPr>
        <w:t>párr.</w:t>
      </w:r>
      <w:r>
        <w:rPr>
          <w:rFonts w:ascii="Verdana" w:hAnsi="Verdana"/>
          <w:sz w:val="20"/>
        </w:rPr>
        <w:t>24</w:t>
      </w:r>
      <w:r w:rsidRPr="00567D84">
        <w:rPr>
          <w:rFonts w:ascii="Verdana" w:hAnsi="Verdana"/>
          <w:sz w:val="20"/>
        </w:rPr>
        <w:t>). Por ello, no procede su admisión; tampoco la de</w:t>
      </w:r>
      <w:r>
        <w:rPr>
          <w:rFonts w:ascii="Verdana" w:hAnsi="Verdana"/>
          <w:sz w:val="20"/>
        </w:rPr>
        <w:t xml:space="preserve"> su</w:t>
      </w:r>
      <w:r w:rsidRPr="00567D84">
        <w:rPr>
          <w:rFonts w:ascii="Verdana" w:hAnsi="Verdana"/>
          <w:sz w:val="20"/>
        </w:rPr>
        <w:t xml:space="preserve"> </w:t>
      </w:r>
      <w:r w:rsidRPr="00567D84">
        <w:rPr>
          <w:rFonts w:ascii="Verdana" w:hAnsi="Verdana"/>
          <w:i/>
          <w:sz w:val="20"/>
        </w:rPr>
        <w:t>curriculum vitae</w:t>
      </w:r>
      <w:r w:rsidRPr="00567D84">
        <w:rPr>
          <w:rFonts w:ascii="Verdana" w:hAnsi="Verdana"/>
          <w:sz w:val="16"/>
          <w:szCs w:val="16"/>
        </w:rPr>
        <w:t>.</w:t>
      </w:r>
    </w:p>
    <w:p w14:paraId="29BAE849" w14:textId="77777777" w:rsidR="009805F2" w:rsidRPr="00567D84" w:rsidRDefault="009805F2" w:rsidP="009805F2">
      <w:pPr>
        <w:pStyle w:val="Prrafodelista"/>
        <w:spacing w:line="240" w:lineRule="auto"/>
        <w:rPr>
          <w:rFonts w:ascii="Verdana" w:eastAsia="Batang" w:hAnsi="Verdana" w:cs="Times"/>
          <w:sz w:val="20"/>
          <w:szCs w:val="20"/>
          <w:lang w:val="es-CR" w:eastAsia="es-CR"/>
        </w:rPr>
      </w:pPr>
    </w:p>
    <w:p w14:paraId="026E1343" w14:textId="77777777" w:rsidR="009805F2" w:rsidRDefault="009805F2" w:rsidP="009805F2">
      <w:pPr>
        <w:pStyle w:val="Prrafodelista"/>
        <w:numPr>
          <w:ilvl w:val="0"/>
          <w:numId w:val="1"/>
        </w:numPr>
        <w:spacing w:after="0" w:line="240" w:lineRule="auto"/>
        <w:ind w:left="0" w:right="6" w:hanging="11"/>
        <w:jc w:val="both"/>
        <w:rPr>
          <w:rFonts w:ascii="Verdana" w:eastAsia="Batang" w:hAnsi="Verdana" w:cs="Times"/>
          <w:sz w:val="20"/>
          <w:szCs w:val="20"/>
          <w:lang w:val="es-CR" w:eastAsia="es-CR"/>
        </w:rPr>
      </w:pPr>
      <w:r w:rsidRPr="00567D84">
        <w:rPr>
          <w:rFonts w:ascii="Verdana" w:eastAsia="Batang" w:hAnsi="Verdana" w:cs="Times"/>
          <w:sz w:val="20"/>
          <w:szCs w:val="20"/>
          <w:lang w:val="es-CR" w:eastAsia="es-CR"/>
        </w:rPr>
        <w:t xml:space="preserve">Por su lado, </w:t>
      </w:r>
      <w:r w:rsidRPr="00567D84">
        <w:rPr>
          <w:rFonts w:ascii="Verdana" w:hAnsi="Verdana"/>
          <w:sz w:val="20"/>
        </w:rPr>
        <w:t xml:space="preserve">el </w:t>
      </w:r>
      <w:r w:rsidRPr="00567D84">
        <w:rPr>
          <w:rFonts w:ascii="Verdana" w:hAnsi="Verdana"/>
          <w:b/>
          <w:i/>
          <w:sz w:val="20"/>
        </w:rPr>
        <w:t>Estado</w:t>
      </w:r>
      <w:r w:rsidRPr="00567D84">
        <w:rPr>
          <w:rFonts w:ascii="Verdana" w:hAnsi="Verdana"/>
          <w:sz w:val="20"/>
        </w:rPr>
        <w:t xml:space="preserve"> presentó</w:t>
      </w:r>
      <w:r>
        <w:rPr>
          <w:rFonts w:ascii="Verdana" w:hAnsi="Verdana"/>
          <w:sz w:val="20"/>
        </w:rPr>
        <w:t>,</w:t>
      </w:r>
      <w:r w:rsidRPr="00567D84">
        <w:rPr>
          <w:rFonts w:ascii="Verdana" w:hAnsi="Verdana"/>
          <w:sz w:val="20"/>
        </w:rPr>
        <w:t xml:space="preserve"> el 3 de junio de 2019, junto con sus alegatos finales escritos, la Resolución 4811/96 y la Resolución 328/2010, solicitadas por este Tribunal durante la audiencia pública </w:t>
      </w:r>
      <w:r>
        <w:rPr>
          <w:rFonts w:ascii="Verdana" w:hAnsi="Verdana"/>
          <w:sz w:val="20"/>
        </w:rPr>
        <w:t>d</w:t>
      </w:r>
      <w:r w:rsidRPr="00567D84">
        <w:rPr>
          <w:rFonts w:ascii="Verdana" w:hAnsi="Verdana"/>
          <w:sz w:val="20"/>
        </w:rPr>
        <w:t xml:space="preserve">el 14 de marzo de 2019. Los </w:t>
      </w:r>
      <w:r w:rsidRPr="00567D84">
        <w:rPr>
          <w:rFonts w:ascii="Verdana" w:hAnsi="Verdana"/>
          <w:b/>
          <w:i/>
          <w:sz w:val="20"/>
        </w:rPr>
        <w:t>representantes</w:t>
      </w:r>
      <w:r w:rsidRPr="00567D84">
        <w:rPr>
          <w:rFonts w:ascii="Verdana" w:hAnsi="Verdana"/>
          <w:sz w:val="20"/>
        </w:rPr>
        <w:t xml:space="preserve"> y </w:t>
      </w:r>
      <w:r w:rsidRPr="00567D84">
        <w:rPr>
          <w:rFonts w:ascii="Verdana" w:hAnsi="Verdana"/>
          <w:sz w:val="20"/>
        </w:rPr>
        <w:lastRenderedPageBreak/>
        <w:t xml:space="preserve">la </w:t>
      </w:r>
      <w:r w:rsidRPr="00567D84">
        <w:rPr>
          <w:rFonts w:ascii="Verdana" w:hAnsi="Verdana"/>
          <w:b/>
          <w:i/>
          <w:sz w:val="20"/>
        </w:rPr>
        <w:t xml:space="preserve">Comisión </w:t>
      </w:r>
      <w:r w:rsidRPr="00567D84">
        <w:rPr>
          <w:rFonts w:ascii="Verdana" w:hAnsi="Verdana"/>
          <w:sz w:val="20"/>
        </w:rPr>
        <w:t xml:space="preserve">no se pronunciaron al respecto. La </w:t>
      </w:r>
      <w:r w:rsidRPr="00567D84">
        <w:rPr>
          <w:rFonts w:ascii="Verdana" w:hAnsi="Verdana"/>
          <w:b/>
          <w:i/>
          <w:sz w:val="20"/>
        </w:rPr>
        <w:t>Corte</w:t>
      </w:r>
      <w:r w:rsidRPr="00567D84">
        <w:rPr>
          <w:rFonts w:ascii="Verdana" w:hAnsi="Verdana"/>
          <w:sz w:val="20"/>
        </w:rPr>
        <w:t xml:space="preserve"> admite estos documentos, en tanto fueron requeridos. </w:t>
      </w:r>
    </w:p>
    <w:p w14:paraId="53E5A38A" w14:textId="77777777" w:rsidR="009805F2" w:rsidRPr="00567D84" w:rsidRDefault="009805F2" w:rsidP="009805F2">
      <w:pPr>
        <w:pStyle w:val="Prrafodelista"/>
        <w:spacing w:line="240" w:lineRule="auto"/>
        <w:rPr>
          <w:rFonts w:ascii="Verdana" w:eastAsia="Batang" w:hAnsi="Verdana" w:cs="Times"/>
          <w:sz w:val="20"/>
          <w:szCs w:val="20"/>
          <w:lang w:val="es-CR" w:eastAsia="es-CR"/>
        </w:rPr>
      </w:pPr>
    </w:p>
    <w:p w14:paraId="2BBFD9CD" w14:textId="77777777" w:rsidR="009805F2" w:rsidRDefault="009805F2" w:rsidP="009805F2">
      <w:pPr>
        <w:pStyle w:val="Prrafodelista"/>
        <w:numPr>
          <w:ilvl w:val="0"/>
          <w:numId w:val="1"/>
        </w:numPr>
        <w:spacing w:after="0" w:line="240" w:lineRule="auto"/>
        <w:ind w:left="0" w:right="6" w:hanging="11"/>
        <w:jc w:val="both"/>
        <w:rPr>
          <w:rFonts w:ascii="Verdana" w:eastAsia="Batang" w:hAnsi="Verdana" w:cs="Times"/>
          <w:sz w:val="20"/>
          <w:szCs w:val="20"/>
          <w:lang w:val="es-CR" w:eastAsia="es-CR"/>
        </w:rPr>
      </w:pPr>
      <w:r w:rsidRPr="00567D84">
        <w:rPr>
          <w:rFonts w:ascii="Verdana" w:eastAsia="Batang" w:hAnsi="Verdana" w:cs="Times"/>
          <w:sz w:val="20"/>
          <w:szCs w:val="20"/>
          <w:lang w:val="es-CR" w:eastAsia="es-CR"/>
        </w:rPr>
        <w:t xml:space="preserve">Por último, la Corte </w:t>
      </w:r>
      <w:r w:rsidRPr="00567D84">
        <w:rPr>
          <w:rFonts w:ascii="Verdana" w:hAnsi="Verdana" w:cs="Calibri"/>
          <w:sz w:val="20"/>
          <w:szCs w:val="20"/>
        </w:rPr>
        <w:t>recibió el 29 de julio de 2019</w:t>
      </w:r>
      <w:r>
        <w:rPr>
          <w:rFonts w:ascii="Verdana" w:hAnsi="Verdana" w:cs="Calibri"/>
          <w:sz w:val="20"/>
          <w:szCs w:val="20"/>
        </w:rPr>
        <w:t xml:space="preserve"> </w:t>
      </w:r>
      <w:r w:rsidRPr="00567D84">
        <w:rPr>
          <w:rFonts w:ascii="Verdana" w:hAnsi="Verdana" w:cs="Calibri"/>
          <w:sz w:val="20"/>
          <w:szCs w:val="20"/>
        </w:rPr>
        <w:t>otro documento, de las siguientes “Asociaciones de Familias Criollas”: Organización de Familias Criollas</w:t>
      </w:r>
      <w:r>
        <w:rPr>
          <w:rFonts w:ascii="Verdana" w:hAnsi="Verdana" w:cs="Calibri"/>
          <w:sz w:val="20"/>
          <w:szCs w:val="20"/>
        </w:rPr>
        <w:t xml:space="preserve"> (OFC)</w:t>
      </w:r>
      <w:r w:rsidRPr="00567D84">
        <w:rPr>
          <w:rFonts w:ascii="Verdana" w:hAnsi="Verdana" w:cs="Calibri"/>
          <w:sz w:val="20"/>
          <w:szCs w:val="20"/>
        </w:rPr>
        <w:t xml:space="preserve">, Asociación de Pequeños Productores Real Frontera, Asociación Ganadera 20 de Setiembre, Asociación Vecinos Unidos, Asociación Nuestro Chaco y “algunos titulares de derecho de posesión no asociados”, en el cual se expone “una propuesta integral para la resolución del […] proceso de tierras de los […] lotes […] 55 y 14”. </w:t>
      </w:r>
    </w:p>
    <w:p w14:paraId="7A1350D4" w14:textId="77777777" w:rsidR="009805F2" w:rsidRPr="00567D84" w:rsidRDefault="009805F2" w:rsidP="009805F2">
      <w:pPr>
        <w:pStyle w:val="Prrafodelista"/>
        <w:spacing w:line="240" w:lineRule="auto"/>
        <w:rPr>
          <w:rFonts w:ascii="Verdana" w:hAnsi="Verdana" w:cs="Calibri"/>
          <w:sz w:val="20"/>
          <w:szCs w:val="20"/>
        </w:rPr>
      </w:pPr>
    </w:p>
    <w:p w14:paraId="5210E088" w14:textId="059DA31C" w:rsidR="009805F2" w:rsidRDefault="009805F2" w:rsidP="009805F2">
      <w:pPr>
        <w:pStyle w:val="Prrafodelista"/>
        <w:numPr>
          <w:ilvl w:val="0"/>
          <w:numId w:val="1"/>
        </w:numPr>
        <w:spacing w:after="0" w:line="240" w:lineRule="auto"/>
        <w:ind w:left="0" w:right="6" w:hanging="11"/>
        <w:jc w:val="both"/>
        <w:rPr>
          <w:rFonts w:ascii="Verdana" w:eastAsia="Batang" w:hAnsi="Verdana" w:cs="Times"/>
          <w:sz w:val="20"/>
          <w:szCs w:val="20"/>
          <w:lang w:val="es-CR" w:eastAsia="es-CR"/>
        </w:rPr>
      </w:pPr>
      <w:r w:rsidRPr="00567D84">
        <w:rPr>
          <w:rFonts w:ascii="Verdana" w:hAnsi="Verdana" w:cs="Calibri"/>
          <w:sz w:val="20"/>
          <w:szCs w:val="20"/>
        </w:rPr>
        <w:t xml:space="preserve">La </w:t>
      </w:r>
      <w:r w:rsidRPr="00567D84">
        <w:rPr>
          <w:rFonts w:ascii="Verdana" w:hAnsi="Verdana" w:cs="Calibri"/>
          <w:b/>
          <w:i/>
          <w:sz w:val="20"/>
          <w:szCs w:val="20"/>
        </w:rPr>
        <w:t>Corte</w:t>
      </w:r>
      <w:r w:rsidRPr="00567D84">
        <w:rPr>
          <w:rFonts w:ascii="Verdana" w:hAnsi="Verdana" w:cs="Calibri"/>
          <w:sz w:val="20"/>
          <w:szCs w:val="20"/>
        </w:rPr>
        <w:t xml:space="preserve"> nota que los criollos no son parte</w:t>
      </w:r>
      <w:r w:rsidRPr="00C92D97">
        <w:rPr>
          <w:rFonts w:ascii="Verdana" w:hAnsi="Verdana" w:cs="Calibri"/>
          <w:b/>
          <w:sz w:val="20"/>
          <w:szCs w:val="20"/>
        </w:rPr>
        <w:t xml:space="preserve"> </w:t>
      </w:r>
      <w:r w:rsidRPr="00277AD1">
        <w:rPr>
          <w:rFonts w:ascii="Verdana" w:hAnsi="Verdana" w:cs="Calibri"/>
          <w:sz w:val="20"/>
          <w:szCs w:val="20"/>
        </w:rPr>
        <w:t>formal</w:t>
      </w:r>
      <w:r w:rsidRPr="00C92D97">
        <w:rPr>
          <w:rFonts w:ascii="Verdana" w:hAnsi="Verdana" w:cs="Calibri"/>
          <w:b/>
          <w:sz w:val="20"/>
          <w:szCs w:val="20"/>
        </w:rPr>
        <w:t xml:space="preserve"> </w:t>
      </w:r>
      <w:r w:rsidRPr="00567D84">
        <w:rPr>
          <w:rFonts w:ascii="Verdana" w:hAnsi="Verdana" w:cs="Calibri"/>
          <w:sz w:val="20"/>
          <w:szCs w:val="20"/>
        </w:rPr>
        <w:t>en el proceso (</w:t>
      </w:r>
      <w:r w:rsidRPr="00567D84">
        <w:rPr>
          <w:rFonts w:ascii="Verdana" w:hAnsi="Verdana" w:cs="Calibri"/>
          <w:i/>
          <w:sz w:val="20"/>
          <w:szCs w:val="20"/>
        </w:rPr>
        <w:t>supra</w:t>
      </w:r>
      <w:r w:rsidRPr="00567D84">
        <w:rPr>
          <w:rFonts w:ascii="Verdana" w:hAnsi="Verdana" w:cs="Calibri"/>
          <w:sz w:val="20"/>
          <w:szCs w:val="20"/>
        </w:rPr>
        <w:t xml:space="preserve"> párr. </w:t>
      </w:r>
      <w:r>
        <w:rPr>
          <w:rFonts w:ascii="Verdana" w:hAnsi="Verdana" w:cs="Calibri"/>
          <w:sz w:val="20"/>
          <w:szCs w:val="20"/>
        </w:rPr>
        <w:t>36</w:t>
      </w:r>
      <w:r w:rsidRPr="00567D84">
        <w:rPr>
          <w:rFonts w:ascii="Verdana" w:hAnsi="Verdana" w:cs="Calibri"/>
          <w:sz w:val="20"/>
          <w:szCs w:val="20"/>
        </w:rPr>
        <w:t xml:space="preserve">), pero advierte que el escrito que remitieron resulta útil. Este Tribunal tiene en cuenta las particulares circunstancias que presenta este caso, en cuanto a la implicancia de la población criolla respecto a aspectos debatidos, así como que hubo integrantes de dicha población cuyos testimonios fueron escuchados, tanto mediante declaraciones escritas como en el marco de la diligencia </w:t>
      </w:r>
      <w:r w:rsidRPr="00567D84">
        <w:rPr>
          <w:rFonts w:ascii="Verdana" w:hAnsi="Verdana" w:cs="Calibri"/>
          <w:i/>
          <w:sz w:val="20"/>
          <w:szCs w:val="20"/>
        </w:rPr>
        <w:t>in situ</w:t>
      </w:r>
      <w:r w:rsidRPr="00567D84">
        <w:rPr>
          <w:rFonts w:ascii="Verdana" w:hAnsi="Verdana" w:cs="Calibri"/>
          <w:sz w:val="20"/>
          <w:szCs w:val="20"/>
        </w:rPr>
        <w:t>. Por e</w:t>
      </w:r>
      <w:r w:rsidR="00103A07">
        <w:rPr>
          <w:rFonts w:ascii="Verdana" w:hAnsi="Verdana" w:cs="Calibri"/>
          <w:sz w:val="20"/>
          <w:szCs w:val="20"/>
        </w:rPr>
        <w:t>llo</w:t>
      </w:r>
      <w:r w:rsidR="00D07A3F">
        <w:rPr>
          <w:rFonts w:ascii="Verdana" w:hAnsi="Verdana" w:cs="Calibri"/>
          <w:sz w:val="20"/>
          <w:szCs w:val="20"/>
        </w:rPr>
        <w:t>,</w:t>
      </w:r>
      <w:r w:rsidRPr="00567D84">
        <w:rPr>
          <w:rFonts w:ascii="Verdana" w:hAnsi="Verdana" w:cs="Calibri"/>
          <w:sz w:val="20"/>
          <w:szCs w:val="20"/>
        </w:rPr>
        <w:t xml:space="preserve"> la Corte admite la presentación con base en sus facultades previstas por el artículo 58.a del Reglamento</w:t>
      </w:r>
      <w:r>
        <w:rPr>
          <w:rStyle w:val="Refdenotaalpie"/>
          <w:rFonts w:ascii="Verdana" w:hAnsi="Verdana"/>
          <w:sz w:val="20"/>
        </w:rPr>
        <w:footnoteReference w:id="29"/>
      </w:r>
      <w:r w:rsidRPr="00567D84">
        <w:rPr>
          <w:rFonts w:ascii="Verdana" w:hAnsi="Verdana" w:cs="Calibri"/>
          <w:sz w:val="20"/>
          <w:szCs w:val="20"/>
        </w:rPr>
        <w:t>.</w:t>
      </w:r>
    </w:p>
    <w:p w14:paraId="6C82A3A3" w14:textId="77777777" w:rsidR="009805F2" w:rsidRDefault="009805F2" w:rsidP="009805F2">
      <w:pPr>
        <w:pStyle w:val="Prrafodelista"/>
        <w:spacing w:line="240" w:lineRule="auto"/>
        <w:rPr>
          <w:rFonts w:ascii="Verdana" w:eastAsia="Batang" w:hAnsi="Verdana" w:cs="Times"/>
          <w:sz w:val="20"/>
          <w:szCs w:val="20"/>
          <w:lang w:val="es-CR" w:eastAsia="es-CR"/>
        </w:rPr>
      </w:pPr>
    </w:p>
    <w:p w14:paraId="6ACC8312" w14:textId="77777777" w:rsidR="009805F2" w:rsidRPr="00567D84" w:rsidRDefault="009805F2" w:rsidP="009805F2">
      <w:pPr>
        <w:pStyle w:val="Prrafodelista"/>
        <w:numPr>
          <w:ilvl w:val="0"/>
          <w:numId w:val="3"/>
        </w:numPr>
        <w:tabs>
          <w:tab w:val="left" w:pos="1245"/>
          <w:tab w:val="left" w:pos="1860"/>
        </w:tabs>
        <w:spacing w:after="0" w:line="240" w:lineRule="auto"/>
        <w:outlineLvl w:val="1"/>
        <w:rPr>
          <w:rFonts w:ascii="Verdana" w:eastAsia="Calibri" w:hAnsi="Verdana" w:cs="Times"/>
          <w:b/>
          <w:i/>
          <w:sz w:val="20"/>
          <w:szCs w:val="20"/>
          <w:u w:val="single"/>
          <w:lang w:eastAsia="es-CR"/>
        </w:rPr>
      </w:pPr>
      <w:bookmarkStart w:id="53" w:name="_Toc22224863"/>
      <w:bookmarkStart w:id="54" w:name="_Toc32218824"/>
      <w:bookmarkStart w:id="55" w:name="_Toc32227094"/>
      <w:bookmarkStart w:id="56" w:name="_Toc34337523"/>
      <w:r w:rsidRPr="00567D84">
        <w:rPr>
          <w:rFonts w:ascii="Verdana" w:eastAsia="Calibri" w:hAnsi="Verdana" w:cs="Times"/>
          <w:b/>
          <w:i/>
          <w:sz w:val="20"/>
          <w:szCs w:val="20"/>
          <w:u w:val="single"/>
          <w:lang w:eastAsia="es-CR"/>
        </w:rPr>
        <w:t>Admisibilidad de la prueba testimonial y pericial</w:t>
      </w:r>
      <w:bookmarkEnd w:id="53"/>
      <w:bookmarkEnd w:id="54"/>
      <w:bookmarkEnd w:id="55"/>
      <w:bookmarkEnd w:id="56"/>
    </w:p>
    <w:p w14:paraId="42CD483E" w14:textId="77777777" w:rsidR="009805F2" w:rsidRPr="00567D84" w:rsidRDefault="009805F2" w:rsidP="009805F2">
      <w:pPr>
        <w:pStyle w:val="Prrafodelista"/>
        <w:spacing w:line="240" w:lineRule="auto"/>
        <w:rPr>
          <w:rFonts w:ascii="Verdana" w:eastAsia="Batang" w:hAnsi="Verdana" w:cs="Times"/>
          <w:sz w:val="20"/>
          <w:szCs w:val="20"/>
          <w:lang w:val="es-CR" w:eastAsia="es-CR"/>
        </w:rPr>
      </w:pPr>
    </w:p>
    <w:p w14:paraId="5859525B" w14:textId="77777777" w:rsidR="009805F2" w:rsidRPr="00567D84" w:rsidRDefault="009805F2" w:rsidP="009805F2">
      <w:pPr>
        <w:pStyle w:val="Prrafodelista"/>
        <w:numPr>
          <w:ilvl w:val="0"/>
          <w:numId w:val="1"/>
        </w:numPr>
        <w:spacing w:after="0" w:line="240" w:lineRule="auto"/>
        <w:ind w:left="0" w:right="6" w:hanging="11"/>
        <w:jc w:val="both"/>
        <w:rPr>
          <w:rFonts w:ascii="Verdana" w:eastAsia="Batang" w:hAnsi="Verdana" w:cs="Times"/>
          <w:sz w:val="20"/>
          <w:szCs w:val="20"/>
          <w:lang w:val="es-CR" w:eastAsia="es-CR"/>
        </w:rPr>
      </w:pPr>
      <w:r w:rsidRPr="00567D84">
        <w:rPr>
          <w:rFonts w:ascii="Verdana" w:eastAsia="Batang" w:hAnsi="Verdana" w:cs="Times"/>
          <w:sz w:val="20"/>
          <w:szCs w:val="20"/>
          <w:lang w:val="es-CR" w:eastAsia="es-CR"/>
        </w:rPr>
        <w:t xml:space="preserve">La Corte escuchó </w:t>
      </w:r>
      <w:r w:rsidRPr="00567D84">
        <w:rPr>
          <w:rFonts w:ascii="Verdana" w:hAnsi="Verdana"/>
          <w:sz w:val="20"/>
        </w:rPr>
        <w:t>en audiencia pública la</w:t>
      </w:r>
      <w:r>
        <w:rPr>
          <w:rFonts w:ascii="Verdana" w:hAnsi="Verdana"/>
          <w:sz w:val="20"/>
        </w:rPr>
        <w:t>s</w:t>
      </w:r>
      <w:r w:rsidRPr="00567D84">
        <w:rPr>
          <w:rFonts w:ascii="Verdana" w:hAnsi="Verdana"/>
          <w:sz w:val="20"/>
        </w:rPr>
        <w:t xml:space="preserve"> declaraci</w:t>
      </w:r>
      <w:r>
        <w:rPr>
          <w:rFonts w:ascii="Verdana" w:hAnsi="Verdana"/>
          <w:sz w:val="20"/>
        </w:rPr>
        <w:t>o</w:t>
      </w:r>
      <w:r w:rsidRPr="00567D84">
        <w:rPr>
          <w:rFonts w:ascii="Verdana" w:hAnsi="Verdana"/>
          <w:sz w:val="20"/>
        </w:rPr>
        <w:t>n</w:t>
      </w:r>
      <w:r>
        <w:rPr>
          <w:rFonts w:ascii="Verdana" w:hAnsi="Verdana"/>
          <w:sz w:val="20"/>
        </w:rPr>
        <w:t>es</w:t>
      </w:r>
      <w:r w:rsidRPr="00567D84">
        <w:rPr>
          <w:rFonts w:ascii="Verdana" w:hAnsi="Verdana"/>
          <w:sz w:val="20"/>
        </w:rPr>
        <w:t xml:space="preserve"> de </w:t>
      </w:r>
      <w:r>
        <w:rPr>
          <w:rFonts w:ascii="Verdana" w:hAnsi="Verdana"/>
          <w:sz w:val="20"/>
        </w:rPr>
        <w:t xml:space="preserve">dos </w:t>
      </w:r>
      <w:r w:rsidRPr="00567D84">
        <w:rPr>
          <w:rFonts w:ascii="Verdana" w:hAnsi="Verdana"/>
          <w:sz w:val="20"/>
        </w:rPr>
        <w:t>caciques de comunidades</w:t>
      </w:r>
      <w:r>
        <w:rPr>
          <w:rFonts w:ascii="Verdana" w:hAnsi="Verdana"/>
          <w:sz w:val="20"/>
        </w:rPr>
        <w:t xml:space="preserve"> indígenas,</w:t>
      </w:r>
      <w:r w:rsidRPr="00567D84">
        <w:rPr>
          <w:rFonts w:ascii="Verdana" w:hAnsi="Verdana"/>
          <w:sz w:val="20"/>
        </w:rPr>
        <w:t xml:space="preserve"> Francisco</w:t>
      </w:r>
      <w:r w:rsidRPr="00567D84">
        <w:rPr>
          <w:rFonts w:ascii="Verdana" w:hAnsi="Verdana" w:cs="Arial"/>
          <w:sz w:val="20"/>
        </w:rPr>
        <w:t xml:space="preserve"> Pérez y Rogelio Segundo</w:t>
      </w:r>
      <w:r>
        <w:rPr>
          <w:rFonts w:ascii="Verdana" w:hAnsi="Verdana" w:cs="Arial"/>
          <w:sz w:val="20"/>
        </w:rPr>
        <w:t>.</w:t>
      </w:r>
      <w:r w:rsidRPr="00567D84">
        <w:rPr>
          <w:rFonts w:ascii="Verdana" w:hAnsi="Verdana" w:cs="Arial"/>
          <w:sz w:val="20"/>
        </w:rPr>
        <w:t xml:space="preserve"> </w:t>
      </w:r>
      <w:r>
        <w:rPr>
          <w:rFonts w:ascii="Verdana" w:hAnsi="Verdana" w:cs="Arial"/>
          <w:sz w:val="20"/>
        </w:rPr>
        <w:t>R</w:t>
      </w:r>
      <w:r w:rsidRPr="00567D84">
        <w:rPr>
          <w:rFonts w:ascii="Verdana" w:hAnsi="Verdana" w:cs="Arial"/>
          <w:sz w:val="20"/>
        </w:rPr>
        <w:t xml:space="preserve">ecibió </w:t>
      </w:r>
      <w:r>
        <w:rPr>
          <w:rFonts w:ascii="Verdana" w:hAnsi="Verdana" w:cs="Arial"/>
          <w:sz w:val="20"/>
        </w:rPr>
        <w:t xml:space="preserve">también </w:t>
      </w:r>
      <w:r w:rsidRPr="00567D84">
        <w:rPr>
          <w:rFonts w:ascii="Verdana" w:hAnsi="Verdana" w:cs="Arial"/>
          <w:sz w:val="20"/>
        </w:rPr>
        <w:t xml:space="preserve">las declaraciones </w:t>
      </w:r>
      <w:r>
        <w:rPr>
          <w:rFonts w:ascii="Verdana" w:hAnsi="Verdana" w:cs="Arial"/>
          <w:sz w:val="20"/>
        </w:rPr>
        <w:t xml:space="preserve">escritas, </w:t>
      </w:r>
      <w:r w:rsidRPr="00567D84">
        <w:rPr>
          <w:rFonts w:ascii="Verdana" w:hAnsi="Verdana" w:cs="Arial"/>
          <w:sz w:val="20"/>
        </w:rPr>
        <w:t>rendidas ante fedatario público</w:t>
      </w:r>
      <w:r>
        <w:rPr>
          <w:rFonts w:ascii="Verdana" w:hAnsi="Verdana" w:cs="Arial"/>
          <w:sz w:val="20"/>
        </w:rPr>
        <w:t>,</w:t>
      </w:r>
      <w:r w:rsidRPr="00567D84">
        <w:rPr>
          <w:rFonts w:ascii="Verdana" w:hAnsi="Verdana" w:cs="Arial"/>
          <w:sz w:val="20"/>
        </w:rPr>
        <w:t xml:space="preserve"> de Francisco Gómez, Humberto Chenes, Constantino Fortunato, Asencio Pérez y Víctor González,</w:t>
      </w:r>
      <w:r>
        <w:rPr>
          <w:rFonts w:ascii="Verdana" w:hAnsi="Verdana" w:cs="Arial"/>
          <w:sz w:val="20"/>
        </w:rPr>
        <w:t xml:space="preserve"> quienes son integrantes de comunidades indígenas,</w:t>
      </w:r>
      <w:r w:rsidRPr="00567D84">
        <w:rPr>
          <w:rFonts w:ascii="Verdana" w:hAnsi="Verdana" w:cs="Arial"/>
          <w:sz w:val="20"/>
        </w:rPr>
        <w:t xml:space="preserve"> así como también de los testigos Abraham Ricalde, Zaturnio Ceballos y Oscar Dante Albornoz</w:t>
      </w:r>
      <w:r>
        <w:rPr>
          <w:rFonts w:ascii="Verdana" w:hAnsi="Verdana" w:cs="Arial"/>
          <w:sz w:val="20"/>
        </w:rPr>
        <w:t>, pobladores criollos</w:t>
      </w:r>
      <w:r w:rsidRPr="00567D84">
        <w:rPr>
          <w:rFonts w:ascii="Verdana" w:hAnsi="Verdana" w:cs="Arial"/>
          <w:sz w:val="20"/>
        </w:rPr>
        <w:t>. Además</w:t>
      </w:r>
      <w:r w:rsidRPr="00567D84">
        <w:rPr>
          <w:rFonts w:ascii="Verdana" w:hAnsi="Verdana"/>
          <w:sz w:val="20"/>
          <w:szCs w:val="20"/>
        </w:rPr>
        <w:t xml:space="preserve"> recibió peritajes</w:t>
      </w:r>
      <w:r>
        <w:rPr>
          <w:rFonts w:ascii="Verdana" w:hAnsi="Verdana"/>
          <w:sz w:val="20"/>
          <w:szCs w:val="20"/>
        </w:rPr>
        <w:t xml:space="preserve"> escritos,</w:t>
      </w:r>
      <w:r w:rsidRPr="00567D84">
        <w:rPr>
          <w:rFonts w:ascii="Verdana" w:hAnsi="Verdana"/>
          <w:sz w:val="20"/>
          <w:szCs w:val="20"/>
        </w:rPr>
        <w:t xml:space="preserve"> </w:t>
      </w:r>
      <w:r>
        <w:rPr>
          <w:rFonts w:ascii="Verdana" w:hAnsi="Verdana"/>
          <w:sz w:val="20"/>
          <w:szCs w:val="20"/>
        </w:rPr>
        <w:t>dados</w:t>
      </w:r>
      <w:r w:rsidRPr="00567D84">
        <w:rPr>
          <w:rFonts w:ascii="Verdana" w:hAnsi="Verdana"/>
          <w:sz w:val="20"/>
          <w:szCs w:val="20"/>
        </w:rPr>
        <w:t xml:space="preserve"> ante fedatario público por Nancy Adriana Yáñez Fuenzalida, Rodrigo Sebastián Solá, Norma Teresa Naharro y</w:t>
      </w:r>
      <w:r w:rsidRPr="00567D84">
        <w:rPr>
          <w:rFonts w:ascii="Verdana" w:hAnsi="Verdana" w:cs="Arial"/>
          <w:sz w:val="20"/>
        </w:rPr>
        <w:t xml:space="preserve"> Emiliana Catalina Buliubasich</w:t>
      </w:r>
      <w:r>
        <w:rPr>
          <w:rStyle w:val="Refdenotaalpie"/>
        </w:rPr>
        <w:footnoteReference w:id="30"/>
      </w:r>
      <w:r w:rsidRPr="00567D84">
        <w:rPr>
          <w:rFonts w:ascii="Verdana" w:hAnsi="Verdana" w:cs="Arial"/>
          <w:sz w:val="20"/>
        </w:rPr>
        <w:t xml:space="preserve">. Las declaraciones indicadas quedan admitidas. </w:t>
      </w:r>
    </w:p>
    <w:p w14:paraId="75B9531C" w14:textId="77777777" w:rsidR="009805F2" w:rsidRDefault="009805F2" w:rsidP="009805F2">
      <w:pPr>
        <w:pStyle w:val="Prrafodelista"/>
        <w:spacing w:after="0" w:line="240" w:lineRule="auto"/>
        <w:ind w:left="0" w:right="6"/>
        <w:jc w:val="both"/>
        <w:rPr>
          <w:rFonts w:ascii="Verdana" w:hAnsi="Verdana" w:cs="Arial"/>
          <w:sz w:val="20"/>
        </w:rPr>
      </w:pPr>
    </w:p>
    <w:p w14:paraId="61B64225" w14:textId="77777777" w:rsidR="009805F2" w:rsidRPr="00873FEC" w:rsidRDefault="009805F2" w:rsidP="009805F2">
      <w:pPr>
        <w:keepNext/>
        <w:keepLines/>
        <w:spacing w:after="0" w:line="240" w:lineRule="auto"/>
        <w:jc w:val="center"/>
        <w:outlineLvl w:val="0"/>
        <w:rPr>
          <w:rFonts w:ascii="Verdana" w:eastAsia="Times New Roman" w:hAnsi="Verdana" w:cs="Verdana"/>
          <w:caps/>
          <w:sz w:val="20"/>
          <w:szCs w:val="20"/>
          <w:lang w:eastAsia="es-CR"/>
        </w:rPr>
      </w:pPr>
      <w:bookmarkStart w:id="57" w:name="_Toc22224864"/>
      <w:bookmarkStart w:id="58" w:name="_Toc32218825"/>
      <w:bookmarkStart w:id="59" w:name="_Toc32227095"/>
      <w:bookmarkStart w:id="60" w:name="_Toc34337524"/>
      <w:r w:rsidRPr="00873FEC">
        <w:rPr>
          <w:rFonts w:ascii="Verdana" w:eastAsia="Times New Roman" w:hAnsi="Verdana" w:cs="Verdana"/>
          <w:b/>
          <w:caps/>
          <w:sz w:val="20"/>
          <w:szCs w:val="20"/>
          <w:lang w:eastAsia="es-CR"/>
        </w:rPr>
        <w:t>VI</w:t>
      </w:r>
      <w:bookmarkEnd w:id="57"/>
      <w:bookmarkEnd w:id="58"/>
      <w:bookmarkEnd w:id="59"/>
      <w:bookmarkEnd w:id="60"/>
    </w:p>
    <w:p w14:paraId="281471B7" w14:textId="77777777" w:rsidR="009805F2" w:rsidRDefault="009805F2" w:rsidP="009805F2">
      <w:pPr>
        <w:keepNext/>
        <w:keepLines/>
        <w:spacing w:after="0" w:line="240" w:lineRule="auto"/>
        <w:jc w:val="center"/>
        <w:outlineLvl w:val="0"/>
        <w:rPr>
          <w:rFonts w:ascii="Verdana" w:eastAsia="Times New Roman" w:hAnsi="Verdana" w:cs="Verdana"/>
          <w:b/>
          <w:caps/>
          <w:sz w:val="20"/>
          <w:szCs w:val="20"/>
          <w:lang w:eastAsia="es-CR"/>
        </w:rPr>
      </w:pPr>
      <w:bookmarkStart w:id="61" w:name="_Toc22224865"/>
      <w:bookmarkStart w:id="62" w:name="_Toc32218826"/>
      <w:bookmarkStart w:id="63" w:name="_Toc32227096"/>
      <w:bookmarkStart w:id="64" w:name="_Toc34337525"/>
      <w:r w:rsidRPr="00873FEC">
        <w:rPr>
          <w:rFonts w:ascii="Verdana" w:eastAsia="Times New Roman" w:hAnsi="Verdana" w:cs="Verdana"/>
          <w:b/>
          <w:caps/>
          <w:sz w:val="20"/>
          <w:szCs w:val="20"/>
          <w:lang w:eastAsia="es-CR"/>
        </w:rPr>
        <w:t>HECHOS</w:t>
      </w:r>
      <w:bookmarkEnd w:id="61"/>
      <w:bookmarkEnd w:id="62"/>
      <w:bookmarkEnd w:id="63"/>
      <w:bookmarkEnd w:id="64"/>
    </w:p>
    <w:p w14:paraId="335B3F04" w14:textId="77777777" w:rsidR="009805F2" w:rsidRDefault="009805F2" w:rsidP="009805F2">
      <w:pPr>
        <w:pStyle w:val="Prrafodelista"/>
        <w:spacing w:after="0" w:line="240" w:lineRule="auto"/>
        <w:ind w:left="0" w:right="6"/>
        <w:jc w:val="both"/>
        <w:rPr>
          <w:rFonts w:ascii="Verdana" w:eastAsia="Batang" w:hAnsi="Verdana" w:cs="Times"/>
          <w:sz w:val="20"/>
          <w:szCs w:val="20"/>
          <w:lang w:val="es-CR" w:eastAsia="es-CR"/>
        </w:rPr>
      </w:pPr>
    </w:p>
    <w:p w14:paraId="4E8D4582" w14:textId="7B2CC85B" w:rsidR="009805F2" w:rsidRPr="00567D84" w:rsidRDefault="009805F2" w:rsidP="009805F2">
      <w:pPr>
        <w:pStyle w:val="Prrafodelista"/>
        <w:numPr>
          <w:ilvl w:val="0"/>
          <w:numId w:val="1"/>
        </w:numPr>
        <w:spacing w:after="0" w:line="240" w:lineRule="auto"/>
        <w:ind w:left="0" w:right="6" w:hanging="11"/>
        <w:jc w:val="both"/>
        <w:rPr>
          <w:rFonts w:ascii="Verdana" w:eastAsia="Batang" w:hAnsi="Verdana" w:cs="Times"/>
          <w:sz w:val="20"/>
          <w:szCs w:val="20"/>
          <w:lang w:val="es-CR" w:eastAsia="es-CR"/>
        </w:rPr>
      </w:pPr>
      <w:r w:rsidRPr="00567D84">
        <w:rPr>
          <w:rFonts w:ascii="Verdana" w:hAnsi="Verdana"/>
          <w:sz w:val="20"/>
          <w:szCs w:val="20"/>
          <w:lang w:val="es-ES"/>
        </w:rPr>
        <w:t>Los hechos del presente caso se refieren a un reclamo de propiedad de comunidades indígenas sobre tierras ubicadas en la Provincia argentina de Salta. El reclamo lleva ce</w:t>
      </w:r>
      <w:r w:rsidR="00D07A3F">
        <w:rPr>
          <w:rFonts w:ascii="Verdana" w:hAnsi="Verdana"/>
          <w:sz w:val="20"/>
          <w:szCs w:val="20"/>
          <w:lang w:val="es-ES"/>
        </w:rPr>
        <w:t>rca de 35 años. Durante ese perí</w:t>
      </w:r>
      <w:r w:rsidRPr="00567D84">
        <w:rPr>
          <w:rFonts w:ascii="Verdana" w:hAnsi="Verdana"/>
          <w:sz w:val="20"/>
          <w:szCs w:val="20"/>
          <w:lang w:val="es-ES"/>
        </w:rPr>
        <w:t xml:space="preserve">odo el Estado adoptó diversas acciones y normas. Algunas de ellas, en particular en 1991, 2012 y 2014, avanzaron en el reconocimiento de la propiedad indígena. Como se expondrá, la implementación de </w:t>
      </w:r>
      <w:r w:rsidRPr="00567D84">
        <w:rPr>
          <w:rFonts w:ascii="Verdana" w:hAnsi="Verdana"/>
          <w:sz w:val="20"/>
          <w:szCs w:val="20"/>
          <w:lang w:val="es-ES"/>
        </w:rPr>
        <w:lastRenderedPageBreak/>
        <w:t>acciones relacionadas con el territorio indígena no ha concluido. Al respecto, se encuentran entre las circunstancias relevantes la presencia de población no indígena en la tierra reclamada y distintas actividades sobre ella: cría de ganado, instalación de cercados y tala ilegal. Integran también el marco fáctico del caso proyectos y obras sobre dichas tierras. Además, hubo distintas acciones judiciales y administrativas relativas al caso, entre las que cabe incluir la conformación</w:t>
      </w:r>
      <w:r>
        <w:rPr>
          <w:rFonts w:ascii="Verdana" w:hAnsi="Verdana"/>
          <w:sz w:val="20"/>
          <w:szCs w:val="20"/>
          <w:lang w:val="es-ES"/>
        </w:rPr>
        <w:t>,</w:t>
      </w:r>
      <w:r w:rsidRPr="00567D84">
        <w:rPr>
          <w:rFonts w:ascii="Verdana" w:hAnsi="Verdana"/>
          <w:sz w:val="20"/>
          <w:szCs w:val="20"/>
          <w:lang w:val="es-ES"/>
        </w:rPr>
        <w:t xml:space="preserve"> en 1992</w:t>
      </w:r>
      <w:r>
        <w:rPr>
          <w:rFonts w:ascii="Verdana" w:hAnsi="Verdana"/>
          <w:sz w:val="20"/>
          <w:szCs w:val="20"/>
          <w:lang w:val="es-ES"/>
        </w:rPr>
        <w:t>,</w:t>
      </w:r>
      <w:r w:rsidRPr="00567D84">
        <w:rPr>
          <w:rFonts w:ascii="Verdana" w:hAnsi="Verdana"/>
          <w:sz w:val="20"/>
          <w:szCs w:val="20"/>
          <w:lang w:val="es-ES"/>
        </w:rPr>
        <w:t xml:space="preserve"> de la Asociación Civil Lhaka Honhat para reclamar </w:t>
      </w:r>
      <w:r w:rsidR="00103A07">
        <w:rPr>
          <w:rFonts w:ascii="Verdana" w:hAnsi="Verdana"/>
          <w:sz w:val="20"/>
          <w:szCs w:val="20"/>
          <w:lang w:val="es-ES"/>
        </w:rPr>
        <w:t>la tierra y su</w:t>
      </w:r>
      <w:r w:rsidRPr="00567D84">
        <w:rPr>
          <w:rFonts w:ascii="Verdana" w:hAnsi="Verdana"/>
          <w:sz w:val="20"/>
          <w:szCs w:val="20"/>
          <w:lang w:val="es-ES"/>
        </w:rPr>
        <w:t xml:space="preserve"> solicitud, en 2017, de ser reconocida como organización indígena. Los hechos relevantes se exponen a continuación, como también en los capítulos siguientes de esta Sentencia. En lo que sigue se dará cuenta de: a) la población que habita los lotes 14 y 55; b)</w:t>
      </w:r>
      <w:r>
        <w:rPr>
          <w:rFonts w:ascii="Verdana" w:hAnsi="Verdana"/>
          <w:sz w:val="20"/>
          <w:szCs w:val="20"/>
          <w:lang w:val="es-ES"/>
        </w:rPr>
        <w:t xml:space="preserve"> la</w:t>
      </w:r>
      <w:r w:rsidRPr="00567D84">
        <w:rPr>
          <w:rFonts w:ascii="Verdana" w:hAnsi="Verdana"/>
          <w:sz w:val="20"/>
          <w:szCs w:val="20"/>
          <w:lang w:val="es-ES"/>
        </w:rPr>
        <w:t xml:space="preserve"> legislación pertinente sobre tierra indígena; c) </w:t>
      </w:r>
      <w:r>
        <w:rPr>
          <w:rFonts w:ascii="Verdana" w:hAnsi="Verdana"/>
          <w:sz w:val="20"/>
          <w:szCs w:val="20"/>
          <w:lang w:val="es-ES"/>
        </w:rPr>
        <w:t xml:space="preserve">los </w:t>
      </w:r>
      <w:r w:rsidRPr="00567D84">
        <w:rPr>
          <w:rFonts w:ascii="Verdana" w:hAnsi="Verdana"/>
          <w:sz w:val="20"/>
          <w:szCs w:val="20"/>
          <w:lang w:val="es-ES"/>
        </w:rPr>
        <w:t xml:space="preserve">reclamos territoriales indígenas en el caso; d) </w:t>
      </w:r>
      <w:r>
        <w:rPr>
          <w:rFonts w:ascii="Verdana" w:hAnsi="Verdana"/>
          <w:sz w:val="20"/>
          <w:szCs w:val="20"/>
          <w:lang w:val="es-ES"/>
        </w:rPr>
        <w:t xml:space="preserve">las </w:t>
      </w:r>
      <w:r w:rsidRPr="00567D84">
        <w:rPr>
          <w:rFonts w:ascii="Verdana" w:hAnsi="Verdana"/>
          <w:sz w:val="20"/>
          <w:szCs w:val="20"/>
          <w:lang w:val="es-ES"/>
        </w:rPr>
        <w:t xml:space="preserve">obras, actividades y proyectos sobre el territorio reclamado, y e) </w:t>
      </w:r>
      <w:r>
        <w:rPr>
          <w:rFonts w:ascii="Verdana" w:hAnsi="Verdana"/>
          <w:sz w:val="20"/>
          <w:szCs w:val="20"/>
          <w:lang w:val="es-ES"/>
        </w:rPr>
        <w:t xml:space="preserve">las </w:t>
      </w:r>
      <w:r w:rsidRPr="00567D84">
        <w:rPr>
          <w:rFonts w:ascii="Verdana" w:hAnsi="Verdana"/>
          <w:sz w:val="20"/>
          <w:szCs w:val="20"/>
          <w:lang w:val="es-ES"/>
        </w:rPr>
        <w:t xml:space="preserve">acciones administrativas o judiciales iniciadas en el caso. </w:t>
      </w:r>
    </w:p>
    <w:p w14:paraId="1CB069E4" w14:textId="77777777" w:rsidR="009805F2" w:rsidRDefault="009805F2" w:rsidP="009805F2">
      <w:pPr>
        <w:pStyle w:val="Prrafodelista"/>
        <w:spacing w:after="0" w:line="240" w:lineRule="auto"/>
        <w:ind w:left="0" w:right="6"/>
        <w:jc w:val="both"/>
        <w:rPr>
          <w:rFonts w:ascii="Verdana" w:hAnsi="Verdana"/>
          <w:sz w:val="20"/>
          <w:szCs w:val="20"/>
          <w:lang w:val="es-ES"/>
        </w:rPr>
      </w:pPr>
    </w:p>
    <w:p w14:paraId="36DB0541" w14:textId="77777777" w:rsidR="009805F2" w:rsidRPr="00BF1174" w:rsidRDefault="009805F2" w:rsidP="009805F2">
      <w:pPr>
        <w:pStyle w:val="Prrafodelista"/>
        <w:numPr>
          <w:ilvl w:val="0"/>
          <w:numId w:val="9"/>
        </w:numPr>
        <w:spacing w:after="0" w:line="240" w:lineRule="auto"/>
        <w:ind w:left="284" w:firstLine="0"/>
        <w:jc w:val="both"/>
        <w:outlineLvl w:val="1"/>
        <w:rPr>
          <w:rFonts w:ascii="Verdana" w:hAnsi="Verdana"/>
          <w:b/>
          <w:i/>
          <w:sz w:val="20"/>
          <w:szCs w:val="20"/>
          <w:u w:val="single"/>
          <w:lang w:val="es-CR"/>
        </w:rPr>
      </w:pPr>
      <w:bookmarkStart w:id="65" w:name="_Toc22224866"/>
      <w:bookmarkStart w:id="66" w:name="_Toc32218827"/>
      <w:bookmarkStart w:id="67" w:name="_Toc32227097"/>
      <w:bookmarkStart w:id="68" w:name="_Toc34337526"/>
      <w:r w:rsidRPr="00BF1174">
        <w:rPr>
          <w:rFonts w:ascii="Verdana" w:hAnsi="Verdana"/>
          <w:b/>
          <w:i/>
          <w:sz w:val="20"/>
          <w:szCs w:val="20"/>
          <w:u w:val="single"/>
          <w:lang w:val="es-CR"/>
        </w:rPr>
        <w:t xml:space="preserve">Introducción: Población indígena y criolla </w:t>
      </w:r>
      <w:r>
        <w:rPr>
          <w:rFonts w:ascii="Verdana" w:hAnsi="Verdana"/>
          <w:b/>
          <w:i/>
          <w:sz w:val="20"/>
          <w:szCs w:val="20"/>
          <w:u w:val="single"/>
          <w:lang w:val="es-CR"/>
        </w:rPr>
        <w:t>en</w:t>
      </w:r>
      <w:r w:rsidRPr="00BF1174">
        <w:rPr>
          <w:rFonts w:ascii="Verdana" w:hAnsi="Verdana"/>
          <w:b/>
          <w:i/>
          <w:sz w:val="20"/>
          <w:szCs w:val="20"/>
          <w:u w:val="single"/>
          <w:lang w:val="es-CR"/>
        </w:rPr>
        <w:t xml:space="preserve"> los lotes 14 y 55</w:t>
      </w:r>
      <w:bookmarkEnd w:id="65"/>
      <w:bookmarkEnd w:id="66"/>
      <w:bookmarkEnd w:id="67"/>
      <w:bookmarkEnd w:id="68"/>
      <w:r w:rsidRPr="00BF1174">
        <w:rPr>
          <w:rFonts w:ascii="Verdana" w:hAnsi="Verdana"/>
          <w:b/>
          <w:i/>
          <w:sz w:val="20"/>
          <w:szCs w:val="20"/>
          <w:u w:val="single"/>
          <w:lang w:val="es-CR"/>
        </w:rPr>
        <w:t xml:space="preserve"> </w:t>
      </w:r>
    </w:p>
    <w:p w14:paraId="0B6555A6" w14:textId="77777777" w:rsidR="009805F2" w:rsidRPr="00567D84" w:rsidRDefault="009805F2" w:rsidP="009805F2">
      <w:pPr>
        <w:pStyle w:val="Prrafodelista"/>
        <w:spacing w:after="0" w:line="240" w:lineRule="auto"/>
        <w:ind w:left="0" w:right="6"/>
        <w:jc w:val="both"/>
        <w:rPr>
          <w:rFonts w:ascii="Verdana" w:eastAsia="Batang" w:hAnsi="Verdana" w:cs="Times"/>
          <w:sz w:val="20"/>
          <w:szCs w:val="20"/>
          <w:lang w:val="es-CR" w:eastAsia="es-CR"/>
        </w:rPr>
      </w:pPr>
    </w:p>
    <w:p w14:paraId="49937C46" w14:textId="3EDE4F66" w:rsidR="009805F2" w:rsidRPr="0025496C" w:rsidRDefault="009805F2" w:rsidP="009805F2">
      <w:pPr>
        <w:pStyle w:val="Prrafodelista"/>
        <w:numPr>
          <w:ilvl w:val="0"/>
          <w:numId w:val="1"/>
        </w:numPr>
        <w:spacing w:after="0" w:line="240" w:lineRule="auto"/>
        <w:ind w:left="0" w:right="6" w:hanging="11"/>
        <w:jc w:val="both"/>
        <w:rPr>
          <w:rFonts w:ascii="Verdana" w:eastAsia="Batang" w:hAnsi="Verdana" w:cs="Times"/>
          <w:sz w:val="20"/>
          <w:szCs w:val="20"/>
          <w:lang w:val="es-CR" w:eastAsia="es-CR"/>
        </w:rPr>
      </w:pPr>
      <w:r w:rsidRPr="00567D84">
        <w:rPr>
          <w:rFonts w:ascii="Verdana" w:hAnsi="Verdana"/>
          <w:sz w:val="20"/>
          <w:szCs w:val="20"/>
          <w:lang w:val="es-CR"/>
        </w:rPr>
        <w:t>Múltiples</w:t>
      </w:r>
      <w:r w:rsidRPr="00567D84">
        <w:rPr>
          <w:rFonts w:ascii="Verdana" w:hAnsi="Verdana"/>
          <w:sz w:val="20"/>
          <w:szCs w:val="20"/>
          <w:lang w:val="es-ES"/>
        </w:rPr>
        <w:t xml:space="preserve"> comunidades de los pueblos indígenas Wich</w:t>
      </w:r>
      <w:r>
        <w:rPr>
          <w:rFonts w:ascii="Verdana" w:hAnsi="Verdana"/>
          <w:sz w:val="20"/>
          <w:szCs w:val="20"/>
          <w:lang w:val="es-ES"/>
        </w:rPr>
        <w:t>í</w:t>
      </w:r>
      <w:r w:rsidRPr="00567D84">
        <w:rPr>
          <w:rFonts w:ascii="Verdana" w:hAnsi="Verdana"/>
          <w:sz w:val="20"/>
          <w:szCs w:val="20"/>
          <w:lang w:val="es-ES"/>
        </w:rPr>
        <w:t xml:space="preserve"> (Mataco), Iyjwaja (Chorote), Komlek (Toba), Niwackle (Chulupí) y Tapy’y (Tapiete) habitan en una extensión de tierra antes considerada como lotes fiscales 14 y 55 (</w:t>
      </w:r>
      <w:r w:rsidRPr="00567D84">
        <w:rPr>
          <w:rFonts w:ascii="Verdana" w:hAnsi="Verdana"/>
          <w:i/>
          <w:sz w:val="20"/>
          <w:szCs w:val="20"/>
          <w:lang w:val="es-ES"/>
        </w:rPr>
        <w:t>supra</w:t>
      </w:r>
      <w:r w:rsidRPr="00567D84">
        <w:rPr>
          <w:rFonts w:ascii="Verdana" w:hAnsi="Verdana"/>
          <w:sz w:val="20"/>
          <w:szCs w:val="20"/>
          <w:lang w:val="es-ES"/>
        </w:rPr>
        <w:t xml:space="preserve"> párr. 1 e </w:t>
      </w:r>
      <w:r w:rsidRPr="00567D84">
        <w:rPr>
          <w:rFonts w:ascii="Verdana" w:hAnsi="Verdana"/>
          <w:i/>
          <w:sz w:val="20"/>
          <w:szCs w:val="20"/>
          <w:lang w:val="es-ES"/>
        </w:rPr>
        <w:t xml:space="preserve">infra </w:t>
      </w:r>
      <w:r w:rsidRPr="00567D84">
        <w:rPr>
          <w:rFonts w:ascii="Verdana" w:hAnsi="Verdana"/>
          <w:sz w:val="20"/>
          <w:szCs w:val="20"/>
          <w:lang w:val="es-ES"/>
        </w:rPr>
        <w:t xml:space="preserve">párr. </w:t>
      </w:r>
      <w:r>
        <w:rPr>
          <w:rFonts w:ascii="Verdana" w:hAnsi="Verdana"/>
          <w:sz w:val="20"/>
          <w:szCs w:val="20"/>
          <w:lang w:val="es-ES"/>
        </w:rPr>
        <w:t>80</w:t>
      </w:r>
      <w:r w:rsidRPr="00567D84">
        <w:rPr>
          <w:rFonts w:ascii="Verdana" w:hAnsi="Verdana"/>
          <w:sz w:val="20"/>
          <w:szCs w:val="20"/>
          <w:lang w:val="es-ES"/>
        </w:rPr>
        <w:t>), en el Departamento Rivadavia de la Provincia argentina de Salta, en la región del Chaco Salteño. Ambos lotes son colindantes y en conjunto abarcan un área aproximada de 643</w:t>
      </w:r>
      <w:r>
        <w:rPr>
          <w:rFonts w:ascii="Verdana" w:hAnsi="Verdana"/>
          <w:sz w:val="20"/>
          <w:szCs w:val="20"/>
          <w:lang w:val="es-ES"/>
        </w:rPr>
        <w:t>.</w:t>
      </w:r>
      <w:r w:rsidRPr="00567D84">
        <w:rPr>
          <w:rFonts w:ascii="Verdana" w:hAnsi="Verdana"/>
          <w:sz w:val="20"/>
          <w:szCs w:val="20"/>
          <w:lang w:val="es-ES"/>
        </w:rPr>
        <w:t>000 hectáreas</w:t>
      </w:r>
      <w:r>
        <w:rPr>
          <w:rStyle w:val="Refdenotaalpie"/>
          <w:lang w:val="es-ES"/>
        </w:rPr>
        <w:footnoteReference w:id="31"/>
      </w:r>
      <w:r w:rsidRPr="00567D84">
        <w:rPr>
          <w:rFonts w:ascii="Verdana" w:hAnsi="Verdana"/>
          <w:sz w:val="20"/>
          <w:szCs w:val="20"/>
          <w:lang w:val="es-ES"/>
        </w:rPr>
        <w:t>. La zona limita con</w:t>
      </w:r>
      <w:r w:rsidR="00D07A3F">
        <w:rPr>
          <w:rFonts w:ascii="Verdana" w:hAnsi="Verdana"/>
          <w:sz w:val="20"/>
          <w:szCs w:val="20"/>
          <w:lang w:val="es-ES"/>
        </w:rPr>
        <w:t xml:space="preserve"> la República de</w:t>
      </w:r>
      <w:r w:rsidRPr="00567D84">
        <w:rPr>
          <w:rFonts w:ascii="Verdana" w:hAnsi="Verdana"/>
          <w:sz w:val="20"/>
          <w:szCs w:val="20"/>
          <w:lang w:val="es-ES"/>
        </w:rPr>
        <w:t xml:space="preserve"> Paraguay y</w:t>
      </w:r>
      <w:r w:rsidR="00D07A3F">
        <w:rPr>
          <w:rFonts w:ascii="Verdana" w:hAnsi="Verdana"/>
          <w:sz w:val="20"/>
          <w:szCs w:val="20"/>
          <w:lang w:val="es-ES"/>
        </w:rPr>
        <w:t xml:space="preserve"> el Estado Plurinacional de</w:t>
      </w:r>
      <w:r w:rsidRPr="00567D84">
        <w:rPr>
          <w:rFonts w:ascii="Verdana" w:hAnsi="Verdana"/>
          <w:sz w:val="20"/>
          <w:szCs w:val="20"/>
          <w:lang w:val="es-ES"/>
        </w:rPr>
        <w:t xml:space="preserve"> Bolivia. </w:t>
      </w:r>
      <w:r w:rsidRPr="0025496C">
        <w:rPr>
          <w:rFonts w:ascii="Verdana" w:hAnsi="Verdana"/>
          <w:sz w:val="20"/>
          <w:szCs w:val="20"/>
          <w:lang w:val="es-ES"/>
        </w:rPr>
        <w:t>Lo dicho no resulta controvertido.</w:t>
      </w:r>
    </w:p>
    <w:p w14:paraId="3A136165" w14:textId="77777777" w:rsidR="009805F2" w:rsidRDefault="009805F2" w:rsidP="009805F2">
      <w:pPr>
        <w:pStyle w:val="Prrafodelista"/>
        <w:tabs>
          <w:tab w:val="left" w:pos="5860"/>
        </w:tabs>
        <w:spacing w:after="0" w:line="240" w:lineRule="auto"/>
        <w:ind w:left="0" w:right="6"/>
        <w:jc w:val="both"/>
        <w:rPr>
          <w:rFonts w:ascii="Verdana" w:eastAsia="Batang" w:hAnsi="Verdana" w:cs="Times"/>
          <w:sz w:val="20"/>
          <w:szCs w:val="20"/>
          <w:lang w:val="es-CR" w:eastAsia="es-CR"/>
        </w:rPr>
      </w:pPr>
      <w:r>
        <w:rPr>
          <w:rFonts w:ascii="Verdana" w:eastAsia="Batang" w:hAnsi="Verdana" w:cs="Times"/>
          <w:sz w:val="20"/>
          <w:szCs w:val="20"/>
          <w:lang w:val="es-CR" w:eastAsia="es-CR"/>
        </w:rPr>
        <w:tab/>
      </w:r>
    </w:p>
    <w:p w14:paraId="148C42F9" w14:textId="77777777" w:rsidR="000D37E5" w:rsidRPr="000D37E5" w:rsidRDefault="009805F2" w:rsidP="009805F2">
      <w:pPr>
        <w:pStyle w:val="Prrafodelista"/>
        <w:numPr>
          <w:ilvl w:val="0"/>
          <w:numId w:val="1"/>
        </w:numPr>
        <w:spacing w:after="0" w:line="240" w:lineRule="auto"/>
        <w:ind w:left="0" w:right="6" w:hanging="11"/>
        <w:jc w:val="both"/>
        <w:rPr>
          <w:rFonts w:ascii="Verdana" w:eastAsia="Batang" w:hAnsi="Verdana" w:cs="Times"/>
          <w:sz w:val="20"/>
          <w:szCs w:val="20"/>
          <w:lang w:val="es-CR" w:eastAsia="es-CR"/>
        </w:rPr>
      </w:pPr>
      <w:r w:rsidRPr="0081765C">
        <w:rPr>
          <w:rFonts w:ascii="Verdana" w:hAnsi="Verdana"/>
          <w:sz w:val="20"/>
          <w:szCs w:val="20"/>
        </w:rPr>
        <w:t>A continuación se exponen mapas que ubican el área territorial referida:</w:t>
      </w:r>
    </w:p>
    <w:p w14:paraId="348414CE" w14:textId="77777777" w:rsidR="009805F2" w:rsidRDefault="009805F2" w:rsidP="009805F2">
      <w:pPr>
        <w:pStyle w:val="Prrafodelista"/>
        <w:spacing w:after="0" w:line="240" w:lineRule="auto"/>
        <w:ind w:left="0" w:right="6"/>
        <w:jc w:val="center"/>
        <w:rPr>
          <w:noProof/>
          <w:lang w:eastAsia="es-CR"/>
        </w:rPr>
      </w:pPr>
      <w:r>
        <w:rPr>
          <w:noProof/>
          <w:lang w:eastAsia="es-ES_tradnl"/>
        </w:rPr>
        <w:lastRenderedPageBreak/>
        <w:drawing>
          <wp:inline distT="0" distB="0" distL="0" distR="0" wp14:anchorId="7FD66DBE" wp14:editId="480EE4B1">
            <wp:extent cx="4144389" cy="4398512"/>
            <wp:effectExtent l="0" t="0" r="8890" b="254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rotWithShape="1">
                    <a:blip r:embed="rId8">
                      <a:extLst>
                        <a:ext uri="{28A0092B-C50C-407E-A947-70E740481C1C}">
                          <a14:useLocalDpi xmlns:a14="http://schemas.microsoft.com/office/drawing/2010/main" val="0"/>
                        </a:ext>
                      </a:extLst>
                    </a:blip>
                    <a:srcRect l="2520" t="1979" r="31556" b="48547"/>
                    <a:stretch/>
                  </pic:blipFill>
                  <pic:spPr bwMode="auto">
                    <a:xfrm>
                      <a:off x="0" y="0"/>
                      <a:ext cx="4144389" cy="4398512"/>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es-CR"/>
        </w:rPr>
        <w:t>1.</w:t>
      </w:r>
    </w:p>
    <w:p w14:paraId="4A1EFF39" w14:textId="77777777" w:rsidR="00271401" w:rsidRDefault="00271401" w:rsidP="009805F2">
      <w:pPr>
        <w:pStyle w:val="Prrafodelista"/>
        <w:spacing w:after="0" w:line="240" w:lineRule="auto"/>
        <w:ind w:left="0" w:right="6"/>
        <w:jc w:val="center"/>
        <w:rPr>
          <w:noProof/>
          <w:lang w:eastAsia="es-CR"/>
        </w:rPr>
      </w:pPr>
    </w:p>
    <w:p w14:paraId="64D62C2E" w14:textId="77777777" w:rsidR="00433F72" w:rsidRDefault="00433F72" w:rsidP="009805F2">
      <w:pPr>
        <w:pStyle w:val="Prrafodelista"/>
        <w:spacing w:after="0" w:line="240" w:lineRule="auto"/>
        <w:ind w:left="0" w:right="6"/>
        <w:jc w:val="center"/>
        <w:rPr>
          <w:noProof/>
          <w:lang w:eastAsia="es-CR"/>
        </w:rPr>
      </w:pPr>
    </w:p>
    <w:p w14:paraId="22320620" w14:textId="77777777" w:rsidR="009805F2" w:rsidRDefault="009805F2" w:rsidP="009805F2">
      <w:pPr>
        <w:pStyle w:val="Prrafodelista"/>
        <w:spacing w:after="0" w:line="240" w:lineRule="auto"/>
        <w:ind w:left="0" w:right="6"/>
        <w:jc w:val="center"/>
        <w:rPr>
          <w:noProof/>
          <w:lang w:eastAsia="es-CR"/>
        </w:rPr>
      </w:pPr>
      <w:r>
        <w:rPr>
          <w:noProof/>
          <w:lang w:eastAsia="es-ES_tradnl"/>
        </w:rPr>
        <w:drawing>
          <wp:inline distT="0" distB="0" distL="0" distR="0" wp14:anchorId="202DC133" wp14:editId="16597D53">
            <wp:extent cx="3171825" cy="3344554"/>
            <wp:effectExtent l="0" t="0" r="0" b="8255"/>
            <wp:docPr id="4" name="Imagen 4" descr="Mapa Argen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apa Argentina"/>
                    <pic:cNvPicPr>
                      <a:picLocks noChangeAspect="1" noChangeArrowheads="1"/>
                    </pic:cNvPicPr>
                  </pic:nvPicPr>
                  <pic:blipFill rotWithShape="1">
                    <a:blip r:embed="rId9">
                      <a:extLst>
                        <a:ext uri="{28A0092B-C50C-407E-A947-70E740481C1C}">
                          <a14:useLocalDpi xmlns:a14="http://schemas.microsoft.com/office/drawing/2010/main" val="0"/>
                        </a:ext>
                      </a:extLst>
                    </a:blip>
                    <a:srcRect l="20093" t="12396" r="16074" b="17025"/>
                    <a:stretch/>
                  </pic:blipFill>
                  <pic:spPr bwMode="auto">
                    <a:xfrm>
                      <a:off x="0" y="0"/>
                      <a:ext cx="3186648" cy="3360184"/>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es-CR"/>
        </w:rPr>
        <w:t>2.</w:t>
      </w:r>
    </w:p>
    <w:p w14:paraId="7421B9FC" w14:textId="77777777" w:rsidR="009805F2" w:rsidRDefault="009805F2" w:rsidP="009805F2">
      <w:pPr>
        <w:pStyle w:val="Prrafodelista"/>
        <w:spacing w:after="0" w:line="240" w:lineRule="auto"/>
        <w:ind w:left="0" w:right="6"/>
        <w:jc w:val="center"/>
        <w:rPr>
          <w:noProof/>
          <w:lang w:eastAsia="es-CR"/>
        </w:rPr>
      </w:pPr>
    </w:p>
    <w:p w14:paraId="4CE8F9DF" w14:textId="77777777" w:rsidR="009805F2" w:rsidRDefault="009805F2" w:rsidP="009805F2">
      <w:pPr>
        <w:pStyle w:val="Prrafodelista"/>
        <w:spacing w:after="0" w:line="240" w:lineRule="auto"/>
        <w:ind w:left="0" w:right="6"/>
        <w:jc w:val="center"/>
        <w:rPr>
          <w:noProof/>
          <w:lang w:eastAsia="es-CR"/>
        </w:rPr>
      </w:pPr>
    </w:p>
    <w:p w14:paraId="20C6CDA2" w14:textId="77777777" w:rsidR="009805F2" w:rsidRDefault="009805F2" w:rsidP="009805F2">
      <w:pPr>
        <w:pStyle w:val="Prrafodelista"/>
        <w:spacing w:after="0" w:line="240" w:lineRule="auto"/>
        <w:ind w:left="0" w:right="6"/>
        <w:jc w:val="center"/>
        <w:rPr>
          <w:noProof/>
          <w:lang w:eastAsia="es-CR"/>
        </w:rPr>
      </w:pPr>
    </w:p>
    <w:p w14:paraId="05CB8FBB" w14:textId="77777777" w:rsidR="009805F2" w:rsidRDefault="009805F2" w:rsidP="009805F2">
      <w:pPr>
        <w:spacing w:line="240" w:lineRule="auto"/>
        <w:ind w:left="360"/>
        <w:jc w:val="center"/>
      </w:pPr>
      <w:r w:rsidRPr="00C54941">
        <w:rPr>
          <w:noProof/>
          <w:u w:val="single"/>
          <w:lang w:eastAsia="es-ES_tradnl"/>
        </w:rPr>
        <w:drawing>
          <wp:inline distT="0" distB="0" distL="0" distR="0" wp14:anchorId="02298AAF" wp14:editId="0EBA1187">
            <wp:extent cx="3152775" cy="3186431"/>
            <wp:effectExtent l="0" t="0" r="0" b="0"/>
            <wp:docPr id="6" name="Imagen 6" descr="Mapas Lhaka Honhat 2_Págin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as Lhaka Honhat 2_Página_3"/>
                    <pic:cNvPicPr>
                      <a:picLocks noChangeAspect="1" noChangeArrowheads="1"/>
                    </pic:cNvPicPr>
                  </pic:nvPicPr>
                  <pic:blipFill>
                    <a:blip r:embed="rId10" cstate="print">
                      <a:extLst>
                        <a:ext uri="{28A0092B-C50C-407E-A947-70E740481C1C}">
                          <a14:useLocalDpi xmlns:a14="http://schemas.microsoft.com/office/drawing/2010/main" val="0"/>
                        </a:ext>
                      </a:extLst>
                    </a:blip>
                    <a:srcRect l="153" t="14853" r="607" b="24196"/>
                    <a:stretch>
                      <a:fillRect/>
                    </a:stretch>
                  </pic:blipFill>
                  <pic:spPr bwMode="auto">
                    <a:xfrm>
                      <a:off x="0" y="0"/>
                      <a:ext cx="3173019" cy="3206891"/>
                    </a:xfrm>
                    <a:prstGeom prst="rect">
                      <a:avLst/>
                    </a:prstGeom>
                    <a:noFill/>
                    <a:ln>
                      <a:noFill/>
                    </a:ln>
                  </pic:spPr>
                </pic:pic>
              </a:graphicData>
            </a:graphic>
          </wp:inline>
        </w:drawing>
      </w:r>
      <w:r>
        <w:t>3</w:t>
      </w:r>
      <w:r>
        <w:rPr>
          <w:rStyle w:val="Refdenotaalpie"/>
        </w:rPr>
        <w:footnoteReference w:id="32"/>
      </w:r>
      <w:r>
        <w:t>.</w:t>
      </w:r>
    </w:p>
    <w:p w14:paraId="6D559E2C" w14:textId="77777777" w:rsidR="009805F2" w:rsidRDefault="009805F2" w:rsidP="009805F2">
      <w:pPr>
        <w:pStyle w:val="Prrafodelista"/>
        <w:spacing w:after="0" w:line="240" w:lineRule="auto"/>
        <w:ind w:left="0" w:right="6"/>
        <w:jc w:val="both"/>
        <w:rPr>
          <w:rFonts w:ascii="Verdana" w:eastAsia="Batang" w:hAnsi="Verdana" w:cs="Times"/>
          <w:sz w:val="20"/>
          <w:szCs w:val="20"/>
          <w:lang w:val="es-CR" w:eastAsia="es-CR"/>
        </w:rPr>
      </w:pPr>
    </w:p>
    <w:p w14:paraId="08A1E264" w14:textId="641B4E31" w:rsidR="009805F2" w:rsidRDefault="009805F2" w:rsidP="009805F2">
      <w:pPr>
        <w:pStyle w:val="Prrafodelista"/>
        <w:numPr>
          <w:ilvl w:val="0"/>
          <w:numId w:val="1"/>
        </w:numPr>
        <w:spacing w:after="0" w:line="240" w:lineRule="auto"/>
        <w:ind w:left="0" w:right="6" w:firstLine="0"/>
        <w:jc w:val="both"/>
        <w:rPr>
          <w:rFonts w:ascii="Verdana" w:eastAsia="Batang" w:hAnsi="Verdana" w:cs="Times"/>
          <w:sz w:val="20"/>
          <w:szCs w:val="20"/>
          <w:lang w:val="es-CR" w:eastAsia="es-CR"/>
        </w:rPr>
      </w:pPr>
      <w:r w:rsidRPr="00DE6E47">
        <w:rPr>
          <w:rFonts w:ascii="Verdana" w:hAnsi="Verdana"/>
          <w:sz w:val="20"/>
          <w:szCs w:val="20"/>
          <w:lang w:val="es-MX"/>
        </w:rPr>
        <w:t xml:space="preserve">De acuerdo </w:t>
      </w:r>
      <w:r w:rsidR="00D07A3F">
        <w:rPr>
          <w:rFonts w:ascii="Verdana" w:hAnsi="Verdana"/>
          <w:sz w:val="20"/>
          <w:szCs w:val="20"/>
          <w:lang w:val="es-MX"/>
        </w:rPr>
        <w:t>con afirmaciones expuestas en lo</w:t>
      </w:r>
      <w:r w:rsidRPr="00DE6E47">
        <w:rPr>
          <w:rFonts w:ascii="Verdana" w:hAnsi="Verdana"/>
          <w:sz w:val="20"/>
          <w:szCs w:val="20"/>
          <w:lang w:val="es-MX"/>
        </w:rPr>
        <w:t>s peri</w:t>
      </w:r>
      <w:r w:rsidR="00D07A3F">
        <w:rPr>
          <w:rFonts w:ascii="Verdana" w:hAnsi="Verdana"/>
          <w:sz w:val="20"/>
          <w:szCs w:val="20"/>
          <w:lang w:val="es-MX"/>
        </w:rPr>
        <w:t>tajes</w:t>
      </w:r>
      <w:r w:rsidRPr="00DE6E47">
        <w:rPr>
          <w:rFonts w:ascii="Verdana" w:hAnsi="Verdana"/>
          <w:sz w:val="20"/>
          <w:szCs w:val="20"/>
          <w:lang w:val="es-MX"/>
        </w:rPr>
        <w:t xml:space="preserve"> de las señoras Naharro y Buliubasich, la presencia indígena en la zona </w:t>
      </w:r>
      <w:r>
        <w:rPr>
          <w:rFonts w:ascii="Verdana" w:hAnsi="Verdana"/>
          <w:sz w:val="20"/>
          <w:szCs w:val="20"/>
          <w:lang w:val="es-MX"/>
        </w:rPr>
        <w:t xml:space="preserve">es </w:t>
      </w:r>
      <w:r w:rsidRPr="00DE6E47">
        <w:rPr>
          <w:rFonts w:ascii="Verdana" w:hAnsi="Verdana"/>
          <w:sz w:val="20"/>
          <w:szCs w:val="20"/>
          <w:lang w:val="es-MX"/>
        </w:rPr>
        <w:t xml:space="preserve">previa a 1629 y, por tanto, anterior a la conformación, en el siglo XIX, del Estado argentino. </w:t>
      </w:r>
      <w:r w:rsidR="00D07A3F">
        <w:rPr>
          <w:rFonts w:ascii="Verdana" w:hAnsi="Verdana"/>
          <w:sz w:val="20"/>
          <w:szCs w:val="20"/>
          <w:lang w:val="es-MX"/>
        </w:rPr>
        <w:t>El primer dictamen pericial</w:t>
      </w:r>
      <w:r w:rsidRPr="00DE6E47">
        <w:rPr>
          <w:rFonts w:ascii="Verdana" w:hAnsi="Verdana"/>
          <w:sz w:val="20"/>
          <w:szCs w:val="20"/>
          <w:lang w:val="es-MX"/>
        </w:rPr>
        <w:t xml:space="preserve"> detalló que numerosos testimonios y documentos producidos entre el siglo XVIII y principios del siglo XX “mencionan la presencia de pueblos cazadores recolectores en el área del </w:t>
      </w:r>
      <w:r>
        <w:rPr>
          <w:rFonts w:ascii="Verdana" w:hAnsi="Verdana"/>
          <w:sz w:val="20"/>
          <w:szCs w:val="20"/>
          <w:lang w:val="es-MX"/>
        </w:rPr>
        <w:t xml:space="preserve">[río] </w:t>
      </w:r>
      <w:r w:rsidRPr="00DE6E47">
        <w:rPr>
          <w:rFonts w:ascii="Verdana" w:hAnsi="Verdana"/>
          <w:sz w:val="20"/>
          <w:szCs w:val="20"/>
          <w:lang w:val="es-MX"/>
        </w:rPr>
        <w:t>Pilcomayo”. La mayoría de la población indígena, que ha continuado en el lugar hasta la actual</w:t>
      </w:r>
      <w:r>
        <w:rPr>
          <w:rFonts w:ascii="Verdana" w:hAnsi="Verdana"/>
          <w:sz w:val="20"/>
          <w:szCs w:val="20"/>
          <w:lang w:val="es-MX"/>
        </w:rPr>
        <w:t>idad, pertenece a la etnia Wichí</w:t>
      </w:r>
      <w:r w:rsidRPr="00DE6E47">
        <w:rPr>
          <w:rFonts w:ascii="Verdana" w:hAnsi="Verdana"/>
          <w:sz w:val="20"/>
          <w:szCs w:val="20"/>
          <w:lang w:val="es-MX"/>
        </w:rPr>
        <w:t>. Distintos estudios “muestran la importancia de la relación […] con su tierra y territorio[,] señalando la amenaza que implica el desarrollo de actividades productivas que entran en contradicción con su forma de vida”. Documentación estatal indica que la población “aborigen” de la zona pertenece a las “denominadas protoculturas chaquenses”, y que se trata de “grupos nómades o semi-nomades de economía recolectora, cazadora y pescadora”</w:t>
      </w:r>
      <w:r>
        <w:rPr>
          <w:rStyle w:val="Refdenotaalpie"/>
          <w:rFonts w:ascii="Verdana" w:hAnsi="Verdana"/>
          <w:sz w:val="20"/>
          <w:lang w:val="es-MX"/>
        </w:rPr>
        <w:footnoteReference w:id="33"/>
      </w:r>
      <w:r w:rsidRPr="00DE6E47">
        <w:rPr>
          <w:rFonts w:ascii="Verdana" w:hAnsi="Verdana"/>
          <w:sz w:val="20"/>
          <w:szCs w:val="20"/>
          <w:lang w:val="es-MX"/>
        </w:rPr>
        <w:t xml:space="preserve">. </w:t>
      </w:r>
    </w:p>
    <w:p w14:paraId="4576D917" w14:textId="77777777" w:rsidR="009805F2" w:rsidRPr="00DE6E47" w:rsidRDefault="009805F2" w:rsidP="009805F2">
      <w:pPr>
        <w:pStyle w:val="Prrafodelista"/>
        <w:spacing w:line="240" w:lineRule="auto"/>
        <w:ind w:left="0"/>
        <w:rPr>
          <w:rFonts w:ascii="Verdana" w:hAnsi="Verdana"/>
          <w:sz w:val="20"/>
          <w:szCs w:val="20"/>
          <w:lang w:val="es-ES"/>
        </w:rPr>
      </w:pPr>
    </w:p>
    <w:p w14:paraId="7B731B1F" w14:textId="5091DBA0" w:rsidR="009805F2" w:rsidRPr="00DE6E47" w:rsidRDefault="009805F2" w:rsidP="009805F2">
      <w:pPr>
        <w:pStyle w:val="Prrafodelista"/>
        <w:numPr>
          <w:ilvl w:val="0"/>
          <w:numId w:val="1"/>
        </w:numPr>
        <w:spacing w:after="0" w:line="240" w:lineRule="auto"/>
        <w:ind w:left="0" w:right="6" w:firstLine="0"/>
        <w:jc w:val="both"/>
        <w:rPr>
          <w:rFonts w:ascii="Verdana" w:eastAsia="Batang" w:hAnsi="Verdana" w:cs="Times"/>
          <w:sz w:val="20"/>
          <w:szCs w:val="20"/>
          <w:lang w:val="es-CR" w:eastAsia="es-CR"/>
        </w:rPr>
      </w:pPr>
      <w:r w:rsidRPr="00DE6E47">
        <w:rPr>
          <w:rFonts w:ascii="Verdana" w:hAnsi="Verdana"/>
          <w:sz w:val="20"/>
          <w:szCs w:val="20"/>
          <w:lang w:val="es-ES"/>
        </w:rPr>
        <w:t xml:space="preserve">El número </w:t>
      </w:r>
      <w:r>
        <w:rPr>
          <w:rFonts w:ascii="Verdana" w:hAnsi="Verdana"/>
          <w:sz w:val="20"/>
          <w:szCs w:val="20"/>
          <w:lang w:val="es-ES"/>
        </w:rPr>
        <w:t xml:space="preserve">de </w:t>
      </w:r>
      <w:r w:rsidRPr="00DE6E47">
        <w:rPr>
          <w:rFonts w:ascii="Verdana" w:hAnsi="Verdana"/>
          <w:sz w:val="20"/>
          <w:szCs w:val="20"/>
          <w:lang w:val="es-ES"/>
        </w:rPr>
        <w:t xml:space="preserve">comunidades indígenas que se encuentran en los lotes 14 y 55 es variable, dada </w:t>
      </w:r>
      <w:r w:rsidRPr="00DE6E47">
        <w:rPr>
          <w:rFonts w:ascii="Verdana" w:hAnsi="Verdana" w:cs="Arial"/>
          <w:sz w:val="20"/>
          <w:szCs w:val="20"/>
          <w:lang w:val="es-ES"/>
        </w:rPr>
        <w:t xml:space="preserve">la dinámica constante de fragmentación y fusión comunitaria que </w:t>
      </w:r>
      <w:r w:rsidRPr="00DE6E47">
        <w:rPr>
          <w:rFonts w:ascii="Verdana" w:hAnsi="Verdana" w:cs="Arial"/>
          <w:sz w:val="20"/>
          <w:szCs w:val="20"/>
          <w:lang w:val="es-ES"/>
        </w:rPr>
        <w:lastRenderedPageBreak/>
        <w:t>caracteriza a estos pueblos (</w:t>
      </w:r>
      <w:r w:rsidRPr="00DE6E47">
        <w:rPr>
          <w:rFonts w:ascii="Verdana" w:hAnsi="Verdana" w:cs="Arial"/>
          <w:i/>
          <w:sz w:val="20"/>
          <w:szCs w:val="20"/>
          <w:lang w:val="es-ES"/>
        </w:rPr>
        <w:t>supra</w:t>
      </w:r>
      <w:r w:rsidRPr="00DE6E47">
        <w:rPr>
          <w:rFonts w:ascii="Verdana" w:hAnsi="Verdana" w:cs="Arial"/>
          <w:sz w:val="20"/>
          <w:szCs w:val="20"/>
          <w:lang w:val="es-ES"/>
        </w:rPr>
        <w:t>, párrs.</w:t>
      </w:r>
      <w:r>
        <w:rPr>
          <w:rFonts w:ascii="Verdana" w:hAnsi="Verdana" w:cs="Arial"/>
          <w:sz w:val="20"/>
          <w:szCs w:val="20"/>
          <w:lang w:val="es-ES"/>
        </w:rPr>
        <w:t xml:space="preserve"> 33</w:t>
      </w:r>
      <w:r w:rsidRPr="00DE6E47">
        <w:rPr>
          <w:rFonts w:ascii="Verdana" w:hAnsi="Verdana" w:cs="Arial"/>
          <w:sz w:val="20"/>
          <w:szCs w:val="20"/>
          <w:lang w:val="es-ES"/>
        </w:rPr>
        <w:t>)</w:t>
      </w:r>
      <w:r w:rsidRPr="00C05164">
        <w:rPr>
          <w:rStyle w:val="Refdenotaalpie"/>
          <w:lang w:val="es-ES"/>
        </w:rPr>
        <w:footnoteReference w:id="34"/>
      </w:r>
      <w:r w:rsidRPr="00DE6E47">
        <w:rPr>
          <w:rFonts w:ascii="Verdana" w:hAnsi="Verdana"/>
          <w:i/>
          <w:sz w:val="20"/>
          <w:szCs w:val="20"/>
          <w:lang w:val="es-ES"/>
        </w:rPr>
        <w:t>.</w:t>
      </w:r>
      <w:r w:rsidRPr="00DE6E47">
        <w:rPr>
          <w:rFonts w:ascii="Verdana" w:hAnsi="Verdana"/>
          <w:sz w:val="20"/>
          <w:szCs w:val="20"/>
          <w:lang w:val="es-ES"/>
        </w:rPr>
        <w:t xml:space="preserve"> El Estado y los representantes han señalado la existencia de más de 2</w:t>
      </w:r>
      <w:r>
        <w:rPr>
          <w:rFonts w:ascii="Verdana" w:hAnsi="Verdana"/>
          <w:sz w:val="20"/>
          <w:szCs w:val="20"/>
          <w:lang w:val="es-ES"/>
        </w:rPr>
        <w:t>.</w:t>
      </w:r>
      <w:r w:rsidRPr="00DE6E47">
        <w:rPr>
          <w:rFonts w:ascii="Verdana" w:hAnsi="Verdana"/>
          <w:sz w:val="20"/>
          <w:szCs w:val="20"/>
          <w:lang w:val="es-ES"/>
        </w:rPr>
        <w:t>000 familias indígenas.</w:t>
      </w:r>
      <w:r w:rsidRPr="00DE6E47">
        <w:rPr>
          <w:rFonts w:ascii="Verdana" w:hAnsi="Verdana"/>
          <w:b/>
          <w:sz w:val="16"/>
          <w:szCs w:val="16"/>
          <w:lang w:val="es-ES"/>
        </w:rPr>
        <w:t xml:space="preserve"> </w:t>
      </w:r>
      <w:r w:rsidRPr="00DE6E47">
        <w:rPr>
          <w:rFonts w:ascii="Verdana" w:hAnsi="Verdana"/>
          <w:sz w:val="20"/>
          <w:szCs w:val="20"/>
          <w:lang w:val="es-ES"/>
        </w:rPr>
        <w:t>Los</w:t>
      </w:r>
      <w:r w:rsidRPr="00277AD1">
        <w:rPr>
          <w:rFonts w:ascii="Verdana" w:hAnsi="Verdana"/>
          <w:sz w:val="20"/>
          <w:szCs w:val="20"/>
          <w:lang w:val="es-ES"/>
        </w:rPr>
        <w:t xml:space="preserve"> representantes</w:t>
      </w:r>
      <w:r>
        <w:rPr>
          <w:rFonts w:ascii="Verdana" w:hAnsi="Verdana"/>
          <w:sz w:val="20"/>
          <w:szCs w:val="20"/>
          <w:lang w:val="es-ES"/>
        </w:rPr>
        <w:t xml:space="preserve"> </w:t>
      </w:r>
      <w:r w:rsidRPr="00DE6E47">
        <w:rPr>
          <w:rFonts w:ascii="Verdana" w:hAnsi="Verdana"/>
          <w:sz w:val="20"/>
          <w:szCs w:val="20"/>
          <w:lang w:val="es-ES"/>
        </w:rPr>
        <w:t>afirmaron que para mayo de 2018 “las comunidades indígenas comprend[ían] alrededor de 2031 familias y aproximadamente 10</w:t>
      </w:r>
      <w:r>
        <w:rPr>
          <w:rFonts w:ascii="Verdana" w:hAnsi="Verdana"/>
          <w:sz w:val="20"/>
          <w:szCs w:val="20"/>
          <w:lang w:val="es-ES"/>
        </w:rPr>
        <w:t>.</w:t>
      </w:r>
      <w:r w:rsidRPr="00DE6E47">
        <w:rPr>
          <w:rFonts w:ascii="Verdana" w:hAnsi="Verdana"/>
          <w:sz w:val="20"/>
          <w:szCs w:val="20"/>
          <w:lang w:val="es-ES"/>
        </w:rPr>
        <w:t>155 personas”. No hay controversia en cuanto a que se trata de comunidades per</w:t>
      </w:r>
      <w:r>
        <w:rPr>
          <w:rFonts w:ascii="Verdana" w:hAnsi="Verdana"/>
          <w:sz w:val="20"/>
          <w:szCs w:val="20"/>
          <w:lang w:val="es-ES"/>
        </w:rPr>
        <w:t>tenecientes a pueblos indígenas,</w:t>
      </w:r>
      <w:r w:rsidRPr="00DE6E47">
        <w:rPr>
          <w:rFonts w:ascii="Verdana" w:hAnsi="Verdana"/>
          <w:sz w:val="20"/>
          <w:szCs w:val="20"/>
          <w:lang w:val="es-ES"/>
        </w:rPr>
        <w:t xml:space="preserve"> ni sobre su vínculo ancestral con la tierra que habitan</w:t>
      </w:r>
      <w:r>
        <w:rPr>
          <w:rFonts w:ascii="Verdana" w:hAnsi="Verdana"/>
          <w:sz w:val="20"/>
          <w:szCs w:val="20"/>
          <w:lang w:val="es-ES"/>
        </w:rPr>
        <w:t xml:space="preserve"> (</w:t>
      </w:r>
      <w:r>
        <w:rPr>
          <w:rFonts w:ascii="Verdana" w:hAnsi="Verdana"/>
          <w:i/>
          <w:sz w:val="20"/>
          <w:szCs w:val="20"/>
          <w:lang w:val="es-ES"/>
        </w:rPr>
        <w:t>infra</w:t>
      </w:r>
      <w:r>
        <w:rPr>
          <w:rFonts w:ascii="Verdana" w:hAnsi="Verdana"/>
          <w:sz w:val="20"/>
          <w:szCs w:val="20"/>
          <w:lang w:val="es-ES"/>
        </w:rPr>
        <w:t xml:space="preserve"> </w:t>
      </w:r>
      <w:r w:rsidRPr="004F298F">
        <w:rPr>
          <w:rFonts w:ascii="Verdana" w:hAnsi="Verdana"/>
          <w:sz w:val="20"/>
          <w:szCs w:val="20"/>
          <w:lang w:val="es-ES"/>
        </w:rPr>
        <w:t>nota a pie de página 8</w:t>
      </w:r>
      <w:r w:rsidR="004F298F" w:rsidRPr="004F298F">
        <w:rPr>
          <w:rFonts w:ascii="Verdana" w:hAnsi="Verdana"/>
          <w:sz w:val="20"/>
          <w:szCs w:val="20"/>
          <w:lang w:val="es-ES"/>
        </w:rPr>
        <w:t>8</w:t>
      </w:r>
      <w:r>
        <w:rPr>
          <w:rFonts w:ascii="Verdana" w:hAnsi="Verdana"/>
          <w:sz w:val="20"/>
          <w:szCs w:val="20"/>
          <w:lang w:val="es-ES"/>
        </w:rPr>
        <w:t>)</w:t>
      </w:r>
      <w:r w:rsidRPr="00DE6E47">
        <w:rPr>
          <w:rFonts w:ascii="Verdana" w:hAnsi="Verdana"/>
          <w:sz w:val="20"/>
          <w:szCs w:val="20"/>
          <w:lang w:val="es-ES"/>
        </w:rPr>
        <w:t xml:space="preserve">. </w:t>
      </w:r>
    </w:p>
    <w:p w14:paraId="09E47751" w14:textId="77777777" w:rsidR="009805F2" w:rsidRPr="00C05164" w:rsidRDefault="009805F2" w:rsidP="009805F2">
      <w:pPr>
        <w:pStyle w:val="Prrafodelista"/>
        <w:spacing w:line="240" w:lineRule="auto"/>
        <w:ind w:left="0"/>
        <w:jc w:val="both"/>
        <w:rPr>
          <w:rFonts w:ascii="Verdana" w:hAnsi="Verdana"/>
          <w:sz w:val="20"/>
          <w:szCs w:val="20"/>
          <w:lang w:val="es-ES"/>
        </w:rPr>
      </w:pPr>
    </w:p>
    <w:p w14:paraId="1CC20611" w14:textId="77777777" w:rsidR="009805F2" w:rsidRDefault="009805F2" w:rsidP="009805F2">
      <w:pPr>
        <w:pStyle w:val="Prrafodelista"/>
        <w:numPr>
          <w:ilvl w:val="0"/>
          <w:numId w:val="1"/>
        </w:numPr>
        <w:spacing w:after="0" w:line="240" w:lineRule="auto"/>
        <w:ind w:left="0" w:firstLine="0"/>
        <w:jc w:val="both"/>
        <w:rPr>
          <w:rFonts w:ascii="Verdana" w:hAnsi="Verdana"/>
          <w:sz w:val="20"/>
          <w:szCs w:val="20"/>
          <w:lang w:val="es-ES"/>
        </w:rPr>
      </w:pPr>
      <w:r w:rsidRPr="0025496C">
        <w:rPr>
          <w:rFonts w:ascii="Verdana" w:hAnsi="Verdana"/>
          <w:sz w:val="20"/>
          <w:szCs w:val="20"/>
          <w:lang w:val="es-ES"/>
        </w:rPr>
        <w:t>En la zona referida hubo presencia indígena de modo constante, y además la tierra</w:t>
      </w:r>
      <w:r>
        <w:rPr>
          <w:rFonts w:ascii="Verdana" w:hAnsi="Verdana"/>
          <w:sz w:val="20"/>
          <w:szCs w:val="20"/>
          <w:lang w:val="es-ES"/>
        </w:rPr>
        <w:t xml:space="preserve"> fue</w:t>
      </w:r>
      <w:r w:rsidRPr="00C05164">
        <w:rPr>
          <w:rFonts w:ascii="Verdana" w:hAnsi="Verdana"/>
          <w:sz w:val="20"/>
          <w:szCs w:val="20"/>
          <w:lang w:val="es-ES"/>
        </w:rPr>
        <w:t xml:space="preserve"> </w:t>
      </w:r>
      <w:r>
        <w:rPr>
          <w:rFonts w:ascii="Verdana" w:hAnsi="Verdana"/>
          <w:sz w:val="20"/>
          <w:szCs w:val="20"/>
          <w:lang w:val="es-ES"/>
        </w:rPr>
        <w:t>ocupada, desde tiempo cercano a inicios del siglo XX</w:t>
      </w:r>
      <w:r>
        <w:rPr>
          <w:rStyle w:val="Refdenotaalpie"/>
          <w:lang w:val="es-MX"/>
        </w:rPr>
        <w:footnoteReference w:id="35"/>
      </w:r>
      <w:r>
        <w:rPr>
          <w:rFonts w:ascii="Verdana" w:hAnsi="Verdana"/>
          <w:sz w:val="20"/>
          <w:szCs w:val="20"/>
          <w:lang w:val="es-ES"/>
        </w:rPr>
        <w:t xml:space="preserve">, por </w:t>
      </w:r>
      <w:r w:rsidRPr="00C05164">
        <w:rPr>
          <w:rFonts w:ascii="Verdana" w:hAnsi="Verdana"/>
          <w:sz w:val="20"/>
          <w:szCs w:val="20"/>
          <w:lang w:val="es-ES"/>
        </w:rPr>
        <w:t xml:space="preserve">personas </w:t>
      </w:r>
      <w:r>
        <w:rPr>
          <w:rFonts w:ascii="Verdana" w:hAnsi="Verdana"/>
          <w:sz w:val="20"/>
          <w:szCs w:val="20"/>
          <w:lang w:val="es-ES"/>
        </w:rPr>
        <w:t>identificadas como “criollas”, es decir,</w:t>
      </w:r>
      <w:r w:rsidRPr="00C05164">
        <w:rPr>
          <w:rFonts w:ascii="Verdana" w:hAnsi="Verdana"/>
          <w:sz w:val="20"/>
          <w:szCs w:val="20"/>
          <w:lang w:val="es-ES"/>
        </w:rPr>
        <w:t xml:space="preserve"> </w:t>
      </w:r>
      <w:r>
        <w:rPr>
          <w:rFonts w:ascii="Verdana" w:hAnsi="Verdana"/>
          <w:sz w:val="20"/>
          <w:szCs w:val="20"/>
          <w:lang w:val="es-ES"/>
        </w:rPr>
        <w:t xml:space="preserve">colonos </w:t>
      </w:r>
      <w:r w:rsidRPr="00C05164">
        <w:rPr>
          <w:rFonts w:ascii="Verdana" w:hAnsi="Verdana"/>
          <w:sz w:val="20"/>
          <w:szCs w:val="20"/>
          <w:lang w:val="es-ES"/>
        </w:rPr>
        <w:t>no indígenas</w:t>
      </w:r>
      <w:r>
        <w:rPr>
          <w:rFonts w:ascii="Verdana" w:hAnsi="Verdana"/>
          <w:sz w:val="20"/>
          <w:szCs w:val="20"/>
          <w:lang w:val="es-ES"/>
        </w:rPr>
        <w:t>. E</w:t>
      </w:r>
      <w:r>
        <w:rPr>
          <w:rFonts w:ascii="Verdana" w:hAnsi="Verdana"/>
          <w:sz w:val="20"/>
          <w:szCs w:val="20"/>
          <w:lang w:val="es-MX"/>
        </w:rPr>
        <w:t xml:space="preserve">n 1902 se fundó la Colonia Buenaventura y el gobierno nacional entregó 625 ha a familias “criollas” que se radicaron en el lugar; luego se fueron efectuando otras entregas, de superficies similares o mayores de tierra. No obstante, </w:t>
      </w:r>
      <w:r w:rsidRPr="00190177">
        <w:rPr>
          <w:rFonts w:ascii="Verdana" w:hAnsi="Verdana"/>
          <w:sz w:val="20"/>
          <w:szCs w:val="20"/>
          <w:lang w:val="es-CR"/>
        </w:rPr>
        <w:t>en 1905 el gobierno de Salta manifestó al gobierno nacional</w:t>
      </w:r>
      <w:r>
        <w:rPr>
          <w:rFonts w:ascii="Verdana" w:hAnsi="Verdana"/>
          <w:sz w:val="20"/>
          <w:szCs w:val="20"/>
          <w:lang w:val="es-CR"/>
        </w:rPr>
        <w:t xml:space="preserve"> que</w:t>
      </w:r>
      <w:r w:rsidRPr="00190177">
        <w:rPr>
          <w:rFonts w:ascii="Verdana" w:hAnsi="Verdana"/>
          <w:sz w:val="20"/>
          <w:szCs w:val="20"/>
          <w:lang w:val="es-CR"/>
        </w:rPr>
        <w:t xml:space="preserve"> lotes adjudicados como tierras fiscales nacionales </w:t>
      </w:r>
      <w:r>
        <w:rPr>
          <w:rFonts w:ascii="Verdana" w:hAnsi="Verdana"/>
          <w:sz w:val="20"/>
          <w:szCs w:val="20"/>
          <w:lang w:val="es-CR"/>
        </w:rPr>
        <w:t xml:space="preserve">podrían </w:t>
      </w:r>
      <w:r w:rsidRPr="00190177">
        <w:rPr>
          <w:rFonts w:ascii="Verdana" w:hAnsi="Verdana"/>
          <w:sz w:val="20"/>
          <w:szCs w:val="20"/>
          <w:lang w:val="es-CR"/>
        </w:rPr>
        <w:t>est</w:t>
      </w:r>
      <w:r>
        <w:rPr>
          <w:rFonts w:ascii="Verdana" w:hAnsi="Verdana"/>
          <w:sz w:val="20"/>
          <w:szCs w:val="20"/>
          <w:lang w:val="es-CR"/>
        </w:rPr>
        <w:t>ar</w:t>
      </w:r>
      <w:r w:rsidRPr="00190177">
        <w:rPr>
          <w:rFonts w:ascii="Verdana" w:hAnsi="Verdana"/>
          <w:sz w:val="20"/>
          <w:szCs w:val="20"/>
          <w:lang w:val="es-CR"/>
        </w:rPr>
        <w:t xml:space="preserve"> ubicados dentro del territorio provincial</w:t>
      </w:r>
      <w:r>
        <w:rPr>
          <w:rFonts w:ascii="Verdana" w:hAnsi="Verdana"/>
          <w:sz w:val="20"/>
          <w:szCs w:val="20"/>
          <w:lang w:val="es-CR"/>
        </w:rPr>
        <w:t>, y en efecto, con posterioridad, al</w:t>
      </w:r>
      <w:r>
        <w:rPr>
          <w:rFonts w:ascii="Verdana" w:hAnsi="Verdana"/>
          <w:sz w:val="20"/>
          <w:szCs w:val="20"/>
          <w:lang w:val="es-MX"/>
        </w:rPr>
        <w:t xml:space="preserve"> menos a partir de 1967, quedó establecida formalmente la pertenencia de la tierra a la Provincia</w:t>
      </w:r>
      <w:r>
        <w:rPr>
          <w:rStyle w:val="Refdenotaalpie"/>
          <w:rFonts w:ascii="Verdana" w:hAnsi="Verdana"/>
          <w:sz w:val="20"/>
          <w:lang w:val="es-MX"/>
        </w:rPr>
        <w:footnoteReference w:id="36"/>
      </w:r>
      <w:r>
        <w:rPr>
          <w:rFonts w:ascii="Verdana" w:hAnsi="Verdana"/>
          <w:sz w:val="20"/>
          <w:szCs w:val="20"/>
          <w:lang w:val="es-MX"/>
        </w:rPr>
        <w:t xml:space="preserve">. </w:t>
      </w:r>
    </w:p>
    <w:p w14:paraId="5A6F7106" w14:textId="77777777" w:rsidR="009805F2" w:rsidRPr="00DE6E47" w:rsidRDefault="009805F2" w:rsidP="009805F2">
      <w:pPr>
        <w:pStyle w:val="Prrafodelista"/>
        <w:tabs>
          <w:tab w:val="left" w:pos="2055"/>
        </w:tabs>
        <w:spacing w:line="240" w:lineRule="auto"/>
        <w:ind w:left="0"/>
        <w:rPr>
          <w:rFonts w:ascii="Verdana" w:hAnsi="Verdana"/>
          <w:sz w:val="20"/>
          <w:szCs w:val="20"/>
          <w:lang w:val="es-ES"/>
        </w:rPr>
      </w:pPr>
      <w:r>
        <w:rPr>
          <w:rFonts w:ascii="Verdana" w:hAnsi="Verdana"/>
          <w:sz w:val="20"/>
          <w:szCs w:val="20"/>
          <w:lang w:val="es-ES"/>
        </w:rPr>
        <w:tab/>
      </w:r>
    </w:p>
    <w:p w14:paraId="004FCB86" w14:textId="77777777" w:rsidR="009805F2" w:rsidRDefault="009805F2" w:rsidP="009805F2">
      <w:pPr>
        <w:pStyle w:val="Prrafodelista"/>
        <w:numPr>
          <w:ilvl w:val="0"/>
          <w:numId w:val="1"/>
        </w:numPr>
        <w:spacing w:after="0" w:line="240" w:lineRule="auto"/>
        <w:ind w:left="0" w:firstLine="0"/>
        <w:jc w:val="both"/>
        <w:rPr>
          <w:rFonts w:ascii="Verdana" w:hAnsi="Verdana"/>
          <w:sz w:val="20"/>
          <w:szCs w:val="20"/>
          <w:lang w:val="es-ES"/>
        </w:rPr>
      </w:pPr>
      <w:r w:rsidRPr="00DE6E47">
        <w:rPr>
          <w:rFonts w:ascii="Verdana" w:hAnsi="Verdana"/>
          <w:sz w:val="20"/>
          <w:szCs w:val="20"/>
          <w:lang w:val="es-ES"/>
        </w:rPr>
        <w:t xml:space="preserve">Las partes son contestes en que el número actual de familias criollas </w:t>
      </w:r>
      <w:r>
        <w:rPr>
          <w:rFonts w:ascii="Verdana" w:hAnsi="Verdana"/>
          <w:sz w:val="20"/>
          <w:szCs w:val="20"/>
          <w:lang w:val="es-ES"/>
        </w:rPr>
        <w:t xml:space="preserve">en la zona </w:t>
      </w:r>
      <w:r w:rsidRPr="00DE6E47">
        <w:rPr>
          <w:rFonts w:ascii="Verdana" w:hAnsi="Verdana"/>
          <w:sz w:val="20"/>
          <w:szCs w:val="20"/>
          <w:lang w:val="es-ES"/>
        </w:rPr>
        <w:t xml:space="preserve">es superior a 465. Argentina indicó que se trata de “pequeños productores de subsistencia, dedicados fundamentalmente a la cría de ganado mayor” a “campo abierto” y, “en su mayoría”, sin contratar mano de obra. </w:t>
      </w:r>
      <w:r>
        <w:rPr>
          <w:rFonts w:ascii="Verdana" w:hAnsi="Verdana"/>
          <w:sz w:val="20"/>
          <w:szCs w:val="20"/>
          <w:lang w:val="es-ES"/>
        </w:rPr>
        <w:t xml:space="preserve">Varias </w:t>
      </w:r>
      <w:r w:rsidRPr="00DE6E47">
        <w:rPr>
          <w:rFonts w:ascii="Verdana" w:hAnsi="Verdana"/>
          <w:sz w:val="20"/>
          <w:szCs w:val="20"/>
          <w:lang w:val="es-ES"/>
        </w:rPr>
        <w:t>familias criollas</w:t>
      </w:r>
      <w:r w:rsidRPr="00DE6E47">
        <w:rPr>
          <w:rFonts w:ascii="Verdana" w:hAnsi="Verdana"/>
          <w:b/>
          <w:sz w:val="20"/>
          <w:szCs w:val="20"/>
          <w:lang w:val="es-ES"/>
        </w:rPr>
        <w:t xml:space="preserve"> </w:t>
      </w:r>
      <w:r w:rsidRPr="00DE6E47">
        <w:rPr>
          <w:rFonts w:ascii="Verdana" w:hAnsi="Verdana"/>
          <w:sz w:val="20"/>
          <w:szCs w:val="20"/>
          <w:lang w:val="es-ES"/>
        </w:rPr>
        <w:t>han instalado cercas de alambre</w:t>
      </w:r>
      <w:r w:rsidRPr="00C05164">
        <w:rPr>
          <w:rStyle w:val="Refdenotaalpie"/>
          <w:lang w:val="es-ES"/>
        </w:rPr>
        <w:footnoteReference w:id="37"/>
      </w:r>
      <w:r w:rsidRPr="00DE6E47">
        <w:rPr>
          <w:rFonts w:ascii="Verdana" w:hAnsi="Verdana"/>
          <w:sz w:val="20"/>
          <w:szCs w:val="20"/>
          <w:lang w:val="es-ES"/>
        </w:rPr>
        <w:t xml:space="preserve">. </w:t>
      </w:r>
    </w:p>
    <w:p w14:paraId="103F8D14" w14:textId="77777777" w:rsidR="009805F2" w:rsidRDefault="009805F2" w:rsidP="009805F2">
      <w:pPr>
        <w:pStyle w:val="Prrafodelista"/>
        <w:tabs>
          <w:tab w:val="left" w:pos="3705"/>
        </w:tabs>
        <w:spacing w:after="0" w:line="240" w:lineRule="auto"/>
        <w:rPr>
          <w:rFonts w:ascii="Verdana" w:hAnsi="Verdana"/>
          <w:b/>
          <w:sz w:val="16"/>
          <w:szCs w:val="16"/>
          <w:lang w:val="es-ES"/>
        </w:rPr>
      </w:pPr>
      <w:r>
        <w:rPr>
          <w:rFonts w:ascii="Verdana" w:hAnsi="Verdana"/>
          <w:sz w:val="20"/>
          <w:szCs w:val="20"/>
          <w:lang w:val="es-ES"/>
        </w:rPr>
        <w:tab/>
      </w:r>
    </w:p>
    <w:p w14:paraId="7113F0FC" w14:textId="77777777" w:rsidR="009805F2" w:rsidRPr="00AA551F" w:rsidRDefault="009805F2" w:rsidP="009805F2">
      <w:pPr>
        <w:pStyle w:val="Prrafodelista"/>
        <w:numPr>
          <w:ilvl w:val="0"/>
          <w:numId w:val="9"/>
        </w:numPr>
        <w:spacing w:after="0" w:line="240" w:lineRule="auto"/>
        <w:ind w:left="284" w:hanging="11"/>
        <w:outlineLvl w:val="1"/>
        <w:rPr>
          <w:rFonts w:ascii="Verdana" w:eastAsia="Batang" w:hAnsi="Verdana" w:cs="Times"/>
          <w:b/>
          <w:i/>
          <w:sz w:val="20"/>
          <w:szCs w:val="20"/>
          <w:u w:val="single"/>
          <w:lang w:val="es-CR" w:eastAsia="es-CR"/>
        </w:rPr>
      </w:pPr>
      <w:bookmarkStart w:id="69" w:name="_Toc32218828"/>
      <w:bookmarkStart w:id="70" w:name="_Toc32227098"/>
      <w:bookmarkStart w:id="71" w:name="_Toc34337527"/>
      <w:r w:rsidRPr="00AA551F">
        <w:rPr>
          <w:rFonts w:ascii="Verdana" w:eastAsia="Batang" w:hAnsi="Verdana" w:cs="Times"/>
          <w:b/>
          <w:i/>
          <w:sz w:val="20"/>
          <w:szCs w:val="20"/>
          <w:u w:val="single"/>
          <w:lang w:val="es-CR" w:eastAsia="es-CR"/>
        </w:rPr>
        <w:t>Legislación general pertinente respecto a tierras indígenas</w:t>
      </w:r>
      <w:bookmarkEnd w:id="69"/>
      <w:bookmarkEnd w:id="70"/>
      <w:bookmarkEnd w:id="71"/>
      <w:r w:rsidRPr="00AA551F">
        <w:rPr>
          <w:rFonts w:ascii="Verdana" w:eastAsia="Batang" w:hAnsi="Verdana" w:cs="Times"/>
          <w:b/>
          <w:i/>
          <w:sz w:val="20"/>
          <w:szCs w:val="20"/>
          <w:u w:val="single"/>
          <w:lang w:val="es-CR" w:eastAsia="es-CR"/>
        </w:rPr>
        <w:t xml:space="preserve"> </w:t>
      </w:r>
    </w:p>
    <w:p w14:paraId="2510EF03" w14:textId="77777777" w:rsidR="009805F2" w:rsidRPr="00A95802" w:rsidRDefault="009805F2" w:rsidP="009805F2">
      <w:pPr>
        <w:pStyle w:val="Prrafodelista"/>
        <w:spacing w:after="0" w:line="240" w:lineRule="auto"/>
        <w:rPr>
          <w:rFonts w:ascii="Verdana" w:eastAsia="Batang" w:hAnsi="Verdana" w:cs="Times"/>
          <w:sz w:val="20"/>
          <w:szCs w:val="20"/>
          <w:lang w:val="es-CR" w:eastAsia="es-CR"/>
        </w:rPr>
      </w:pPr>
    </w:p>
    <w:p w14:paraId="15AE0EB3" w14:textId="77777777" w:rsidR="009805F2" w:rsidRPr="00A95802" w:rsidRDefault="009805F2" w:rsidP="009805F2">
      <w:pPr>
        <w:pStyle w:val="Prrafodelista"/>
        <w:numPr>
          <w:ilvl w:val="0"/>
          <w:numId w:val="1"/>
        </w:numPr>
        <w:spacing w:after="0" w:line="240" w:lineRule="auto"/>
        <w:ind w:left="0" w:firstLine="0"/>
        <w:jc w:val="both"/>
        <w:rPr>
          <w:rFonts w:ascii="Verdana" w:hAnsi="Verdana"/>
          <w:sz w:val="20"/>
          <w:szCs w:val="20"/>
          <w:lang w:val="es-ES"/>
        </w:rPr>
      </w:pPr>
      <w:r w:rsidRPr="00A95802">
        <w:rPr>
          <w:rFonts w:ascii="Verdana" w:eastAsia="Batang" w:hAnsi="Verdana" w:cs="Times"/>
          <w:sz w:val="20"/>
          <w:szCs w:val="20"/>
          <w:lang w:val="es-CR" w:eastAsia="es-CR"/>
        </w:rPr>
        <w:t>A continuación</w:t>
      </w:r>
      <w:r>
        <w:rPr>
          <w:rFonts w:ascii="Verdana" w:eastAsia="Batang" w:hAnsi="Verdana" w:cs="Times"/>
          <w:sz w:val="20"/>
          <w:szCs w:val="20"/>
          <w:lang w:val="es-CR" w:eastAsia="es-CR"/>
        </w:rPr>
        <w:t>, antes de describir las incidencias propias del reclamo territorial en el caso,</w:t>
      </w:r>
      <w:r w:rsidRPr="00A95802">
        <w:rPr>
          <w:rFonts w:ascii="Verdana" w:eastAsia="Batang" w:hAnsi="Verdana" w:cs="Times"/>
          <w:sz w:val="20"/>
          <w:szCs w:val="20"/>
          <w:lang w:val="es-CR" w:eastAsia="es-CR"/>
        </w:rPr>
        <w:t xml:space="preserve"> se exponen regulaciones estatales pertinentes en relación con derechos de pueblos indígenas. Considerando que Argentina es un país federal y que los hechos propios del caso tienen relación con comunidades indígenas que habitan la Provincia de Salta, en primer lugar, se hará referencia a la normativa nacional, y en segundo término, a la de Salta. </w:t>
      </w:r>
    </w:p>
    <w:p w14:paraId="51769CE1" w14:textId="77777777" w:rsidR="009805F2" w:rsidRDefault="009805F2" w:rsidP="009805F2">
      <w:pPr>
        <w:pStyle w:val="Prrafodelista"/>
        <w:tabs>
          <w:tab w:val="left" w:pos="7920"/>
        </w:tabs>
        <w:spacing w:after="0" w:line="240" w:lineRule="auto"/>
        <w:ind w:left="0"/>
        <w:jc w:val="both"/>
        <w:rPr>
          <w:rFonts w:ascii="Verdana" w:hAnsi="Verdana"/>
          <w:sz w:val="20"/>
          <w:szCs w:val="20"/>
          <w:lang w:val="es-ES"/>
        </w:rPr>
      </w:pPr>
      <w:r>
        <w:rPr>
          <w:rFonts w:ascii="Verdana" w:hAnsi="Verdana"/>
          <w:sz w:val="20"/>
          <w:szCs w:val="20"/>
          <w:lang w:val="es-ES"/>
        </w:rPr>
        <w:tab/>
      </w:r>
    </w:p>
    <w:p w14:paraId="4E6D31E3" w14:textId="77777777" w:rsidR="009805F2" w:rsidRDefault="009805F2" w:rsidP="009805F2">
      <w:pPr>
        <w:pStyle w:val="Prrafodelista"/>
        <w:numPr>
          <w:ilvl w:val="0"/>
          <w:numId w:val="1"/>
        </w:numPr>
        <w:spacing w:after="0" w:line="240" w:lineRule="auto"/>
        <w:ind w:left="0" w:firstLine="0"/>
        <w:jc w:val="both"/>
        <w:rPr>
          <w:rFonts w:ascii="Verdana" w:hAnsi="Verdana"/>
          <w:sz w:val="20"/>
          <w:szCs w:val="20"/>
          <w:lang w:val="es-ES"/>
        </w:rPr>
      </w:pPr>
      <w:r w:rsidRPr="00A95802">
        <w:rPr>
          <w:rFonts w:ascii="Verdana" w:hAnsi="Verdana"/>
          <w:sz w:val="20"/>
          <w:szCs w:val="20"/>
          <w:lang w:val="es-AR"/>
        </w:rPr>
        <w:lastRenderedPageBreak/>
        <w:t xml:space="preserve">La Corte advierte que a nivel nacional existen las siguientes </w:t>
      </w:r>
      <w:r>
        <w:rPr>
          <w:rFonts w:ascii="Verdana" w:hAnsi="Verdana"/>
          <w:sz w:val="20"/>
          <w:szCs w:val="20"/>
          <w:lang w:val="es-AR"/>
        </w:rPr>
        <w:t xml:space="preserve">disposiciones </w:t>
      </w:r>
      <w:r w:rsidRPr="00A95802">
        <w:rPr>
          <w:rFonts w:ascii="Verdana" w:hAnsi="Verdana"/>
          <w:sz w:val="20"/>
          <w:szCs w:val="20"/>
          <w:lang w:val="es-AR"/>
        </w:rPr>
        <w:t>norm</w:t>
      </w:r>
      <w:r>
        <w:rPr>
          <w:rFonts w:ascii="Verdana" w:hAnsi="Verdana"/>
          <w:sz w:val="20"/>
          <w:szCs w:val="20"/>
          <w:lang w:val="es-AR"/>
        </w:rPr>
        <w:t>ativas</w:t>
      </w:r>
      <w:r w:rsidRPr="00A95802">
        <w:rPr>
          <w:rFonts w:ascii="Verdana" w:hAnsi="Verdana"/>
          <w:sz w:val="20"/>
          <w:szCs w:val="20"/>
          <w:lang w:val="es-AR"/>
        </w:rPr>
        <w:t xml:space="preserve"> relevantes: </w:t>
      </w:r>
    </w:p>
    <w:p w14:paraId="4E1FBC9D" w14:textId="30135F0A" w:rsidR="009805F2" w:rsidRDefault="009805F2" w:rsidP="009805F2">
      <w:pPr>
        <w:pStyle w:val="Prrafodelista"/>
        <w:tabs>
          <w:tab w:val="left" w:pos="4395"/>
        </w:tabs>
        <w:autoSpaceDE w:val="0"/>
        <w:autoSpaceDN w:val="0"/>
        <w:adjustRightInd w:val="0"/>
        <w:spacing w:after="0" w:line="240" w:lineRule="auto"/>
        <w:ind w:left="142"/>
        <w:jc w:val="both"/>
        <w:rPr>
          <w:rFonts w:ascii="Verdana" w:hAnsi="Verdana"/>
          <w:sz w:val="20"/>
          <w:szCs w:val="20"/>
          <w:lang w:val="es-AR"/>
        </w:rPr>
      </w:pPr>
      <w:r>
        <w:rPr>
          <w:rFonts w:ascii="Verdana" w:hAnsi="Verdana"/>
          <w:sz w:val="20"/>
          <w:szCs w:val="20"/>
        </w:rPr>
        <w:t>a.-</w:t>
      </w:r>
      <w:r w:rsidRPr="00412DC1">
        <w:rPr>
          <w:rFonts w:ascii="Verdana" w:hAnsi="Verdana"/>
          <w:i/>
          <w:sz w:val="20"/>
          <w:szCs w:val="20"/>
          <w:lang w:val="es-AR"/>
        </w:rPr>
        <w:t>1985</w:t>
      </w:r>
      <w:r>
        <w:rPr>
          <w:rFonts w:ascii="Verdana" w:hAnsi="Verdana"/>
          <w:i/>
          <w:sz w:val="20"/>
          <w:szCs w:val="20"/>
          <w:lang w:val="es-AR"/>
        </w:rPr>
        <w:t xml:space="preserve"> y 1989</w:t>
      </w:r>
      <w:r w:rsidRPr="00412DC1">
        <w:rPr>
          <w:rFonts w:ascii="Verdana" w:hAnsi="Verdana"/>
          <w:i/>
          <w:sz w:val="20"/>
          <w:szCs w:val="20"/>
          <w:lang w:val="es-AR"/>
        </w:rPr>
        <w:t>.</w:t>
      </w:r>
      <w:r>
        <w:rPr>
          <w:rFonts w:ascii="Verdana" w:hAnsi="Verdana"/>
          <w:i/>
          <w:sz w:val="20"/>
          <w:szCs w:val="20"/>
          <w:lang w:val="es-AR"/>
        </w:rPr>
        <w:t xml:space="preserve"> </w:t>
      </w:r>
      <w:r w:rsidRPr="0022638D">
        <w:rPr>
          <w:rFonts w:ascii="Verdana" w:hAnsi="Verdana"/>
          <w:i/>
          <w:sz w:val="20"/>
          <w:szCs w:val="20"/>
          <w:lang w:val="es-AR"/>
        </w:rPr>
        <w:t>Ley</w:t>
      </w:r>
      <w:r w:rsidRPr="00BA339A">
        <w:rPr>
          <w:rFonts w:ascii="Verdana" w:hAnsi="Verdana"/>
          <w:i/>
          <w:sz w:val="20"/>
          <w:szCs w:val="20"/>
          <w:lang w:val="es-AR"/>
        </w:rPr>
        <w:t xml:space="preserve"> 23.302</w:t>
      </w:r>
      <w:r>
        <w:rPr>
          <w:rFonts w:ascii="Verdana" w:hAnsi="Verdana"/>
          <w:i/>
          <w:sz w:val="20"/>
          <w:szCs w:val="20"/>
          <w:lang w:val="es-AR"/>
        </w:rPr>
        <w:t xml:space="preserve"> y Decreto 155/1989</w:t>
      </w:r>
      <w:r w:rsidRPr="00BA339A">
        <w:rPr>
          <w:rFonts w:ascii="Verdana" w:hAnsi="Verdana"/>
          <w:sz w:val="20"/>
          <w:szCs w:val="20"/>
          <w:lang w:val="es-AR"/>
        </w:rPr>
        <w:t xml:space="preserve">.- La ley nacional 23.302 sobre </w:t>
      </w:r>
      <w:r w:rsidRPr="00BA339A">
        <w:rPr>
          <w:rFonts w:ascii="Verdana" w:hAnsi="Verdana"/>
          <w:i/>
          <w:sz w:val="20"/>
          <w:szCs w:val="20"/>
          <w:lang w:val="es-AR"/>
        </w:rPr>
        <w:t>Política Indígena y apoyo a las Comunidades Aborígenes</w:t>
      </w:r>
      <w:r w:rsidRPr="00BA339A">
        <w:rPr>
          <w:rFonts w:ascii="Verdana" w:hAnsi="Verdana"/>
          <w:sz w:val="20"/>
          <w:szCs w:val="20"/>
          <w:lang w:val="es-AR"/>
        </w:rPr>
        <w:t>, sancionada en 1985, creó el</w:t>
      </w:r>
      <w:r>
        <w:rPr>
          <w:rFonts w:ascii="Verdana" w:hAnsi="Verdana"/>
          <w:sz w:val="20"/>
          <w:szCs w:val="20"/>
          <w:lang w:val="es-AR"/>
        </w:rPr>
        <w:t xml:space="preserve"> Instituto Nacional de Asuntos Indígenas (</w:t>
      </w:r>
      <w:r w:rsidRPr="00BA339A">
        <w:rPr>
          <w:rFonts w:ascii="Verdana" w:hAnsi="Verdana"/>
          <w:sz w:val="20"/>
          <w:szCs w:val="20"/>
          <w:lang w:val="es-AR"/>
        </w:rPr>
        <w:t>I</w:t>
      </w:r>
      <w:r>
        <w:rPr>
          <w:rFonts w:ascii="Verdana" w:hAnsi="Verdana"/>
          <w:sz w:val="20"/>
          <w:szCs w:val="20"/>
          <w:lang w:val="es-AR"/>
        </w:rPr>
        <w:t>NAI)</w:t>
      </w:r>
      <w:r>
        <w:rPr>
          <w:rStyle w:val="Refdenotaalpie"/>
          <w:rFonts w:ascii="Verdana" w:hAnsi="Verdana"/>
          <w:sz w:val="20"/>
          <w:lang w:val="es-AR"/>
        </w:rPr>
        <w:footnoteReference w:id="38"/>
      </w:r>
      <w:r w:rsidRPr="00BA339A">
        <w:rPr>
          <w:rFonts w:ascii="Verdana" w:hAnsi="Verdana"/>
          <w:sz w:val="20"/>
          <w:szCs w:val="20"/>
          <w:lang w:val="es-AR"/>
        </w:rPr>
        <w:t xml:space="preserve">. En sus artículos 7 a 13 </w:t>
      </w:r>
      <w:r>
        <w:rPr>
          <w:rFonts w:ascii="Verdana" w:hAnsi="Verdana"/>
          <w:sz w:val="20"/>
          <w:szCs w:val="20"/>
          <w:lang w:val="es-AR"/>
        </w:rPr>
        <w:t xml:space="preserve">se </w:t>
      </w:r>
      <w:r w:rsidRPr="00BA339A">
        <w:rPr>
          <w:rFonts w:ascii="Verdana" w:hAnsi="Verdana"/>
          <w:sz w:val="20"/>
          <w:szCs w:val="20"/>
          <w:lang w:val="es-AR"/>
        </w:rPr>
        <w:t>refiere a la adjudicación de tierras fiscales en favor de comunidades indígenas existentes en el país, previendo que el INAI elabore “planes” de adjudicación de tierras</w:t>
      </w:r>
      <w:r>
        <w:rPr>
          <w:rStyle w:val="Refdenotaalpie"/>
          <w:rFonts w:ascii="Verdana" w:hAnsi="Verdana"/>
          <w:sz w:val="20"/>
          <w:lang w:val="es-AR"/>
        </w:rPr>
        <w:footnoteReference w:id="39"/>
      </w:r>
      <w:r w:rsidRPr="00BA339A">
        <w:rPr>
          <w:rFonts w:ascii="Verdana" w:hAnsi="Verdana"/>
          <w:sz w:val="20"/>
          <w:szCs w:val="20"/>
          <w:lang w:val="es-AR"/>
        </w:rPr>
        <w:t xml:space="preserve">. </w:t>
      </w:r>
      <w:r>
        <w:rPr>
          <w:rFonts w:ascii="Verdana" w:hAnsi="Verdana"/>
          <w:sz w:val="20"/>
          <w:szCs w:val="20"/>
          <w:lang w:val="es-AR"/>
        </w:rPr>
        <w:t>La ley 23.302 fue reglamentada por el Decreto 155/1989 del Poder Ejecutivo Nacional (PEN)</w:t>
      </w:r>
      <w:r>
        <w:rPr>
          <w:rStyle w:val="Refdenotaalpie"/>
          <w:rFonts w:ascii="Verdana" w:hAnsi="Verdana"/>
          <w:sz w:val="20"/>
          <w:lang w:val="es-AR"/>
        </w:rPr>
        <w:footnoteReference w:id="40"/>
      </w:r>
      <w:r>
        <w:rPr>
          <w:rFonts w:ascii="Verdana" w:hAnsi="Verdana"/>
          <w:sz w:val="20"/>
          <w:szCs w:val="20"/>
          <w:lang w:val="es-AR"/>
        </w:rPr>
        <w:t xml:space="preserve">, que entre sus disposiciones dice que el INAI “[i]nvitará a las provincias a adherir a la ley 23.302”. La Ley 23.302 y el Decreto 155/89 continuaron vigentes </w:t>
      </w:r>
      <w:r w:rsidR="007C596A">
        <w:rPr>
          <w:rFonts w:ascii="Verdana" w:hAnsi="Verdana"/>
          <w:sz w:val="20"/>
          <w:szCs w:val="20"/>
          <w:lang w:val="es-AR"/>
        </w:rPr>
        <w:t>tras</w:t>
      </w:r>
      <w:r>
        <w:rPr>
          <w:rFonts w:ascii="Verdana" w:hAnsi="Verdana"/>
          <w:sz w:val="20"/>
          <w:szCs w:val="20"/>
          <w:lang w:val="es-AR"/>
        </w:rPr>
        <w:t xml:space="preserve"> la reforma constitucional de 1994.</w:t>
      </w:r>
    </w:p>
    <w:p w14:paraId="3293A322" w14:textId="2C451C55" w:rsidR="009805F2" w:rsidRDefault="009805F2" w:rsidP="009805F2">
      <w:pPr>
        <w:pStyle w:val="Prrafodelista"/>
        <w:autoSpaceDE w:val="0"/>
        <w:autoSpaceDN w:val="0"/>
        <w:adjustRightInd w:val="0"/>
        <w:spacing w:after="0" w:line="240" w:lineRule="auto"/>
        <w:ind w:left="142"/>
        <w:jc w:val="both"/>
        <w:rPr>
          <w:rFonts w:ascii="Verdana" w:hAnsi="Verdana"/>
          <w:i/>
          <w:sz w:val="20"/>
          <w:szCs w:val="20"/>
        </w:rPr>
      </w:pPr>
      <w:r>
        <w:rPr>
          <w:rFonts w:ascii="Verdana" w:hAnsi="Verdana"/>
          <w:sz w:val="20"/>
          <w:szCs w:val="20"/>
          <w:lang w:val="es-AR"/>
        </w:rPr>
        <w:t xml:space="preserve">b.- </w:t>
      </w:r>
      <w:r w:rsidRPr="00412DC1">
        <w:rPr>
          <w:rFonts w:ascii="Verdana" w:hAnsi="Verdana"/>
          <w:i/>
          <w:sz w:val="20"/>
          <w:szCs w:val="20"/>
          <w:lang w:val="es-AR"/>
        </w:rPr>
        <w:t>199</w:t>
      </w:r>
      <w:r>
        <w:rPr>
          <w:rFonts w:ascii="Verdana" w:hAnsi="Verdana"/>
          <w:i/>
          <w:sz w:val="20"/>
          <w:szCs w:val="20"/>
          <w:lang w:val="es-AR"/>
        </w:rPr>
        <w:t>2</w:t>
      </w:r>
      <w:r w:rsidRPr="00412DC1">
        <w:rPr>
          <w:rFonts w:ascii="Verdana" w:hAnsi="Verdana"/>
          <w:i/>
          <w:sz w:val="20"/>
          <w:szCs w:val="20"/>
          <w:lang w:val="es-AR"/>
        </w:rPr>
        <w:t>.</w:t>
      </w:r>
      <w:r>
        <w:rPr>
          <w:rFonts w:ascii="Verdana" w:hAnsi="Verdana"/>
          <w:i/>
          <w:sz w:val="20"/>
          <w:szCs w:val="20"/>
          <w:lang w:val="es-AR"/>
        </w:rPr>
        <w:t xml:space="preserve"> </w:t>
      </w:r>
      <w:r w:rsidRPr="00ED69D1">
        <w:rPr>
          <w:rFonts w:ascii="Verdana" w:hAnsi="Verdana"/>
          <w:i/>
          <w:sz w:val="20"/>
          <w:szCs w:val="20"/>
        </w:rPr>
        <w:t>Ley 24.071</w:t>
      </w:r>
      <w:r>
        <w:rPr>
          <w:rFonts w:ascii="Verdana" w:hAnsi="Verdana"/>
          <w:i/>
          <w:sz w:val="20"/>
          <w:szCs w:val="20"/>
        </w:rPr>
        <w:t xml:space="preserve">.- </w:t>
      </w:r>
      <w:r>
        <w:rPr>
          <w:rFonts w:ascii="Verdana" w:hAnsi="Verdana"/>
          <w:sz w:val="20"/>
          <w:szCs w:val="20"/>
        </w:rPr>
        <w:t>El 7 de abril de 1992 quedó promulgada la ley 24.071</w:t>
      </w:r>
      <w:r w:rsidR="00F56CA1">
        <w:rPr>
          <w:rFonts w:ascii="Verdana" w:hAnsi="Verdana"/>
          <w:sz w:val="20"/>
          <w:szCs w:val="20"/>
        </w:rPr>
        <w:t>,</w:t>
      </w:r>
      <w:r>
        <w:rPr>
          <w:rFonts w:ascii="Verdana" w:hAnsi="Verdana"/>
          <w:sz w:val="20"/>
          <w:szCs w:val="20"/>
        </w:rPr>
        <w:t xml:space="preserve"> que aprobó el Convenio 169 de la Organización Internacional del Trabajo (OIT) sobre pueblos indígenas y tribales (en adelante “Convenio 169” o “Convenio 169 de la OIT”)</w:t>
      </w:r>
      <w:r>
        <w:rPr>
          <w:rStyle w:val="Refdenotaalpie"/>
          <w:rFonts w:ascii="Verdana" w:hAnsi="Verdana"/>
          <w:sz w:val="20"/>
        </w:rPr>
        <w:footnoteReference w:id="41"/>
      </w:r>
      <w:r>
        <w:rPr>
          <w:rFonts w:ascii="Verdana" w:hAnsi="Verdana"/>
          <w:sz w:val="20"/>
          <w:szCs w:val="20"/>
        </w:rPr>
        <w:t xml:space="preserve">. </w:t>
      </w:r>
      <w:r w:rsidRPr="00ED69D1">
        <w:rPr>
          <w:rFonts w:ascii="Verdana" w:hAnsi="Verdana"/>
          <w:i/>
          <w:sz w:val="20"/>
          <w:szCs w:val="20"/>
        </w:rPr>
        <w:t xml:space="preserve"> </w:t>
      </w:r>
    </w:p>
    <w:p w14:paraId="64E62FDB" w14:textId="239DB931" w:rsidR="009805F2" w:rsidRDefault="009805F2" w:rsidP="009805F2">
      <w:pPr>
        <w:pStyle w:val="Prrafodelista"/>
        <w:autoSpaceDE w:val="0"/>
        <w:autoSpaceDN w:val="0"/>
        <w:adjustRightInd w:val="0"/>
        <w:spacing w:after="0" w:line="240" w:lineRule="auto"/>
        <w:ind w:left="142"/>
        <w:jc w:val="both"/>
        <w:rPr>
          <w:rFonts w:ascii="Verdana" w:hAnsi="Verdana"/>
          <w:sz w:val="20"/>
          <w:szCs w:val="20"/>
        </w:rPr>
      </w:pPr>
      <w:r w:rsidRPr="00E0460B">
        <w:rPr>
          <w:rFonts w:ascii="Verdana" w:hAnsi="Verdana"/>
          <w:sz w:val="20"/>
          <w:szCs w:val="20"/>
        </w:rPr>
        <w:t>c.-</w:t>
      </w:r>
      <w:r>
        <w:rPr>
          <w:rFonts w:ascii="Verdana" w:hAnsi="Verdana"/>
          <w:sz w:val="20"/>
          <w:szCs w:val="20"/>
        </w:rPr>
        <w:t xml:space="preserve"> </w:t>
      </w:r>
      <w:r>
        <w:rPr>
          <w:rFonts w:ascii="Verdana" w:hAnsi="Verdana"/>
          <w:i/>
          <w:sz w:val="20"/>
          <w:szCs w:val="20"/>
        </w:rPr>
        <w:t>1994. R</w:t>
      </w:r>
      <w:r w:rsidRPr="00ED69D1">
        <w:rPr>
          <w:rFonts w:ascii="Verdana" w:hAnsi="Verdana"/>
          <w:i/>
          <w:sz w:val="20"/>
          <w:szCs w:val="20"/>
        </w:rPr>
        <w:t xml:space="preserve">eforma de la Constitución Nacional.- </w:t>
      </w:r>
      <w:r>
        <w:rPr>
          <w:rFonts w:ascii="Verdana" w:hAnsi="Verdana"/>
          <w:sz w:val="20"/>
          <w:szCs w:val="20"/>
        </w:rPr>
        <w:t>El 22 de agosto de 1994 se adoptaron modificaciones a la Constitución Nacional</w:t>
      </w:r>
      <w:r>
        <w:rPr>
          <w:rStyle w:val="Refdenotaalpie"/>
          <w:rFonts w:ascii="Verdana" w:hAnsi="Verdana"/>
          <w:sz w:val="20"/>
        </w:rPr>
        <w:footnoteReference w:id="42"/>
      </w:r>
      <w:r>
        <w:rPr>
          <w:rFonts w:ascii="Verdana" w:hAnsi="Verdana"/>
          <w:sz w:val="20"/>
          <w:szCs w:val="20"/>
        </w:rPr>
        <w:t>. La reforma, en lo pertinente, dotó de jerarquía constitucional a instrumentos internacionales de derechos humanos, inclusive a la Convención Americana, y en el artículo 75 inciso 17 estableció que: “[c]orresponde al Congreso […r]</w:t>
      </w:r>
      <w:r w:rsidRPr="00DB0889">
        <w:rPr>
          <w:rFonts w:ascii="Verdana" w:hAnsi="Verdana"/>
          <w:sz w:val="20"/>
          <w:szCs w:val="20"/>
        </w:rPr>
        <w:t>econocer la preexistencia étnica y cultural de los pueblos indígenas argentinos</w:t>
      </w:r>
      <w:r>
        <w:rPr>
          <w:rFonts w:ascii="Verdana" w:hAnsi="Verdana"/>
          <w:sz w:val="20"/>
          <w:szCs w:val="20"/>
        </w:rPr>
        <w:t>[;…r]</w:t>
      </w:r>
      <w:r w:rsidRPr="00DB0889">
        <w:rPr>
          <w:rFonts w:ascii="Verdana" w:hAnsi="Verdana"/>
          <w:sz w:val="20"/>
          <w:szCs w:val="20"/>
        </w:rPr>
        <w:t xml:space="preserve">econocer la </w:t>
      </w:r>
      <w:r>
        <w:rPr>
          <w:rFonts w:ascii="Verdana" w:hAnsi="Verdana"/>
          <w:sz w:val="20"/>
          <w:szCs w:val="20"/>
        </w:rPr>
        <w:t xml:space="preserve">[…] </w:t>
      </w:r>
      <w:r w:rsidRPr="00DB0889">
        <w:rPr>
          <w:rFonts w:ascii="Verdana" w:hAnsi="Verdana"/>
          <w:sz w:val="20"/>
          <w:szCs w:val="20"/>
        </w:rPr>
        <w:t>posesión y propiedad comunitarias de las tierras que tradicionalmente ocupan; y regular la entrega de otras aptas y suficientes para el desarrollo humano; ninguna de ellas será enajenable, transmisible ni suscep</w:t>
      </w:r>
      <w:r>
        <w:rPr>
          <w:rFonts w:ascii="Verdana" w:hAnsi="Verdana"/>
          <w:sz w:val="20"/>
          <w:szCs w:val="20"/>
        </w:rPr>
        <w:t xml:space="preserve">tible de gravámenes o embargos”.  </w:t>
      </w:r>
    </w:p>
    <w:p w14:paraId="6DC6E2F6" w14:textId="2262606C" w:rsidR="009805F2" w:rsidRDefault="009805F2" w:rsidP="009805F2">
      <w:pPr>
        <w:pStyle w:val="Prrafodelista"/>
        <w:autoSpaceDE w:val="0"/>
        <w:autoSpaceDN w:val="0"/>
        <w:adjustRightInd w:val="0"/>
        <w:spacing w:after="0" w:line="240" w:lineRule="auto"/>
        <w:ind w:left="142"/>
        <w:jc w:val="both"/>
        <w:rPr>
          <w:rFonts w:ascii="Verdana" w:hAnsi="Verdana"/>
          <w:sz w:val="20"/>
          <w:szCs w:val="20"/>
        </w:rPr>
      </w:pPr>
      <w:r>
        <w:rPr>
          <w:rFonts w:ascii="Verdana" w:hAnsi="Verdana"/>
          <w:sz w:val="20"/>
          <w:szCs w:val="20"/>
        </w:rPr>
        <w:t>d.-</w:t>
      </w:r>
      <w:r w:rsidRPr="00412DC1">
        <w:rPr>
          <w:rFonts w:ascii="Verdana" w:hAnsi="Verdana"/>
          <w:i/>
          <w:sz w:val="20"/>
          <w:szCs w:val="20"/>
        </w:rPr>
        <w:t>2006.</w:t>
      </w:r>
      <w:r>
        <w:rPr>
          <w:rFonts w:ascii="Verdana" w:hAnsi="Verdana"/>
          <w:i/>
          <w:sz w:val="20"/>
          <w:szCs w:val="20"/>
        </w:rPr>
        <w:t xml:space="preserve"> Ley 26.160 </w:t>
      </w:r>
      <w:r w:rsidRPr="002562EA">
        <w:rPr>
          <w:rFonts w:ascii="Verdana" w:hAnsi="Verdana"/>
          <w:i/>
          <w:sz w:val="20"/>
          <w:szCs w:val="20"/>
        </w:rPr>
        <w:t xml:space="preserve">y </w:t>
      </w:r>
      <w:r>
        <w:rPr>
          <w:rFonts w:ascii="Verdana" w:hAnsi="Verdana"/>
          <w:i/>
          <w:sz w:val="20"/>
          <w:szCs w:val="20"/>
        </w:rPr>
        <w:t xml:space="preserve">sus </w:t>
      </w:r>
      <w:r w:rsidRPr="002562EA">
        <w:rPr>
          <w:rFonts w:ascii="Verdana" w:hAnsi="Verdana"/>
          <w:i/>
          <w:sz w:val="20"/>
          <w:szCs w:val="20"/>
        </w:rPr>
        <w:t>prórrogas</w:t>
      </w:r>
      <w:r>
        <w:rPr>
          <w:rFonts w:ascii="Verdana" w:hAnsi="Verdana"/>
          <w:sz w:val="20"/>
          <w:szCs w:val="20"/>
        </w:rPr>
        <w:t xml:space="preserve">.- </w:t>
      </w:r>
      <w:r w:rsidRPr="00993D43">
        <w:rPr>
          <w:rFonts w:ascii="Verdana" w:hAnsi="Verdana"/>
          <w:sz w:val="20"/>
          <w:szCs w:val="20"/>
          <w:lang w:val="es-AR"/>
        </w:rPr>
        <w:t xml:space="preserve">La </w:t>
      </w:r>
      <w:r w:rsidRPr="00993D43">
        <w:rPr>
          <w:rFonts w:ascii="Verdana" w:hAnsi="Verdana"/>
          <w:i/>
          <w:sz w:val="20"/>
          <w:szCs w:val="20"/>
          <w:lang w:val="es-AR"/>
        </w:rPr>
        <w:t>Ley de Relevamiento Territorial de Comunidades Indígenas</w:t>
      </w:r>
      <w:r w:rsidRPr="00993D43">
        <w:rPr>
          <w:rFonts w:ascii="Verdana" w:hAnsi="Verdana"/>
          <w:sz w:val="20"/>
          <w:szCs w:val="20"/>
          <w:lang w:val="es-AR"/>
        </w:rPr>
        <w:t xml:space="preserve"> No. 26.160</w:t>
      </w:r>
      <w:r>
        <w:rPr>
          <w:rFonts w:ascii="Verdana" w:hAnsi="Verdana"/>
          <w:sz w:val="20"/>
          <w:szCs w:val="20"/>
          <w:lang w:val="es-AR"/>
        </w:rPr>
        <w:t>, publicada el 29 de noviembre de 2006,</w:t>
      </w:r>
      <w:r w:rsidRPr="00993D43">
        <w:rPr>
          <w:rFonts w:ascii="Verdana" w:hAnsi="Verdana"/>
          <w:sz w:val="20"/>
          <w:szCs w:val="20"/>
          <w:lang w:val="es-AR"/>
        </w:rPr>
        <w:t xml:space="preserve"> fue promulgada para dar respuesta a la situación de emergencia en materia de posesión y propiedad de las tierras que ocupan las comunidades indígenas </w:t>
      </w:r>
      <w:r>
        <w:rPr>
          <w:rFonts w:ascii="Verdana" w:hAnsi="Verdana"/>
          <w:sz w:val="20"/>
          <w:szCs w:val="20"/>
          <w:lang w:val="es-AR"/>
        </w:rPr>
        <w:t xml:space="preserve">en </w:t>
      </w:r>
      <w:r w:rsidRPr="00993D43">
        <w:rPr>
          <w:rFonts w:ascii="Verdana" w:hAnsi="Verdana"/>
          <w:sz w:val="20"/>
          <w:szCs w:val="20"/>
          <w:lang w:val="es-AR"/>
        </w:rPr>
        <w:t xml:space="preserve">territorio argentino. </w:t>
      </w:r>
      <w:r>
        <w:rPr>
          <w:rFonts w:ascii="Verdana" w:hAnsi="Verdana"/>
          <w:sz w:val="20"/>
          <w:szCs w:val="20"/>
          <w:lang w:val="es-AR"/>
        </w:rPr>
        <w:t>En los fundamentos dados por el PEN al elevar el proyecto respectivo al Congreso se lee que el mismo busca “</w:t>
      </w:r>
      <w:r w:rsidRPr="00C857CB">
        <w:rPr>
          <w:rFonts w:ascii="Verdana" w:hAnsi="Verdana" w:cs="Arial"/>
          <w:sz w:val="20"/>
          <w:szCs w:val="20"/>
          <w:lang w:val="es-ES"/>
        </w:rPr>
        <w:t>coadyuva</w:t>
      </w:r>
      <w:r>
        <w:rPr>
          <w:rFonts w:ascii="Verdana" w:hAnsi="Verdana" w:cs="Arial"/>
          <w:sz w:val="20"/>
          <w:szCs w:val="20"/>
          <w:lang w:val="es-ES"/>
        </w:rPr>
        <w:t>[r]</w:t>
      </w:r>
      <w:r w:rsidRPr="00C857CB">
        <w:rPr>
          <w:rFonts w:ascii="Verdana" w:hAnsi="Verdana" w:cs="Arial"/>
          <w:sz w:val="20"/>
          <w:szCs w:val="20"/>
          <w:lang w:val="es-ES"/>
        </w:rPr>
        <w:t xml:space="preserve"> a las políticas que ya se están implementando pero que no alcanzan a cumplir sus objetivos de reconocimiento de la </w:t>
      </w:r>
      <w:r>
        <w:rPr>
          <w:rFonts w:ascii="Verdana" w:hAnsi="Verdana" w:cs="Arial"/>
          <w:sz w:val="20"/>
          <w:szCs w:val="20"/>
          <w:lang w:val="es-ES"/>
        </w:rPr>
        <w:t>[p]</w:t>
      </w:r>
      <w:r w:rsidRPr="00C857CB">
        <w:rPr>
          <w:rFonts w:ascii="Verdana" w:hAnsi="Verdana" w:cs="Arial"/>
          <w:sz w:val="20"/>
          <w:szCs w:val="20"/>
          <w:lang w:val="es-ES"/>
        </w:rPr>
        <w:t xml:space="preserve">ropiedad </w:t>
      </w:r>
      <w:r>
        <w:rPr>
          <w:rFonts w:ascii="Verdana" w:hAnsi="Verdana" w:cs="Arial"/>
          <w:sz w:val="20"/>
          <w:szCs w:val="20"/>
          <w:lang w:val="es-ES"/>
        </w:rPr>
        <w:t>[c]</w:t>
      </w:r>
      <w:r w:rsidRPr="00C857CB">
        <w:rPr>
          <w:rFonts w:ascii="Verdana" w:hAnsi="Verdana" w:cs="Arial"/>
          <w:sz w:val="20"/>
          <w:szCs w:val="20"/>
          <w:lang w:val="es-ES"/>
        </w:rPr>
        <w:t xml:space="preserve">omunitaria de las tierras en cabeza de las </w:t>
      </w:r>
      <w:r>
        <w:rPr>
          <w:rFonts w:ascii="Verdana" w:hAnsi="Verdana" w:cs="Arial"/>
          <w:sz w:val="20"/>
          <w:szCs w:val="20"/>
          <w:lang w:val="es-ES"/>
        </w:rPr>
        <w:t>[c]</w:t>
      </w:r>
      <w:r w:rsidRPr="00C857CB">
        <w:rPr>
          <w:rFonts w:ascii="Verdana" w:hAnsi="Verdana" w:cs="Arial"/>
          <w:sz w:val="20"/>
          <w:szCs w:val="20"/>
          <w:lang w:val="es-ES"/>
        </w:rPr>
        <w:t>omunidades</w:t>
      </w:r>
      <w:r>
        <w:rPr>
          <w:rFonts w:ascii="Verdana" w:hAnsi="Verdana" w:cs="Arial"/>
          <w:sz w:val="20"/>
          <w:szCs w:val="20"/>
          <w:lang w:val="es-ES"/>
        </w:rPr>
        <w:t>”</w:t>
      </w:r>
      <w:r>
        <w:rPr>
          <w:rStyle w:val="Refdenotaalpie"/>
          <w:rFonts w:ascii="Verdana" w:hAnsi="Verdana"/>
          <w:sz w:val="20"/>
          <w:lang w:val="es-ES"/>
        </w:rPr>
        <w:footnoteReference w:id="43"/>
      </w:r>
      <w:r>
        <w:rPr>
          <w:rFonts w:ascii="Verdana" w:hAnsi="Verdana" w:cs="Arial"/>
          <w:sz w:val="20"/>
          <w:szCs w:val="20"/>
          <w:lang w:val="es-ES"/>
        </w:rPr>
        <w:t xml:space="preserve">. El texto de la ley </w:t>
      </w:r>
      <w:r w:rsidRPr="00CE1E16">
        <w:rPr>
          <w:rFonts w:ascii="Verdana" w:hAnsi="Verdana" w:cs="Arial Narrow"/>
          <w:sz w:val="20"/>
          <w:szCs w:val="20"/>
          <w:lang w:val="es-AR"/>
        </w:rPr>
        <w:lastRenderedPageBreak/>
        <w:t>dispuso suspender la ejecución de los procedimientos y sentencias de desalojo por un plazo de cuatro años y realizar un relevamiento de los territorios indígenas con el fin de lograr su “regularización dominial”.</w:t>
      </w:r>
      <w:r>
        <w:rPr>
          <w:rFonts w:ascii="Verdana" w:hAnsi="Verdana" w:cs="Arial Narrow"/>
          <w:sz w:val="20"/>
          <w:szCs w:val="20"/>
          <w:lang w:val="es-AR"/>
        </w:rPr>
        <w:t xml:space="preserve"> La suspensión de desalojos indicada por la ley fue prorrogada en diversas ocasiones, </w:t>
      </w:r>
      <w:r w:rsidR="007C596A">
        <w:rPr>
          <w:rFonts w:ascii="Verdana" w:hAnsi="Verdana" w:cs="Arial Narrow"/>
          <w:sz w:val="20"/>
          <w:szCs w:val="20"/>
          <w:lang w:val="es-AR"/>
        </w:rPr>
        <w:t xml:space="preserve">y </w:t>
      </w:r>
      <w:r>
        <w:rPr>
          <w:rFonts w:ascii="Verdana" w:hAnsi="Verdana" w:cs="Arial Narrow"/>
          <w:sz w:val="20"/>
          <w:szCs w:val="20"/>
          <w:lang w:val="es-AR"/>
        </w:rPr>
        <w:t>l</w:t>
      </w:r>
      <w:r w:rsidRPr="00CE1E16">
        <w:rPr>
          <w:rFonts w:ascii="Verdana" w:hAnsi="Verdana"/>
          <w:sz w:val="20"/>
          <w:szCs w:val="20"/>
          <w:lang w:val="es-AR"/>
        </w:rPr>
        <w:t>a última extendi</w:t>
      </w:r>
      <w:r>
        <w:rPr>
          <w:rFonts w:ascii="Verdana" w:hAnsi="Verdana"/>
          <w:sz w:val="20"/>
          <w:szCs w:val="20"/>
          <w:lang w:val="es-AR"/>
        </w:rPr>
        <w:t>ó</w:t>
      </w:r>
      <w:r w:rsidRPr="00CE1E16">
        <w:rPr>
          <w:rFonts w:ascii="Verdana" w:hAnsi="Verdana"/>
          <w:sz w:val="20"/>
          <w:szCs w:val="20"/>
          <w:lang w:val="es-AR"/>
        </w:rPr>
        <w:t xml:space="preserve"> su vigencia hasta finales de 2021</w:t>
      </w:r>
      <w:r>
        <w:rPr>
          <w:rStyle w:val="Refdenotaalpie"/>
          <w:rFonts w:ascii="Verdana" w:hAnsi="Verdana"/>
          <w:sz w:val="20"/>
          <w:lang w:val="es-AR"/>
        </w:rPr>
        <w:footnoteReference w:id="44"/>
      </w:r>
      <w:r>
        <w:rPr>
          <w:rFonts w:ascii="Verdana" w:hAnsi="Verdana"/>
          <w:sz w:val="20"/>
          <w:szCs w:val="20"/>
          <w:lang w:val="es-AR"/>
        </w:rPr>
        <w:t>.</w:t>
      </w:r>
    </w:p>
    <w:p w14:paraId="01FDE19F" w14:textId="77777777" w:rsidR="009805F2" w:rsidRDefault="009805F2" w:rsidP="009805F2">
      <w:pPr>
        <w:pStyle w:val="Prrafodelista"/>
        <w:autoSpaceDE w:val="0"/>
        <w:autoSpaceDN w:val="0"/>
        <w:adjustRightInd w:val="0"/>
        <w:spacing w:after="0" w:line="240" w:lineRule="auto"/>
        <w:ind w:left="142"/>
        <w:jc w:val="both"/>
        <w:rPr>
          <w:rFonts w:ascii="Verdana" w:hAnsi="Verdana"/>
          <w:b/>
          <w:sz w:val="16"/>
          <w:szCs w:val="16"/>
        </w:rPr>
      </w:pPr>
      <w:r>
        <w:rPr>
          <w:rFonts w:ascii="Verdana" w:hAnsi="Verdana"/>
          <w:sz w:val="20"/>
          <w:szCs w:val="20"/>
        </w:rPr>
        <w:t xml:space="preserve">e.- </w:t>
      </w:r>
      <w:r>
        <w:rPr>
          <w:rFonts w:ascii="Verdana" w:hAnsi="Verdana"/>
          <w:i/>
          <w:sz w:val="20"/>
          <w:szCs w:val="20"/>
        </w:rPr>
        <w:t>2010. D</w:t>
      </w:r>
      <w:r w:rsidRPr="005A21E5">
        <w:rPr>
          <w:rFonts w:ascii="Verdana" w:hAnsi="Verdana"/>
          <w:i/>
          <w:sz w:val="20"/>
          <w:szCs w:val="20"/>
        </w:rPr>
        <w:t>ecreto 700/2010.-</w:t>
      </w:r>
      <w:r w:rsidRPr="005A21E5">
        <w:rPr>
          <w:rFonts w:ascii="Verdana" w:hAnsi="Verdana"/>
          <w:sz w:val="20"/>
          <w:szCs w:val="20"/>
        </w:rPr>
        <w:t xml:space="preserve"> E</w:t>
      </w:r>
      <w:r>
        <w:rPr>
          <w:rFonts w:ascii="Verdana" w:hAnsi="Verdana"/>
          <w:sz w:val="20"/>
          <w:szCs w:val="20"/>
        </w:rPr>
        <w:t>l</w:t>
      </w:r>
      <w:r w:rsidRPr="005A21E5">
        <w:rPr>
          <w:rFonts w:ascii="Verdana" w:hAnsi="Verdana"/>
          <w:sz w:val="20"/>
          <w:szCs w:val="20"/>
        </w:rPr>
        <w:t xml:space="preserve"> Decreto 700/2010 del P</w:t>
      </w:r>
      <w:r>
        <w:rPr>
          <w:rFonts w:ascii="Verdana" w:hAnsi="Verdana"/>
          <w:sz w:val="20"/>
          <w:szCs w:val="20"/>
        </w:rPr>
        <w:t>EN</w:t>
      </w:r>
      <w:r w:rsidRPr="005A21E5">
        <w:rPr>
          <w:rFonts w:ascii="Verdana" w:hAnsi="Verdana"/>
          <w:sz w:val="20"/>
          <w:szCs w:val="20"/>
        </w:rPr>
        <w:t>, d</w:t>
      </w:r>
      <w:r>
        <w:rPr>
          <w:rFonts w:ascii="Verdana" w:hAnsi="Verdana"/>
          <w:sz w:val="20"/>
          <w:szCs w:val="20"/>
        </w:rPr>
        <w:t>e 20 de mayo de 2010, creó una C</w:t>
      </w:r>
      <w:r w:rsidRPr="005A21E5">
        <w:rPr>
          <w:rFonts w:ascii="Verdana" w:hAnsi="Verdana"/>
          <w:sz w:val="20"/>
          <w:szCs w:val="20"/>
        </w:rPr>
        <w:t>omisión para el “análisis e instrumentación de la propiedad comunitaria indígena”, estableciendo como uno de sus objetivos elaborar “una propuesta normativa para instrumentar un procedimiento que efectivice la garantía constitucional del reconocimiento de la posesión y propiedad comunitaria indígena, precisando su naturaleza jurídica y características”.</w:t>
      </w:r>
      <w:r>
        <w:rPr>
          <w:rFonts w:ascii="Verdana" w:hAnsi="Verdana"/>
          <w:sz w:val="20"/>
          <w:szCs w:val="20"/>
        </w:rPr>
        <w:t xml:space="preserve"> </w:t>
      </w:r>
    </w:p>
    <w:p w14:paraId="03C533C2" w14:textId="3724410A" w:rsidR="009805F2" w:rsidRPr="00190177" w:rsidRDefault="009805F2" w:rsidP="009805F2">
      <w:pPr>
        <w:pStyle w:val="Prrafodelista"/>
        <w:autoSpaceDE w:val="0"/>
        <w:autoSpaceDN w:val="0"/>
        <w:adjustRightInd w:val="0"/>
        <w:spacing w:after="0" w:line="240" w:lineRule="auto"/>
        <w:ind w:left="142"/>
        <w:jc w:val="both"/>
        <w:rPr>
          <w:rFonts w:ascii="Verdana" w:hAnsi="Verdana"/>
          <w:b/>
          <w:sz w:val="16"/>
          <w:szCs w:val="16"/>
        </w:rPr>
      </w:pPr>
      <w:r w:rsidRPr="00190177">
        <w:rPr>
          <w:rFonts w:ascii="Verdana" w:hAnsi="Verdana"/>
          <w:sz w:val="20"/>
          <w:szCs w:val="20"/>
        </w:rPr>
        <w:t>f.-</w:t>
      </w:r>
      <w:r>
        <w:rPr>
          <w:rFonts w:ascii="Verdana" w:hAnsi="Verdana"/>
          <w:b/>
          <w:sz w:val="16"/>
          <w:szCs w:val="16"/>
        </w:rPr>
        <w:t xml:space="preserve"> </w:t>
      </w:r>
      <w:r w:rsidRPr="00307F8F">
        <w:rPr>
          <w:rFonts w:ascii="Verdana" w:hAnsi="Verdana"/>
          <w:i/>
          <w:sz w:val="20"/>
          <w:szCs w:val="20"/>
        </w:rPr>
        <w:t xml:space="preserve">2010. </w:t>
      </w:r>
      <w:r w:rsidRPr="00190177">
        <w:rPr>
          <w:rFonts w:ascii="Verdana" w:hAnsi="Verdana"/>
          <w:sz w:val="20"/>
          <w:szCs w:val="20"/>
        </w:rPr>
        <w:t>Resolución 32</w:t>
      </w:r>
      <w:r>
        <w:rPr>
          <w:rFonts w:ascii="Verdana" w:hAnsi="Verdana"/>
          <w:sz w:val="20"/>
          <w:szCs w:val="20"/>
        </w:rPr>
        <w:t>8</w:t>
      </w:r>
      <w:r w:rsidRPr="00190177">
        <w:rPr>
          <w:rFonts w:ascii="Verdana" w:hAnsi="Verdana"/>
          <w:sz w:val="20"/>
          <w:szCs w:val="20"/>
        </w:rPr>
        <w:t>/2010 del INAI: La Resolución 32</w:t>
      </w:r>
      <w:r>
        <w:rPr>
          <w:rFonts w:ascii="Verdana" w:hAnsi="Verdana"/>
          <w:sz w:val="20"/>
          <w:szCs w:val="20"/>
        </w:rPr>
        <w:t>8</w:t>
      </w:r>
      <w:r w:rsidRPr="00190177">
        <w:rPr>
          <w:rFonts w:ascii="Verdana" w:hAnsi="Verdana"/>
          <w:sz w:val="20"/>
          <w:szCs w:val="20"/>
        </w:rPr>
        <w:t>/201</w:t>
      </w:r>
      <w:r>
        <w:rPr>
          <w:rFonts w:ascii="Verdana" w:hAnsi="Verdana"/>
          <w:sz w:val="20"/>
          <w:szCs w:val="20"/>
        </w:rPr>
        <w:t>0</w:t>
      </w:r>
      <w:r w:rsidRPr="00190177">
        <w:rPr>
          <w:rFonts w:ascii="Verdana" w:hAnsi="Verdana"/>
          <w:sz w:val="20"/>
          <w:szCs w:val="20"/>
        </w:rPr>
        <w:t xml:space="preserve"> del INAI, emitida el 19 de julio de 2010, creó el Registro Nacional de Organizaciones de Pueblos Indígenas (Re.No.Pi.)</w:t>
      </w:r>
      <w:r>
        <w:rPr>
          <w:rStyle w:val="Refdenotaalpie"/>
          <w:rFonts w:ascii="Verdana" w:hAnsi="Verdana"/>
          <w:sz w:val="20"/>
        </w:rPr>
        <w:footnoteReference w:id="45"/>
      </w:r>
      <w:r>
        <w:rPr>
          <w:rFonts w:ascii="Verdana" w:hAnsi="Verdana"/>
          <w:sz w:val="20"/>
          <w:szCs w:val="20"/>
        </w:rPr>
        <w:t xml:space="preserve">. </w:t>
      </w:r>
    </w:p>
    <w:p w14:paraId="3F5F4649" w14:textId="2C12C8FF" w:rsidR="009805F2" w:rsidRPr="00412DC1" w:rsidRDefault="009805F2" w:rsidP="009805F2">
      <w:pPr>
        <w:pStyle w:val="Prrafodelista"/>
        <w:autoSpaceDE w:val="0"/>
        <w:autoSpaceDN w:val="0"/>
        <w:adjustRightInd w:val="0"/>
        <w:spacing w:after="0" w:line="240" w:lineRule="auto"/>
        <w:ind w:left="142"/>
        <w:jc w:val="both"/>
        <w:rPr>
          <w:rFonts w:ascii="Verdana" w:hAnsi="Verdana"/>
          <w:sz w:val="20"/>
          <w:szCs w:val="20"/>
        </w:rPr>
      </w:pPr>
      <w:r>
        <w:rPr>
          <w:rFonts w:ascii="Verdana" w:hAnsi="Verdana"/>
          <w:sz w:val="20"/>
          <w:szCs w:val="20"/>
        </w:rPr>
        <w:t xml:space="preserve">g.- </w:t>
      </w:r>
      <w:r w:rsidRPr="00412DC1">
        <w:rPr>
          <w:rFonts w:ascii="Verdana" w:hAnsi="Verdana"/>
          <w:i/>
          <w:sz w:val="20"/>
          <w:szCs w:val="20"/>
        </w:rPr>
        <w:t xml:space="preserve">2016. </w:t>
      </w:r>
      <w:r w:rsidRPr="005A21E5">
        <w:rPr>
          <w:rFonts w:ascii="Verdana" w:hAnsi="Verdana"/>
          <w:i/>
          <w:sz w:val="20"/>
          <w:szCs w:val="20"/>
        </w:rPr>
        <w:t>Código Civil y Comercial de la Nación.</w:t>
      </w:r>
      <w:r>
        <w:rPr>
          <w:rFonts w:ascii="Verdana" w:hAnsi="Verdana"/>
          <w:sz w:val="20"/>
          <w:szCs w:val="20"/>
        </w:rPr>
        <w:t>-</w:t>
      </w:r>
      <w:r w:rsidR="007419AC">
        <w:rPr>
          <w:rFonts w:ascii="Verdana" w:hAnsi="Verdana"/>
          <w:sz w:val="20"/>
          <w:szCs w:val="20"/>
        </w:rPr>
        <w:t xml:space="preserve"> </w:t>
      </w:r>
      <w:r>
        <w:rPr>
          <w:rFonts w:ascii="Verdana" w:hAnsi="Verdana"/>
          <w:sz w:val="20"/>
          <w:szCs w:val="20"/>
        </w:rPr>
        <w:t xml:space="preserve">El 1 de enero de 2016 entró en vigencia la ley 26.994, promulgada el 7 de octubre de 2014, que derogó los Códigos Civil y de Comercio y aprobó el Código Civil y Comercial de la Nación, de aplicación tanto en el ámbito nacional como provincial. </w:t>
      </w:r>
      <w:r w:rsidRPr="0022638D">
        <w:rPr>
          <w:rFonts w:ascii="Verdana" w:hAnsi="Verdana"/>
          <w:sz w:val="20"/>
          <w:szCs w:val="20"/>
          <w:lang w:val="es-AR"/>
        </w:rPr>
        <w:t xml:space="preserve">El </w:t>
      </w:r>
      <w:r>
        <w:rPr>
          <w:rFonts w:ascii="Verdana" w:hAnsi="Verdana"/>
          <w:sz w:val="20"/>
          <w:szCs w:val="20"/>
          <w:lang w:val="es-AR"/>
        </w:rPr>
        <w:t xml:space="preserve">artículo 9 de dicha ley indica que “[l]os derechos de los pueblos indígenas, en particular la propiedad comunitaria […] </w:t>
      </w:r>
      <w:r w:rsidRPr="002E07B4">
        <w:rPr>
          <w:rFonts w:ascii="Verdana" w:hAnsi="Verdana"/>
          <w:sz w:val="20"/>
          <w:szCs w:val="20"/>
          <w:lang w:val="es-AR"/>
        </w:rPr>
        <w:t>serán objeto de una ley especial</w:t>
      </w:r>
      <w:r w:rsidRPr="00E73CDA">
        <w:rPr>
          <w:rFonts w:ascii="Verdana" w:hAnsi="Verdana"/>
          <w:sz w:val="20"/>
          <w:szCs w:val="20"/>
          <w:lang w:val="es-AR"/>
        </w:rPr>
        <w:t>”</w:t>
      </w:r>
      <w:r>
        <w:rPr>
          <w:rFonts w:ascii="Verdana" w:hAnsi="Verdana"/>
          <w:sz w:val="20"/>
          <w:szCs w:val="20"/>
          <w:lang w:val="es-AR"/>
        </w:rPr>
        <w:t xml:space="preserve">, y el </w:t>
      </w:r>
      <w:r w:rsidRPr="0022638D">
        <w:rPr>
          <w:rFonts w:ascii="Verdana" w:hAnsi="Verdana"/>
          <w:sz w:val="20"/>
          <w:szCs w:val="20"/>
          <w:lang w:val="es-AR"/>
        </w:rPr>
        <w:t xml:space="preserve">artículo 18 del </w:t>
      </w:r>
      <w:r>
        <w:rPr>
          <w:rFonts w:ascii="Verdana" w:hAnsi="Verdana"/>
          <w:sz w:val="20"/>
          <w:szCs w:val="20"/>
          <w:lang w:val="es-AR"/>
        </w:rPr>
        <w:t xml:space="preserve">nuevo </w:t>
      </w:r>
      <w:r w:rsidRPr="0022638D">
        <w:rPr>
          <w:rFonts w:ascii="Verdana" w:hAnsi="Verdana"/>
          <w:sz w:val="20"/>
          <w:szCs w:val="20"/>
          <w:lang w:val="es-AR"/>
        </w:rPr>
        <w:t>Código</w:t>
      </w:r>
      <w:r w:rsidR="007419AC">
        <w:rPr>
          <w:rFonts w:ascii="Verdana" w:hAnsi="Verdana"/>
          <w:sz w:val="20"/>
          <w:szCs w:val="20"/>
          <w:lang w:val="es-AR"/>
        </w:rPr>
        <w:t xml:space="preserve"> </w:t>
      </w:r>
      <w:r w:rsidRPr="0022638D">
        <w:rPr>
          <w:rFonts w:ascii="Verdana" w:hAnsi="Verdana"/>
          <w:sz w:val="20"/>
          <w:szCs w:val="20"/>
          <w:lang w:val="es-AR"/>
        </w:rPr>
        <w:t xml:space="preserve">establece que </w:t>
      </w:r>
      <w:r>
        <w:rPr>
          <w:rFonts w:ascii="Verdana" w:hAnsi="Verdana"/>
          <w:sz w:val="20"/>
          <w:szCs w:val="20"/>
          <w:lang w:val="es-AR"/>
        </w:rPr>
        <w:t>“</w:t>
      </w:r>
      <w:r w:rsidRPr="0022638D">
        <w:rPr>
          <w:rFonts w:ascii="Verdana" w:hAnsi="Verdana"/>
          <w:sz w:val="20"/>
          <w:szCs w:val="20"/>
          <w:lang w:val="es-AR"/>
        </w:rPr>
        <w:t xml:space="preserve">las comunidades indígenas reconocidas tienen derecho a la posesión y propiedad comunitaria de las tierras que tradicionalmente ocupan y de aquellas otras aptas y suficientes para el desarrollo humano </w:t>
      </w:r>
      <w:r w:rsidRPr="007A4A05">
        <w:rPr>
          <w:rFonts w:ascii="Verdana" w:hAnsi="Verdana"/>
          <w:i/>
          <w:sz w:val="20"/>
          <w:szCs w:val="20"/>
          <w:lang w:val="es-AR"/>
        </w:rPr>
        <w:t>según lo establezca la ley</w:t>
      </w:r>
      <w:r w:rsidRPr="0022638D">
        <w:rPr>
          <w:rFonts w:ascii="Verdana" w:hAnsi="Verdana"/>
          <w:sz w:val="20"/>
          <w:szCs w:val="20"/>
          <w:lang w:val="es-AR"/>
        </w:rPr>
        <w:t xml:space="preserve"> de conformidad con lo dispuesto por el artículo 75 inciso 17 de la Constitución Nacional</w:t>
      </w:r>
      <w:r>
        <w:rPr>
          <w:rFonts w:ascii="Verdana" w:hAnsi="Verdana"/>
          <w:sz w:val="20"/>
          <w:szCs w:val="20"/>
          <w:lang w:val="es-AR"/>
        </w:rPr>
        <w:t xml:space="preserve">” (la cursiva no es del texto original). </w:t>
      </w:r>
    </w:p>
    <w:p w14:paraId="451840D1" w14:textId="77777777" w:rsidR="009805F2" w:rsidRPr="00A95802" w:rsidRDefault="009805F2" w:rsidP="009805F2">
      <w:pPr>
        <w:pStyle w:val="Prrafodelista"/>
        <w:spacing w:line="240" w:lineRule="auto"/>
        <w:rPr>
          <w:rFonts w:ascii="Verdana" w:hAnsi="Verdana"/>
          <w:sz w:val="20"/>
          <w:szCs w:val="20"/>
        </w:rPr>
      </w:pPr>
    </w:p>
    <w:p w14:paraId="4E7B6878" w14:textId="3319C1F6" w:rsidR="009805F2" w:rsidRPr="00A95802" w:rsidRDefault="009805F2" w:rsidP="009805F2">
      <w:pPr>
        <w:pStyle w:val="Prrafodelista"/>
        <w:numPr>
          <w:ilvl w:val="0"/>
          <w:numId w:val="1"/>
        </w:numPr>
        <w:spacing w:after="0" w:line="240" w:lineRule="auto"/>
        <w:ind w:left="0" w:firstLine="0"/>
        <w:jc w:val="both"/>
        <w:rPr>
          <w:rFonts w:ascii="Verdana" w:hAnsi="Verdana"/>
          <w:sz w:val="20"/>
          <w:szCs w:val="20"/>
          <w:lang w:val="es-ES"/>
        </w:rPr>
      </w:pPr>
      <w:r w:rsidRPr="00A95802">
        <w:rPr>
          <w:rFonts w:ascii="Verdana" w:hAnsi="Verdana"/>
          <w:sz w:val="20"/>
          <w:szCs w:val="20"/>
        </w:rPr>
        <w:t>En cuanto a Salta, en 1</w:t>
      </w:r>
      <w:r w:rsidRPr="00A95802">
        <w:rPr>
          <w:rFonts w:ascii="Verdana" w:hAnsi="Verdana"/>
          <w:sz w:val="20"/>
          <w:szCs w:val="20"/>
          <w:lang w:val="es-ES"/>
        </w:rPr>
        <w:t xml:space="preserve">986 la Provincia aprobó la </w:t>
      </w:r>
      <w:r w:rsidRPr="00A95802">
        <w:rPr>
          <w:rFonts w:ascii="Verdana" w:hAnsi="Verdana"/>
          <w:i/>
          <w:sz w:val="20"/>
          <w:szCs w:val="20"/>
          <w:lang w:val="es-ES"/>
        </w:rPr>
        <w:t>ley 6.373 de Promoción de Desarrollo del Aborigen</w:t>
      </w:r>
      <w:r w:rsidRPr="00A95802">
        <w:rPr>
          <w:rFonts w:ascii="Verdana" w:hAnsi="Verdana"/>
          <w:sz w:val="20"/>
          <w:szCs w:val="20"/>
          <w:lang w:val="es-ES"/>
        </w:rPr>
        <w:t xml:space="preserve">, que entre sus disposiciones previó que el “Instituto Provincial del Aborigen”, establecido por la misma ley, realizaría un relevamiento de “asentamientos aborígenes”, para luego efectuar los trámites necesarios para la “adjudicación” de tierra “en propiedad”. </w:t>
      </w:r>
      <w:r w:rsidRPr="00A95802">
        <w:rPr>
          <w:rFonts w:ascii="Verdana" w:hAnsi="Verdana" w:cs="Arial"/>
          <w:sz w:val="20"/>
          <w:szCs w:val="20"/>
          <w:lang w:val="es-AR"/>
        </w:rPr>
        <w:t xml:space="preserve">En 1992, por medio de la </w:t>
      </w:r>
      <w:r w:rsidRPr="00A95802">
        <w:rPr>
          <w:rFonts w:ascii="Verdana" w:hAnsi="Verdana" w:cs="Arial"/>
          <w:i/>
          <w:sz w:val="20"/>
          <w:szCs w:val="20"/>
          <w:lang w:val="es-AR"/>
        </w:rPr>
        <w:t>ley 6.681</w:t>
      </w:r>
      <w:r w:rsidRPr="00A95802">
        <w:rPr>
          <w:rFonts w:ascii="Verdana" w:hAnsi="Verdana" w:cs="Arial"/>
          <w:sz w:val="20"/>
          <w:szCs w:val="20"/>
          <w:lang w:val="es-AR"/>
        </w:rPr>
        <w:t xml:space="preserve">, Salta adhirió a la </w:t>
      </w:r>
      <w:r w:rsidRPr="00A95802">
        <w:rPr>
          <w:rFonts w:ascii="Verdana" w:hAnsi="Verdana" w:cs="Arial"/>
          <w:i/>
          <w:sz w:val="20"/>
          <w:szCs w:val="20"/>
          <w:lang w:val="es-AR"/>
        </w:rPr>
        <w:t>le</w:t>
      </w:r>
      <w:r w:rsidRPr="00A95802">
        <w:rPr>
          <w:rFonts w:ascii="Verdana" w:hAnsi="Verdana" w:cs="Arial Narrow"/>
          <w:i/>
          <w:sz w:val="20"/>
          <w:szCs w:val="20"/>
          <w:lang w:val="es-AR"/>
        </w:rPr>
        <w:t>y nacional 23.302 sobre</w:t>
      </w:r>
      <w:r w:rsidRPr="00A95802">
        <w:rPr>
          <w:rFonts w:ascii="Verdana" w:hAnsi="Verdana" w:cs="Arial Narrow"/>
          <w:sz w:val="20"/>
          <w:szCs w:val="20"/>
          <w:lang w:val="es-AR"/>
        </w:rPr>
        <w:t xml:space="preserve"> </w:t>
      </w:r>
      <w:r w:rsidRPr="00A95802">
        <w:rPr>
          <w:rFonts w:ascii="Verdana" w:hAnsi="Verdana" w:cs="Arial Narrow"/>
          <w:i/>
          <w:sz w:val="20"/>
          <w:szCs w:val="20"/>
          <w:lang w:val="es-AR"/>
        </w:rPr>
        <w:t>Política Indígena y apoyo a las Comunidades Aborígenes</w:t>
      </w:r>
      <w:r w:rsidRPr="00A95802">
        <w:rPr>
          <w:rFonts w:ascii="Verdana" w:hAnsi="Verdana" w:cs="Arial Narrow"/>
          <w:sz w:val="20"/>
          <w:szCs w:val="20"/>
          <w:lang w:val="es-AR"/>
        </w:rPr>
        <w:t>.</w:t>
      </w:r>
      <w:r w:rsidRPr="00A95802">
        <w:rPr>
          <w:rFonts w:ascii="Verdana" w:hAnsi="Verdana" w:cs="Tahoma"/>
          <w:sz w:val="20"/>
          <w:szCs w:val="20"/>
        </w:rPr>
        <w:t xml:space="preserve"> </w:t>
      </w:r>
      <w:r w:rsidRPr="00A95802">
        <w:rPr>
          <w:rFonts w:ascii="Verdana" w:eastAsia="Times New Roman" w:hAnsi="Verdana" w:cs="Times New Roman"/>
          <w:color w:val="000000"/>
          <w:sz w:val="20"/>
          <w:szCs w:val="20"/>
          <w:lang w:eastAsia="es-CR"/>
        </w:rPr>
        <w:lastRenderedPageBreak/>
        <w:t xml:space="preserve">En 1998 se reformó la </w:t>
      </w:r>
      <w:r w:rsidRPr="00A95802">
        <w:rPr>
          <w:rFonts w:ascii="Verdana" w:eastAsia="Times New Roman" w:hAnsi="Verdana" w:cs="Times New Roman"/>
          <w:i/>
          <w:color w:val="000000"/>
          <w:sz w:val="20"/>
          <w:szCs w:val="20"/>
          <w:lang w:eastAsia="es-CR"/>
        </w:rPr>
        <w:t>Constitución de Salta</w:t>
      </w:r>
      <w:r w:rsidRPr="00A95802">
        <w:rPr>
          <w:rFonts w:ascii="Verdana" w:eastAsia="Times New Roman" w:hAnsi="Verdana" w:cs="Times New Roman"/>
          <w:color w:val="000000"/>
          <w:sz w:val="20"/>
          <w:szCs w:val="20"/>
          <w:lang w:eastAsia="es-CR"/>
        </w:rPr>
        <w:t>. El artículo 15 en su redacción actual, en lo pertinente, reconoce la “</w:t>
      </w:r>
      <w:r w:rsidRPr="00A95802">
        <w:rPr>
          <w:rFonts w:ascii="Verdana" w:hAnsi="Verdana"/>
          <w:sz w:val="20"/>
          <w:szCs w:val="20"/>
        </w:rPr>
        <w:t>posesión y propiedad comunitaria [de pueblos indígenas] de las tierras fiscales que tradicionalmente ocupan”.</w:t>
      </w:r>
      <w:r w:rsidRPr="00A95802">
        <w:rPr>
          <w:rFonts w:ascii="Verdana" w:hAnsi="Verdana" w:cs="Tahoma"/>
          <w:sz w:val="20"/>
          <w:szCs w:val="20"/>
        </w:rPr>
        <w:t xml:space="preserve"> </w:t>
      </w:r>
      <w:r w:rsidRPr="00A95802">
        <w:rPr>
          <w:rFonts w:ascii="Verdana" w:hAnsi="Verdana" w:cs="Arial"/>
          <w:sz w:val="20"/>
          <w:szCs w:val="20"/>
          <w:lang w:val="es-AR"/>
        </w:rPr>
        <w:t xml:space="preserve">En 2000 Salta adoptó la </w:t>
      </w:r>
      <w:r w:rsidRPr="00A95802">
        <w:rPr>
          <w:rFonts w:ascii="Verdana" w:hAnsi="Verdana" w:cs="Arial"/>
          <w:i/>
          <w:sz w:val="20"/>
          <w:szCs w:val="20"/>
          <w:lang w:val="es-AR"/>
        </w:rPr>
        <w:t>ley 7.121</w:t>
      </w:r>
      <w:r w:rsidRPr="00A95802">
        <w:rPr>
          <w:rFonts w:ascii="Verdana" w:hAnsi="Verdana"/>
          <w:sz w:val="20"/>
          <w:szCs w:val="20"/>
          <w:lang w:val="es-AR"/>
        </w:rPr>
        <w:t xml:space="preserve">, llamada </w:t>
      </w:r>
      <w:r w:rsidRPr="00A95802">
        <w:rPr>
          <w:rFonts w:ascii="Verdana" w:hAnsi="Verdana"/>
          <w:i/>
          <w:sz w:val="20"/>
          <w:szCs w:val="20"/>
          <w:lang w:val="es-AR"/>
        </w:rPr>
        <w:t xml:space="preserve">De Desarrollo de los Pueblos Indígenas de Salta. </w:t>
      </w:r>
      <w:r w:rsidRPr="00A95802">
        <w:rPr>
          <w:rFonts w:ascii="Verdana" w:hAnsi="Verdana"/>
          <w:sz w:val="20"/>
          <w:szCs w:val="20"/>
          <w:lang w:val="es-AR"/>
        </w:rPr>
        <w:t xml:space="preserve">Creó el Instituto Provincial de Pueblos Indígenas de Salta (IPPIS). Contiene un capítulo sobre adjudicación de tierras cuyos artículos tienen un texto similar a los artículos respectivos de la ley 6.373. </w:t>
      </w:r>
      <w:r w:rsidRPr="00A95802">
        <w:rPr>
          <w:rFonts w:ascii="Verdana" w:eastAsia="Times New Roman" w:hAnsi="Verdana" w:cs="Times New Roman"/>
          <w:color w:val="000000"/>
          <w:sz w:val="20"/>
          <w:szCs w:val="20"/>
          <w:lang w:eastAsia="es-CR"/>
        </w:rPr>
        <w:t xml:space="preserve">En 2011 se dictó el </w:t>
      </w:r>
      <w:r w:rsidRPr="00A95802">
        <w:rPr>
          <w:rFonts w:ascii="Verdana" w:eastAsia="Times New Roman" w:hAnsi="Verdana" w:cs="Times New Roman"/>
          <w:i/>
          <w:color w:val="000000"/>
          <w:sz w:val="20"/>
          <w:szCs w:val="20"/>
          <w:lang w:eastAsia="es-CR"/>
        </w:rPr>
        <w:t xml:space="preserve">Decreto </w:t>
      </w:r>
      <w:r w:rsidRPr="00A95802">
        <w:rPr>
          <w:rFonts w:ascii="Verdana" w:hAnsi="Verdana" w:cs="Arial"/>
          <w:i/>
          <w:sz w:val="20"/>
          <w:szCs w:val="20"/>
          <w:lang w:val="es-AR"/>
        </w:rPr>
        <w:t>3459/11</w:t>
      </w:r>
      <w:r w:rsidRPr="00A95802">
        <w:rPr>
          <w:rFonts w:ascii="Verdana" w:hAnsi="Verdana" w:cs="Arial"/>
          <w:sz w:val="20"/>
          <w:szCs w:val="20"/>
          <w:lang w:val="es-AR"/>
        </w:rPr>
        <w:t>, por el que se aprobó un convenio de cooperación entre</w:t>
      </w:r>
      <w:r w:rsidRPr="00A95802">
        <w:rPr>
          <w:rFonts w:ascii="Verdana" w:hAnsi="Verdana" w:cs="Arial Narrow"/>
          <w:sz w:val="20"/>
          <w:szCs w:val="20"/>
          <w:lang w:val="es-AR"/>
        </w:rPr>
        <w:t xml:space="preserve"> el Ministerio de Desarrollo Humano provincial y el INAI. </w:t>
      </w:r>
      <w:r w:rsidRPr="00A95802">
        <w:rPr>
          <w:rFonts w:ascii="Verdana" w:eastAsia="Times New Roman" w:hAnsi="Verdana" w:cs="Times New Roman"/>
          <w:color w:val="000000"/>
          <w:sz w:val="20"/>
          <w:szCs w:val="20"/>
          <w:lang w:eastAsia="es-CR"/>
        </w:rPr>
        <w:t xml:space="preserve">En 2014, se dictó el </w:t>
      </w:r>
      <w:r w:rsidRPr="00A95802">
        <w:rPr>
          <w:rFonts w:ascii="Verdana" w:eastAsia="Times New Roman" w:hAnsi="Verdana" w:cs="Times New Roman"/>
          <w:i/>
          <w:color w:val="000000"/>
          <w:sz w:val="20"/>
          <w:szCs w:val="20"/>
          <w:lang w:eastAsia="es-CR"/>
        </w:rPr>
        <w:t>Decreto 3505/14</w:t>
      </w:r>
      <w:r w:rsidRPr="00A95802">
        <w:rPr>
          <w:rFonts w:ascii="Verdana" w:eastAsia="Times New Roman" w:hAnsi="Verdana" w:cs="Times New Roman"/>
          <w:color w:val="000000"/>
          <w:sz w:val="20"/>
          <w:szCs w:val="20"/>
          <w:lang w:eastAsia="es-CR"/>
        </w:rPr>
        <w:t xml:space="preserve"> con el objetivo de “</w:t>
      </w:r>
      <w:r w:rsidRPr="00A95802">
        <w:rPr>
          <w:rFonts w:ascii="Verdana" w:hAnsi="Verdana"/>
          <w:sz w:val="20"/>
          <w:szCs w:val="20"/>
          <w:lang w:val="es-AR"/>
        </w:rPr>
        <w:t xml:space="preserve">profundizar el proceso de regularización […] con el propósito de garantizar el reconocimiento de la propiedad de las comunidades”. </w:t>
      </w:r>
      <w:r>
        <w:rPr>
          <w:rFonts w:ascii="Verdana" w:hAnsi="Verdana"/>
          <w:sz w:val="20"/>
          <w:szCs w:val="20"/>
          <w:lang w:val="es-AR"/>
        </w:rPr>
        <w:t>D</w:t>
      </w:r>
      <w:r w:rsidRPr="00A95802">
        <w:rPr>
          <w:rFonts w:ascii="Verdana" w:hAnsi="Verdana"/>
          <w:sz w:val="20"/>
          <w:szCs w:val="20"/>
          <w:lang w:val="es-AR"/>
        </w:rPr>
        <w:t>ispuso la creación de la “Unidad Ejecutora Provincial para el Relevamiento Territorial de Comunidades Indígenas de la Provincia de Salta (U.E.P.Re.Te.C.I.)”</w:t>
      </w:r>
      <w:r>
        <w:rPr>
          <w:rFonts w:ascii="Verdana" w:hAnsi="Verdana"/>
          <w:sz w:val="20"/>
          <w:szCs w:val="20"/>
          <w:lang w:val="es-AR"/>
        </w:rPr>
        <w:t>, a fin de “coordinar” acciones entre la Nación y la Provincia para el “relevamiento” de “tierras ocupadas por las comunidades indígenas”</w:t>
      </w:r>
      <w:r w:rsidRPr="00A95802">
        <w:rPr>
          <w:rFonts w:ascii="Verdana" w:hAnsi="Verdana"/>
          <w:sz w:val="20"/>
          <w:szCs w:val="20"/>
          <w:lang w:val="es-AR"/>
        </w:rPr>
        <w:t xml:space="preserve">. </w:t>
      </w:r>
    </w:p>
    <w:p w14:paraId="6F639590" w14:textId="77777777" w:rsidR="009805F2" w:rsidRPr="0018741E" w:rsidRDefault="009805F2" w:rsidP="009805F2">
      <w:pPr>
        <w:tabs>
          <w:tab w:val="left" w:pos="2910"/>
        </w:tabs>
        <w:spacing w:after="0" w:line="240" w:lineRule="auto"/>
        <w:ind w:right="288"/>
        <w:jc w:val="both"/>
        <w:rPr>
          <w:rFonts w:ascii="Verdana" w:hAnsi="Verdana"/>
          <w:b/>
          <w:sz w:val="16"/>
          <w:szCs w:val="16"/>
          <w:lang w:val="es-ES"/>
        </w:rPr>
      </w:pPr>
      <w:r>
        <w:rPr>
          <w:rFonts w:ascii="Verdana" w:hAnsi="Verdana"/>
          <w:b/>
          <w:sz w:val="16"/>
          <w:szCs w:val="16"/>
          <w:lang w:val="es-ES"/>
        </w:rPr>
        <w:tab/>
      </w:r>
    </w:p>
    <w:p w14:paraId="5A6DAA93" w14:textId="77777777" w:rsidR="009805F2" w:rsidRDefault="009805F2" w:rsidP="009805F2">
      <w:pPr>
        <w:pStyle w:val="Prrafodelista"/>
        <w:numPr>
          <w:ilvl w:val="0"/>
          <w:numId w:val="14"/>
        </w:numPr>
        <w:spacing w:after="0" w:line="240" w:lineRule="auto"/>
        <w:ind w:left="284" w:firstLine="0"/>
        <w:jc w:val="both"/>
        <w:outlineLvl w:val="1"/>
        <w:rPr>
          <w:rFonts w:ascii="Verdana" w:hAnsi="Verdana"/>
          <w:b/>
          <w:i/>
          <w:sz w:val="20"/>
          <w:szCs w:val="20"/>
          <w:u w:val="single"/>
          <w:lang w:val="es-CR"/>
        </w:rPr>
      </w:pPr>
      <w:bookmarkStart w:id="72" w:name="_Toc22224867"/>
      <w:bookmarkStart w:id="73" w:name="_Toc32218829"/>
      <w:bookmarkStart w:id="74" w:name="_Toc32227099"/>
      <w:bookmarkStart w:id="75" w:name="_Toc34337528"/>
      <w:r w:rsidRPr="009B7988">
        <w:rPr>
          <w:rFonts w:ascii="Verdana" w:hAnsi="Verdana"/>
          <w:b/>
          <w:i/>
          <w:sz w:val="20"/>
          <w:szCs w:val="20"/>
          <w:u w:val="single"/>
          <w:lang w:val="es-CR"/>
        </w:rPr>
        <w:t xml:space="preserve">Reclamos </w:t>
      </w:r>
      <w:r>
        <w:rPr>
          <w:rFonts w:ascii="Verdana" w:hAnsi="Verdana"/>
          <w:b/>
          <w:i/>
          <w:sz w:val="20"/>
          <w:szCs w:val="20"/>
          <w:u w:val="single"/>
          <w:lang w:val="es-CR"/>
        </w:rPr>
        <w:t>t</w:t>
      </w:r>
      <w:r w:rsidRPr="009B7988">
        <w:rPr>
          <w:rFonts w:ascii="Verdana" w:hAnsi="Verdana"/>
          <w:b/>
          <w:i/>
          <w:sz w:val="20"/>
          <w:szCs w:val="20"/>
          <w:u w:val="single"/>
          <w:lang w:val="es-CR"/>
        </w:rPr>
        <w:t>erritoriales</w:t>
      </w:r>
      <w:r>
        <w:rPr>
          <w:rFonts w:ascii="Verdana" w:hAnsi="Verdana"/>
          <w:b/>
          <w:i/>
          <w:sz w:val="20"/>
          <w:szCs w:val="20"/>
          <w:u w:val="single"/>
          <w:lang w:val="es-CR"/>
        </w:rPr>
        <w:t xml:space="preserve"> indígenas</w:t>
      </w:r>
      <w:bookmarkEnd w:id="72"/>
      <w:r>
        <w:rPr>
          <w:rFonts w:ascii="Verdana" w:hAnsi="Verdana"/>
          <w:b/>
          <w:i/>
          <w:sz w:val="20"/>
          <w:szCs w:val="20"/>
          <w:u w:val="single"/>
          <w:lang w:val="es-CR"/>
        </w:rPr>
        <w:t xml:space="preserve"> en el caso</w:t>
      </w:r>
      <w:bookmarkEnd w:id="73"/>
      <w:bookmarkEnd w:id="74"/>
      <w:bookmarkEnd w:id="75"/>
      <w:r w:rsidRPr="009B7988">
        <w:rPr>
          <w:rFonts w:ascii="Verdana" w:hAnsi="Verdana"/>
          <w:b/>
          <w:i/>
          <w:sz w:val="20"/>
          <w:szCs w:val="20"/>
          <w:u w:val="single"/>
          <w:lang w:val="es-CR"/>
        </w:rPr>
        <w:t xml:space="preserve"> </w:t>
      </w:r>
    </w:p>
    <w:p w14:paraId="3C35AD95" w14:textId="77777777" w:rsidR="009805F2" w:rsidRPr="00A95802" w:rsidRDefault="009805F2" w:rsidP="009805F2">
      <w:pPr>
        <w:pStyle w:val="Prrafodelista"/>
        <w:spacing w:after="0" w:line="240" w:lineRule="auto"/>
        <w:ind w:left="0"/>
        <w:jc w:val="both"/>
        <w:rPr>
          <w:rFonts w:ascii="Verdana" w:hAnsi="Verdana"/>
          <w:sz w:val="20"/>
          <w:szCs w:val="20"/>
          <w:lang w:val="es-ES"/>
        </w:rPr>
      </w:pPr>
    </w:p>
    <w:p w14:paraId="72510158" w14:textId="76667044" w:rsidR="009805F2" w:rsidRPr="00A95802" w:rsidRDefault="009805F2" w:rsidP="009805F2">
      <w:pPr>
        <w:pStyle w:val="Prrafodelista"/>
        <w:numPr>
          <w:ilvl w:val="0"/>
          <w:numId w:val="1"/>
        </w:numPr>
        <w:spacing w:after="0" w:line="240" w:lineRule="auto"/>
        <w:ind w:left="0" w:firstLine="0"/>
        <w:jc w:val="both"/>
        <w:rPr>
          <w:rFonts w:ascii="Verdana" w:hAnsi="Verdana"/>
          <w:sz w:val="20"/>
          <w:szCs w:val="20"/>
          <w:lang w:val="es-ES"/>
        </w:rPr>
      </w:pPr>
      <w:r w:rsidRPr="00A95802">
        <w:rPr>
          <w:rFonts w:ascii="Verdana" w:hAnsi="Verdana"/>
          <w:sz w:val="20"/>
          <w:szCs w:val="20"/>
          <w:lang w:val="es-CR"/>
        </w:rPr>
        <w:t xml:space="preserve">La Corte dará cuenta a continuación de las incidencias que siguió el reclamo indígena sobre la tierra. A efectos de una mayor claridad en la exposición, </w:t>
      </w:r>
      <w:r>
        <w:rPr>
          <w:rFonts w:ascii="Verdana" w:hAnsi="Verdana"/>
          <w:sz w:val="20"/>
          <w:szCs w:val="20"/>
          <w:lang w:val="es-CR"/>
        </w:rPr>
        <w:t>se</w:t>
      </w:r>
      <w:r w:rsidRPr="00A95802">
        <w:rPr>
          <w:rFonts w:ascii="Verdana" w:hAnsi="Verdana"/>
          <w:sz w:val="20"/>
          <w:szCs w:val="20"/>
          <w:lang w:val="es-CR"/>
        </w:rPr>
        <w:t xml:space="preserve"> dividirá</w:t>
      </w:r>
      <w:r>
        <w:rPr>
          <w:rFonts w:ascii="Verdana" w:hAnsi="Verdana"/>
          <w:sz w:val="20"/>
          <w:szCs w:val="20"/>
          <w:lang w:val="es-CR"/>
        </w:rPr>
        <w:t>n</w:t>
      </w:r>
      <w:r w:rsidRPr="00A95802">
        <w:rPr>
          <w:rFonts w:ascii="Verdana" w:hAnsi="Verdana"/>
          <w:sz w:val="20"/>
          <w:szCs w:val="20"/>
          <w:lang w:val="es-CR"/>
        </w:rPr>
        <w:t xml:space="preserve"> las circunstancias acaecidas durante cerca de 35 años (contando los primeros antecedentes) </w:t>
      </w:r>
      <w:r>
        <w:rPr>
          <w:rFonts w:ascii="Verdana" w:hAnsi="Verdana"/>
          <w:sz w:val="20"/>
          <w:szCs w:val="20"/>
          <w:lang w:val="es-CR"/>
        </w:rPr>
        <w:t xml:space="preserve">en </w:t>
      </w:r>
      <w:r w:rsidRPr="00A95802">
        <w:rPr>
          <w:rFonts w:ascii="Verdana" w:hAnsi="Verdana"/>
          <w:sz w:val="20"/>
          <w:szCs w:val="20"/>
          <w:lang w:val="es-CR"/>
        </w:rPr>
        <w:t>etapas o fases. Las mismas responden, conforme ha podido notar este Tribunal, a modificaciones en el tipo de políticas estatales respecto a la propiedad indígena. Así, se expondrá: a) una primera fase (antes de 1999</w:t>
      </w:r>
      <w:r>
        <w:rPr>
          <w:rFonts w:ascii="Verdana" w:hAnsi="Verdana"/>
          <w:sz w:val="20"/>
          <w:szCs w:val="20"/>
          <w:lang w:val="es-CR"/>
        </w:rPr>
        <w:t>)</w:t>
      </w:r>
      <w:r w:rsidRPr="00A95802">
        <w:rPr>
          <w:rFonts w:ascii="Verdana" w:hAnsi="Verdana"/>
          <w:sz w:val="20"/>
          <w:szCs w:val="20"/>
          <w:lang w:val="es-CR"/>
        </w:rPr>
        <w:t>, en que el Estado recib</w:t>
      </w:r>
      <w:r>
        <w:rPr>
          <w:rFonts w:ascii="Verdana" w:hAnsi="Verdana"/>
          <w:sz w:val="20"/>
          <w:szCs w:val="20"/>
          <w:lang w:val="es-CR"/>
        </w:rPr>
        <w:t>ió</w:t>
      </w:r>
      <w:r w:rsidRPr="00A95802">
        <w:rPr>
          <w:rFonts w:ascii="Verdana" w:hAnsi="Verdana"/>
          <w:sz w:val="20"/>
          <w:szCs w:val="20"/>
          <w:lang w:val="es-CR"/>
        </w:rPr>
        <w:t xml:space="preserve"> los primeros reclamos y avanz</w:t>
      </w:r>
      <w:r>
        <w:rPr>
          <w:rFonts w:ascii="Verdana" w:hAnsi="Verdana"/>
          <w:sz w:val="20"/>
          <w:szCs w:val="20"/>
          <w:lang w:val="es-CR"/>
        </w:rPr>
        <w:t>ó</w:t>
      </w:r>
      <w:r w:rsidRPr="00A95802">
        <w:rPr>
          <w:rFonts w:ascii="Verdana" w:hAnsi="Verdana"/>
          <w:sz w:val="20"/>
          <w:szCs w:val="20"/>
          <w:lang w:val="es-CR"/>
        </w:rPr>
        <w:t xml:space="preserve"> hacia un reconocimiento unificado de la propiedad; b) una segunda fase (1999 -</w:t>
      </w:r>
      <w:r w:rsidR="00560F37">
        <w:rPr>
          <w:rFonts w:ascii="Verdana" w:hAnsi="Verdana"/>
          <w:sz w:val="20"/>
          <w:szCs w:val="20"/>
          <w:lang w:val="es-CR"/>
        </w:rPr>
        <w:t xml:space="preserve"> </w:t>
      </w:r>
      <w:r w:rsidRPr="00A95802">
        <w:rPr>
          <w:rFonts w:ascii="Verdana" w:hAnsi="Verdana"/>
          <w:sz w:val="20"/>
          <w:szCs w:val="20"/>
          <w:lang w:val="es-CR"/>
        </w:rPr>
        <w:t>2004), en que la política estatal se orientó hacia un reconocimiento fraccionado de la propiedad; c) una tercera fase (2005 y 2006), signada por la realización de un referéndum respecto a la propiedad y la creación de una entidad estatal específica para implementar acciones referidas a la tierra, y d) una cuarta fase (a partir de 2007), en que se desarrollan acuerdos entre criollos e indígenas y se efectúan acciones tendientes a su implementación.</w:t>
      </w:r>
    </w:p>
    <w:p w14:paraId="0C7AA3D2" w14:textId="77777777" w:rsidR="00614034" w:rsidRDefault="00614034" w:rsidP="009805F2">
      <w:pPr>
        <w:spacing w:after="0" w:line="240" w:lineRule="auto"/>
        <w:jc w:val="both"/>
        <w:rPr>
          <w:rFonts w:ascii="Verdana" w:hAnsi="Verdana"/>
          <w:b/>
          <w:i/>
          <w:sz w:val="20"/>
          <w:szCs w:val="20"/>
          <w:u w:val="single"/>
          <w:lang w:val="es-ES"/>
        </w:rPr>
      </w:pPr>
    </w:p>
    <w:p w14:paraId="25FF17DF" w14:textId="77777777" w:rsidR="009805F2" w:rsidRPr="002A21F3" w:rsidRDefault="009805F2" w:rsidP="009805F2">
      <w:pPr>
        <w:pStyle w:val="Prrafodelista"/>
        <w:spacing w:after="0" w:line="240" w:lineRule="auto"/>
        <w:ind w:left="567"/>
        <w:jc w:val="both"/>
        <w:outlineLvl w:val="2"/>
        <w:rPr>
          <w:rFonts w:ascii="Verdana" w:hAnsi="Verdana"/>
          <w:b/>
          <w:sz w:val="20"/>
          <w:szCs w:val="20"/>
          <w:lang w:val="es-CR"/>
        </w:rPr>
      </w:pPr>
      <w:bookmarkStart w:id="76" w:name="_Toc22224868"/>
      <w:bookmarkStart w:id="77" w:name="_Toc32218830"/>
      <w:bookmarkStart w:id="78" w:name="_Toc32227100"/>
      <w:bookmarkStart w:id="79" w:name="_Toc34337529"/>
      <w:r w:rsidRPr="002A21F3">
        <w:rPr>
          <w:rFonts w:ascii="Verdana" w:hAnsi="Verdana"/>
          <w:b/>
          <w:i/>
          <w:sz w:val="20"/>
          <w:szCs w:val="20"/>
          <w:lang w:val="es-CR"/>
        </w:rPr>
        <w:t>C.1 Primera fase (antes de 1999): primeros reclamos y compromisos de titulación</w:t>
      </w:r>
      <w:bookmarkEnd w:id="76"/>
      <w:bookmarkEnd w:id="77"/>
      <w:bookmarkEnd w:id="78"/>
      <w:bookmarkEnd w:id="79"/>
    </w:p>
    <w:p w14:paraId="46437F1B" w14:textId="77777777" w:rsidR="009805F2" w:rsidRPr="006732F5" w:rsidRDefault="009805F2" w:rsidP="009805F2">
      <w:pPr>
        <w:tabs>
          <w:tab w:val="left" w:pos="2229"/>
        </w:tabs>
        <w:spacing w:after="0" w:line="240" w:lineRule="auto"/>
        <w:jc w:val="both"/>
        <w:rPr>
          <w:rFonts w:ascii="Verdana" w:hAnsi="Verdana"/>
          <w:sz w:val="20"/>
          <w:szCs w:val="20"/>
        </w:rPr>
      </w:pPr>
      <w:r>
        <w:rPr>
          <w:rFonts w:ascii="Verdana" w:hAnsi="Verdana"/>
          <w:sz w:val="20"/>
          <w:szCs w:val="20"/>
        </w:rPr>
        <w:tab/>
      </w:r>
    </w:p>
    <w:p w14:paraId="26701862" w14:textId="093648EA" w:rsidR="009805F2" w:rsidRPr="002E07B4" w:rsidRDefault="009805F2" w:rsidP="009805F2">
      <w:pPr>
        <w:pStyle w:val="Prrafodelista"/>
        <w:numPr>
          <w:ilvl w:val="0"/>
          <w:numId w:val="1"/>
        </w:numPr>
        <w:spacing w:after="0" w:line="240" w:lineRule="auto"/>
        <w:ind w:left="0" w:firstLine="0"/>
        <w:jc w:val="both"/>
        <w:rPr>
          <w:rFonts w:ascii="Verdana" w:hAnsi="Verdana"/>
          <w:sz w:val="20"/>
          <w:szCs w:val="20"/>
          <w:lang w:val="es-ES"/>
        </w:rPr>
      </w:pPr>
      <w:r>
        <w:rPr>
          <w:rFonts w:ascii="Verdana" w:hAnsi="Verdana"/>
          <w:sz w:val="20"/>
          <w:szCs w:val="20"/>
          <w:lang w:val="es-ES"/>
        </w:rPr>
        <w:t>Como antecedente a los hechos del caso consta que e</w:t>
      </w:r>
      <w:r w:rsidRPr="0073341B">
        <w:rPr>
          <w:rFonts w:ascii="Verdana" w:hAnsi="Verdana"/>
          <w:sz w:val="20"/>
          <w:szCs w:val="20"/>
          <w:lang w:val="es-ES"/>
        </w:rPr>
        <w:t xml:space="preserve">l 26 de junio de 1984 comunidades indígenas </w:t>
      </w:r>
      <w:r>
        <w:rPr>
          <w:rFonts w:ascii="Verdana" w:hAnsi="Verdana"/>
          <w:sz w:val="20"/>
          <w:szCs w:val="20"/>
          <w:lang w:val="es-ES"/>
        </w:rPr>
        <w:t xml:space="preserve">asentadas en </w:t>
      </w:r>
      <w:r w:rsidRPr="0073341B">
        <w:rPr>
          <w:rFonts w:ascii="Verdana" w:hAnsi="Verdana"/>
          <w:sz w:val="20"/>
          <w:szCs w:val="20"/>
          <w:lang w:val="es-ES"/>
        </w:rPr>
        <w:t xml:space="preserve">los </w:t>
      </w:r>
      <w:r>
        <w:rPr>
          <w:rFonts w:ascii="Verdana" w:hAnsi="Verdana"/>
          <w:sz w:val="20"/>
          <w:szCs w:val="20"/>
          <w:lang w:val="es-ES"/>
        </w:rPr>
        <w:t>l</w:t>
      </w:r>
      <w:r w:rsidRPr="0073341B">
        <w:rPr>
          <w:rFonts w:ascii="Verdana" w:hAnsi="Verdana"/>
          <w:sz w:val="20"/>
          <w:szCs w:val="20"/>
          <w:lang w:val="es-ES"/>
        </w:rPr>
        <w:t xml:space="preserve">otes </w:t>
      </w:r>
      <w:r>
        <w:rPr>
          <w:rFonts w:ascii="Verdana" w:hAnsi="Verdana"/>
          <w:sz w:val="20"/>
          <w:szCs w:val="20"/>
          <w:lang w:val="es-ES"/>
        </w:rPr>
        <w:t xml:space="preserve">14 y </w:t>
      </w:r>
      <w:r w:rsidRPr="0073341B">
        <w:rPr>
          <w:rFonts w:ascii="Verdana" w:hAnsi="Verdana"/>
          <w:sz w:val="20"/>
          <w:szCs w:val="20"/>
          <w:lang w:val="es-ES"/>
        </w:rPr>
        <w:t xml:space="preserve">55, en una </w:t>
      </w:r>
      <w:r w:rsidR="00560F37">
        <w:rPr>
          <w:rFonts w:ascii="Verdana" w:hAnsi="Verdana"/>
          <w:sz w:val="20"/>
          <w:szCs w:val="20"/>
          <w:lang w:val="es-ES"/>
        </w:rPr>
        <w:t>“Declaración conjunta”, solicitaron</w:t>
      </w:r>
      <w:r w:rsidRPr="0073341B">
        <w:rPr>
          <w:rFonts w:ascii="Verdana" w:hAnsi="Verdana"/>
          <w:sz w:val="20"/>
          <w:szCs w:val="20"/>
          <w:lang w:val="es-ES"/>
        </w:rPr>
        <w:t xml:space="preserve"> a Salta la titulación de la tierra a su favor y se opusieron a la parcelación del territorio</w:t>
      </w:r>
      <w:r w:rsidRPr="00C05164">
        <w:rPr>
          <w:rStyle w:val="Refdenotaalpie"/>
          <w:lang w:val="es-ES"/>
        </w:rPr>
        <w:footnoteReference w:id="46"/>
      </w:r>
      <w:r>
        <w:rPr>
          <w:rFonts w:ascii="Verdana" w:hAnsi="Verdana"/>
          <w:sz w:val="20"/>
          <w:szCs w:val="20"/>
          <w:lang w:val="es-ES"/>
        </w:rPr>
        <w:t>.</w:t>
      </w:r>
    </w:p>
    <w:p w14:paraId="35643ED2" w14:textId="77777777" w:rsidR="009805F2" w:rsidRDefault="009805F2" w:rsidP="009805F2">
      <w:pPr>
        <w:pStyle w:val="Prrafodelista"/>
        <w:spacing w:after="0" w:line="240" w:lineRule="auto"/>
        <w:ind w:left="0"/>
        <w:jc w:val="both"/>
        <w:rPr>
          <w:rFonts w:ascii="Verdana" w:hAnsi="Verdana"/>
          <w:sz w:val="20"/>
          <w:szCs w:val="20"/>
          <w:lang w:val="es-ES"/>
        </w:rPr>
      </w:pPr>
    </w:p>
    <w:p w14:paraId="61CAC23F" w14:textId="77777777" w:rsidR="009805F2" w:rsidRPr="00A95802" w:rsidRDefault="009805F2" w:rsidP="009805F2">
      <w:pPr>
        <w:pStyle w:val="Prrafodelista"/>
        <w:numPr>
          <w:ilvl w:val="0"/>
          <w:numId w:val="1"/>
        </w:numPr>
        <w:spacing w:after="0" w:line="240" w:lineRule="auto"/>
        <w:ind w:left="0" w:firstLine="0"/>
        <w:jc w:val="both"/>
        <w:rPr>
          <w:rFonts w:ascii="Verdana" w:hAnsi="Verdana"/>
          <w:sz w:val="20"/>
          <w:szCs w:val="20"/>
          <w:lang w:val="es-ES"/>
        </w:rPr>
      </w:pPr>
      <w:r w:rsidRPr="00A95802">
        <w:rPr>
          <w:rFonts w:ascii="Verdana" w:hAnsi="Verdana"/>
          <w:sz w:val="20"/>
          <w:szCs w:val="20"/>
          <w:lang w:val="es-MX"/>
        </w:rPr>
        <w:t>En 1987 el Estado provincial d</w:t>
      </w:r>
      <w:r>
        <w:rPr>
          <w:rFonts w:ascii="Verdana" w:hAnsi="Verdana"/>
          <w:sz w:val="20"/>
          <w:szCs w:val="20"/>
          <w:lang w:val="es-MX"/>
        </w:rPr>
        <w:t>ispuso</w:t>
      </w:r>
      <w:r w:rsidRPr="00A95802">
        <w:rPr>
          <w:rFonts w:ascii="Verdana" w:hAnsi="Verdana"/>
          <w:sz w:val="20"/>
          <w:szCs w:val="20"/>
          <w:lang w:val="es-MX"/>
        </w:rPr>
        <w:t xml:space="preserve"> reconocer</w:t>
      </w:r>
      <w:r>
        <w:rPr>
          <w:rFonts w:ascii="Verdana" w:hAnsi="Verdana"/>
          <w:sz w:val="20"/>
          <w:szCs w:val="20"/>
          <w:lang w:val="es-MX"/>
        </w:rPr>
        <w:t xml:space="preserve"> la</w:t>
      </w:r>
      <w:r w:rsidRPr="00A95802">
        <w:rPr>
          <w:rFonts w:ascii="Verdana" w:hAnsi="Verdana"/>
          <w:sz w:val="20"/>
          <w:szCs w:val="20"/>
          <w:lang w:val="es-MX"/>
        </w:rPr>
        <w:t xml:space="preserve"> propiedad a “ocupantes” del lote 55, cualquiera fuera su “condición” (o sea, tanto criollos como indígenas), que cumplieran determinados requisitos</w:t>
      </w:r>
      <w:r>
        <w:rPr>
          <w:rStyle w:val="Refdenotaalpie"/>
          <w:lang w:val="es-MX"/>
        </w:rPr>
        <w:footnoteReference w:id="47"/>
      </w:r>
      <w:r w:rsidRPr="00A95802">
        <w:rPr>
          <w:rFonts w:ascii="Verdana" w:hAnsi="Verdana"/>
          <w:sz w:val="20"/>
          <w:szCs w:val="20"/>
          <w:lang w:val="es-MX"/>
        </w:rPr>
        <w:t>.</w:t>
      </w:r>
    </w:p>
    <w:p w14:paraId="3A8AE16D" w14:textId="77777777" w:rsidR="009805F2" w:rsidRPr="00115431" w:rsidRDefault="009805F2" w:rsidP="009805F2">
      <w:pPr>
        <w:pStyle w:val="Prrafodelista"/>
        <w:spacing w:line="240" w:lineRule="auto"/>
        <w:ind w:left="0"/>
        <w:rPr>
          <w:rFonts w:ascii="Verdana" w:hAnsi="Verdana"/>
          <w:sz w:val="20"/>
          <w:szCs w:val="20"/>
          <w:lang w:val="es-ES"/>
        </w:rPr>
      </w:pPr>
    </w:p>
    <w:p w14:paraId="7CF6D3B5" w14:textId="77777777" w:rsidR="009805F2" w:rsidRPr="00115431" w:rsidRDefault="009805F2" w:rsidP="009805F2">
      <w:pPr>
        <w:pStyle w:val="Prrafodelista"/>
        <w:numPr>
          <w:ilvl w:val="0"/>
          <w:numId w:val="1"/>
        </w:numPr>
        <w:spacing w:after="0" w:line="240" w:lineRule="auto"/>
        <w:ind w:left="0" w:firstLine="0"/>
        <w:jc w:val="both"/>
        <w:rPr>
          <w:rFonts w:ascii="Verdana" w:hAnsi="Verdana"/>
          <w:sz w:val="20"/>
          <w:szCs w:val="20"/>
          <w:lang w:val="es-ES"/>
        </w:rPr>
      </w:pPr>
      <w:r w:rsidRPr="00115431">
        <w:rPr>
          <w:rFonts w:ascii="Verdana" w:hAnsi="Verdana"/>
          <w:sz w:val="20"/>
          <w:szCs w:val="20"/>
          <w:lang w:val="es-ES"/>
        </w:rPr>
        <w:t>El 28 de julio de 1991</w:t>
      </w:r>
      <w:r>
        <w:rPr>
          <w:rFonts w:ascii="Verdana" w:hAnsi="Verdana"/>
          <w:sz w:val="20"/>
          <w:szCs w:val="20"/>
          <w:lang w:val="es-ES"/>
        </w:rPr>
        <w:t>,</w:t>
      </w:r>
      <w:r w:rsidRPr="00115431">
        <w:rPr>
          <w:rFonts w:ascii="Verdana" w:hAnsi="Verdana"/>
          <w:sz w:val="20"/>
          <w:szCs w:val="20"/>
          <w:lang w:val="es-ES"/>
        </w:rPr>
        <w:t xml:space="preserve"> 27 comunidades indígenas asentadas en el </w:t>
      </w:r>
      <w:r>
        <w:rPr>
          <w:rFonts w:ascii="Verdana" w:hAnsi="Verdana"/>
          <w:sz w:val="20"/>
          <w:szCs w:val="20"/>
          <w:lang w:val="es-ES"/>
        </w:rPr>
        <w:t>l</w:t>
      </w:r>
      <w:r w:rsidRPr="00115431">
        <w:rPr>
          <w:rFonts w:ascii="Verdana" w:hAnsi="Verdana"/>
          <w:sz w:val="20"/>
          <w:szCs w:val="20"/>
          <w:lang w:val="es-ES"/>
        </w:rPr>
        <w:t>ote 55 presentaron a</w:t>
      </w:r>
      <w:r>
        <w:rPr>
          <w:rFonts w:ascii="Verdana" w:hAnsi="Verdana"/>
          <w:sz w:val="20"/>
          <w:szCs w:val="20"/>
          <w:lang w:val="es-ES"/>
        </w:rPr>
        <w:t xml:space="preserve"> </w:t>
      </w:r>
      <w:r w:rsidRPr="00115431">
        <w:rPr>
          <w:rFonts w:ascii="Verdana" w:hAnsi="Verdana"/>
          <w:sz w:val="20"/>
          <w:szCs w:val="20"/>
          <w:lang w:val="es-ES"/>
        </w:rPr>
        <w:t xml:space="preserve">Salta un reclamo </w:t>
      </w:r>
      <w:r>
        <w:rPr>
          <w:rFonts w:ascii="Verdana" w:hAnsi="Verdana"/>
          <w:sz w:val="20"/>
          <w:szCs w:val="20"/>
          <w:lang w:val="es-ES"/>
        </w:rPr>
        <w:t>formal</w:t>
      </w:r>
      <w:r w:rsidRPr="00115431">
        <w:rPr>
          <w:rFonts w:ascii="Verdana" w:hAnsi="Verdana"/>
          <w:sz w:val="20"/>
          <w:szCs w:val="20"/>
          <w:lang w:val="es-ES"/>
        </w:rPr>
        <w:t xml:space="preserve"> </w:t>
      </w:r>
      <w:r>
        <w:rPr>
          <w:rFonts w:ascii="Verdana" w:hAnsi="Verdana"/>
          <w:sz w:val="20"/>
          <w:szCs w:val="20"/>
          <w:lang w:val="es-ES"/>
        </w:rPr>
        <w:t xml:space="preserve">para </w:t>
      </w:r>
      <w:r w:rsidRPr="00115431">
        <w:rPr>
          <w:rFonts w:ascii="Verdana" w:hAnsi="Verdana"/>
          <w:sz w:val="20"/>
          <w:szCs w:val="20"/>
          <w:lang w:val="es-ES"/>
        </w:rPr>
        <w:t>la “legalización del título de propiedad de la tierra”</w:t>
      </w:r>
      <w:r w:rsidRPr="00C05164">
        <w:rPr>
          <w:rStyle w:val="Refdenotaalpie"/>
          <w:lang w:val="es-ES"/>
        </w:rPr>
        <w:footnoteReference w:id="48"/>
      </w:r>
      <w:r w:rsidRPr="00115431">
        <w:rPr>
          <w:rFonts w:ascii="Verdana" w:hAnsi="Verdana"/>
          <w:sz w:val="20"/>
          <w:szCs w:val="20"/>
          <w:lang w:val="es-ES"/>
        </w:rPr>
        <w:t xml:space="preserve">. </w:t>
      </w:r>
    </w:p>
    <w:p w14:paraId="2424C10A" w14:textId="77777777" w:rsidR="009805F2" w:rsidRPr="001D78CF" w:rsidRDefault="009805F2" w:rsidP="009805F2">
      <w:pPr>
        <w:pStyle w:val="Prrafodelista"/>
        <w:spacing w:line="240" w:lineRule="auto"/>
        <w:ind w:left="0"/>
        <w:rPr>
          <w:rFonts w:ascii="Verdana" w:hAnsi="Verdana"/>
          <w:color w:val="000000" w:themeColor="text1"/>
          <w:sz w:val="20"/>
          <w:szCs w:val="20"/>
          <w:lang w:val="es-ES"/>
        </w:rPr>
      </w:pPr>
    </w:p>
    <w:p w14:paraId="310E60E5" w14:textId="352DF58A" w:rsidR="009805F2" w:rsidRDefault="009805F2" w:rsidP="009805F2">
      <w:pPr>
        <w:pStyle w:val="Prrafodelista"/>
        <w:numPr>
          <w:ilvl w:val="0"/>
          <w:numId w:val="1"/>
        </w:numPr>
        <w:spacing w:after="0" w:line="240" w:lineRule="auto"/>
        <w:ind w:left="0" w:firstLine="0"/>
        <w:jc w:val="both"/>
        <w:rPr>
          <w:rFonts w:ascii="Verdana" w:hAnsi="Verdana"/>
          <w:sz w:val="20"/>
          <w:szCs w:val="20"/>
          <w:lang w:val="es-ES"/>
        </w:rPr>
      </w:pPr>
      <w:r w:rsidRPr="00420DCF">
        <w:rPr>
          <w:rFonts w:ascii="Verdana" w:hAnsi="Verdana"/>
          <w:color w:val="000000" w:themeColor="text1"/>
          <w:sz w:val="20"/>
          <w:szCs w:val="20"/>
          <w:lang w:val="es-ES"/>
        </w:rPr>
        <w:t xml:space="preserve">El </w:t>
      </w:r>
      <w:r>
        <w:rPr>
          <w:rFonts w:ascii="Verdana" w:hAnsi="Verdana"/>
          <w:color w:val="000000" w:themeColor="text1"/>
          <w:sz w:val="20"/>
          <w:szCs w:val="20"/>
          <w:lang w:val="es-ES"/>
        </w:rPr>
        <w:t>1</w:t>
      </w:r>
      <w:r w:rsidRPr="00420DCF">
        <w:rPr>
          <w:rFonts w:ascii="Verdana" w:hAnsi="Verdana"/>
          <w:color w:val="000000" w:themeColor="text1"/>
          <w:sz w:val="20"/>
          <w:szCs w:val="20"/>
          <w:lang w:val="es-ES"/>
        </w:rPr>
        <w:t>5 de diciembre de 1991</w:t>
      </w:r>
      <w:r>
        <w:rPr>
          <w:rFonts w:ascii="Verdana" w:hAnsi="Verdana"/>
          <w:color w:val="000000" w:themeColor="text1"/>
          <w:sz w:val="20"/>
          <w:szCs w:val="20"/>
          <w:lang w:val="es-ES"/>
        </w:rPr>
        <w:t xml:space="preserve"> </w:t>
      </w:r>
      <w:r w:rsidRPr="00420DCF">
        <w:rPr>
          <w:rFonts w:ascii="Verdana" w:hAnsi="Verdana"/>
          <w:color w:val="000000" w:themeColor="text1"/>
          <w:sz w:val="20"/>
          <w:szCs w:val="20"/>
          <w:lang w:val="es-ES"/>
        </w:rPr>
        <w:t>fue dictado el Decreto No 2609/91, de ratificación de los términos de un Acta</w:t>
      </w:r>
      <w:r>
        <w:rPr>
          <w:rFonts w:ascii="Verdana" w:hAnsi="Verdana"/>
          <w:color w:val="000000" w:themeColor="text1"/>
          <w:sz w:val="20"/>
          <w:szCs w:val="20"/>
          <w:lang w:val="es-ES"/>
        </w:rPr>
        <w:t>-</w:t>
      </w:r>
      <w:r w:rsidR="007C596A">
        <w:rPr>
          <w:rFonts w:ascii="Verdana" w:hAnsi="Verdana"/>
          <w:color w:val="000000" w:themeColor="text1"/>
          <w:sz w:val="20"/>
          <w:szCs w:val="20"/>
          <w:lang w:val="es-ES"/>
        </w:rPr>
        <w:t>Acuerdo del día</w:t>
      </w:r>
      <w:r w:rsidRPr="00420DCF">
        <w:rPr>
          <w:rFonts w:ascii="Verdana" w:hAnsi="Verdana"/>
          <w:color w:val="000000" w:themeColor="text1"/>
          <w:sz w:val="20"/>
          <w:szCs w:val="20"/>
          <w:lang w:val="es-ES"/>
        </w:rPr>
        <w:t xml:space="preserve"> 5 de</w:t>
      </w:r>
      <w:r>
        <w:rPr>
          <w:rFonts w:ascii="Verdana" w:hAnsi="Verdana"/>
          <w:color w:val="000000" w:themeColor="text1"/>
          <w:sz w:val="20"/>
          <w:szCs w:val="20"/>
          <w:lang w:val="es-ES"/>
        </w:rPr>
        <w:t xml:space="preserve"> ese mes</w:t>
      </w:r>
      <w:r w:rsidRPr="00420DCF">
        <w:rPr>
          <w:rFonts w:ascii="Verdana" w:hAnsi="Verdana"/>
          <w:color w:val="000000" w:themeColor="text1"/>
          <w:sz w:val="20"/>
          <w:szCs w:val="20"/>
          <w:lang w:val="es-ES"/>
        </w:rPr>
        <w:t xml:space="preserve">. </w:t>
      </w:r>
      <w:r>
        <w:rPr>
          <w:rFonts w:ascii="Verdana" w:hAnsi="Verdana"/>
          <w:color w:val="000000" w:themeColor="text1"/>
          <w:sz w:val="20"/>
          <w:szCs w:val="20"/>
          <w:lang w:val="es-ES"/>
        </w:rPr>
        <w:t>El Decreto e</w:t>
      </w:r>
      <w:r w:rsidRPr="00420DCF">
        <w:rPr>
          <w:rFonts w:ascii="Verdana" w:hAnsi="Verdana"/>
          <w:color w:val="000000" w:themeColor="text1"/>
          <w:sz w:val="20"/>
          <w:szCs w:val="20"/>
          <w:lang w:val="es-ES"/>
        </w:rPr>
        <w:t xml:space="preserve">stableció como obligación de la Provincia: a.- la unificación de los lotes </w:t>
      </w:r>
      <w:r>
        <w:rPr>
          <w:rFonts w:ascii="Verdana" w:hAnsi="Verdana"/>
          <w:color w:val="000000" w:themeColor="text1"/>
          <w:sz w:val="20"/>
          <w:szCs w:val="20"/>
          <w:lang w:val="es-ES"/>
        </w:rPr>
        <w:t xml:space="preserve">14 y </w:t>
      </w:r>
      <w:r w:rsidRPr="00420DCF">
        <w:rPr>
          <w:rFonts w:ascii="Verdana" w:hAnsi="Verdana"/>
          <w:color w:val="000000" w:themeColor="text1"/>
          <w:sz w:val="20"/>
          <w:szCs w:val="20"/>
          <w:lang w:val="es-ES"/>
        </w:rPr>
        <w:t>55 para “someterlos a un destino común”; b.- la adjudicación de “una superficie sin subdivisiones, mediante [t]ítulo [ú]nico de [p]ropiedad a las [c]omunidades [indígenas]</w:t>
      </w:r>
      <w:r>
        <w:rPr>
          <w:rFonts w:ascii="Verdana" w:hAnsi="Verdana"/>
          <w:color w:val="000000" w:themeColor="text1"/>
          <w:sz w:val="20"/>
          <w:szCs w:val="20"/>
          <w:lang w:val="es-ES"/>
        </w:rPr>
        <w:t>”</w:t>
      </w:r>
      <w:r w:rsidRPr="00C05164">
        <w:rPr>
          <w:rStyle w:val="Refdenotaalpie"/>
          <w:color w:val="000000" w:themeColor="text1"/>
          <w:lang w:val="es-ES"/>
        </w:rPr>
        <w:footnoteReference w:id="49"/>
      </w:r>
      <w:r w:rsidRPr="00420DCF">
        <w:rPr>
          <w:rFonts w:ascii="Verdana" w:hAnsi="Verdana"/>
          <w:color w:val="000000" w:themeColor="text1"/>
          <w:sz w:val="20"/>
          <w:szCs w:val="20"/>
          <w:lang w:val="es-ES"/>
        </w:rPr>
        <w:t>.</w:t>
      </w:r>
    </w:p>
    <w:p w14:paraId="0FA7F6E1" w14:textId="77777777" w:rsidR="009805F2" w:rsidRPr="00A95802" w:rsidRDefault="009805F2" w:rsidP="009805F2">
      <w:pPr>
        <w:pStyle w:val="Prrafodelista"/>
        <w:spacing w:line="240" w:lineRule="auto"/>
        <w:ind w:left="0"/>
        <w:rPr>
          <w:rFonts w:ascii="Verdana" w:hAnsi="Verdana"/>
          <w:sz w:val="20"/>
          <w:szCs w:val="20"/>
          <w:lang w:val="es-ES"/>
        </w:rPr>
      </w:pPr>
    </w:p>
    <w:p w14:paraId="39B6C65E" w14:textId="16705641" w:rsidR="009805F2" w:rsidRPr="00A95802" w:rsidRDefault="009805F2" w:rsidP="009805F2">
      <w:pPr>
        <w:pStyle w:val="Prrafodelista"/>
        <w:numPr>
          <w:ilvl w:val="0"/>
          <w:numId w:val="1"/>
        </w:numPr>
        <w:spacing w:after="0" w:line="240" w:lineRule="auto"/>
        <w:ind w:left="0" w:firstLine="0"/>
        <w:jc w:val="both"/>
        <w:rPr>
          <w:rFonts w:ascii="Verdana" w:hAnsi="Verdana"/>
          <w:sz w:val="20"/>
          <w:szCs w:val="20"/>
          <w:lang w:val="es-ES"/>
        </w:rPr>
      </w:pPr>
      <w:r w:rsidRPr="00A95802">
        <w:rPr>
          <w:rFonts w:ascii="Verdana" w:hAnsi="Verdana"/>
          <w:sz w:val="20"/>
          <w:szCs w:val="20"/>
          <w:lang w:val="es-ES"/>
        </w:rPr>
        <w:t xml:space="preserve">El 9 de diciembre de 1992 se dictó la Resolución Ministerial 499, que aprobó el estatuto social y otorgó personería jurídica a la “Asociación de Comunidades Aborígenes </w:t>
      </w:r>
      <w:r w:rsidRPr="00A95802">
        <w:rPr>
          <w:rFonts w:ascii="Verdana" w:hAnsi="Verdana"/>
          <w:sz w:val="20"/>
          <w:szCs w:val="20"/>
        </w:rPr>
        <w:t>Lhaka Honhat”. La misma está conformada por personas habitantes de los lotes 14 y 55 pertenecientes a comunidades indígenas</w:t>
      </w:r>
      <w:r w:rsidR="00560F37">
        <w:rPr>
          <w:rFonts w:ascii="Verdana" w:hAnsi="Verdana"/>
          <w:sz w:val="20"/>
          <w:szCs w:val="20"/>
        </w:rPr>
        <w:t>. T</w:t>
      </w:r>
      <w:r w:rsidRPr="00A95802">
        <w:rPr>
          <w:rFonts w:ascii="Verdana" w:hAnsi="Verdana"/>
          <w:sz w:val="20"/>
          <w:szCs w:val="20"/>
        </w:rPr>
        <w:t>iene entre sus “fines”: “[o]</w:t>
      </w:r>
      <w:r w:rsidRPr="00A95802">
        <w:rPr>
          <w:rFonts w:ascii="Verdana" w:hAnsi="Verdana"/>
          <w:sz w:val="20"/>
          <w:szCs w:val="20"/>
          <w:lang w:val="es-ES"/>
        </w:rPr>
        <w:t>btener el [t]ítulo de [p]ropiedad de la [t]ierra”; “[p]roteger el monte y el río”; “[s]upervisar y controlar la explotación de los recursos naturales renovables de la zona […] según lo establecido por las leyes pertinentes en coordinación con los organismos estatales existentes para tal fin”, y “[h]acer respetar los derechos de los pueblos aborígenes mundialmente reconocidos a usar libremente su riqueza natural y sus recursos para satisfacer sus necesidades propias”</w:t>
      </w:r>
      <w:r>
        <w:rPr>
          <w:rStyle w:val="Refdenotaalpie"/>
          <w:rFonts w:ascii="Verdana" w:hAnsi="Verdana"/>
          <w:sz w:val="20"/>
          <w:lang w:val="es-ES"/>
        </w:rPr>
        <w:footnoteReference w:id="50"/>
      </w:r>
      <w:r w:rsidRPr="00A95802">
        <w:rPr>
          <w:rFonts w:ascii="Verdana" w:hAnsi="Verdana"/>
          <w:sz w:val="20"/>
          <w:szCs w:val="20"/>
          <w:lang w:val="es-ES"/>
        </w:rPr>
        <w:t>.</w:t>
      </w:r>
    </w:p>
    <w:p w14:paraId="33E4D991" w14:textId="77777777" w:rsidR="009805F2" w:rsidRPr="00EF115A" w:rsidRDefault="009805F2" w:rsidP="009805F2">
      <w:pPr>
        <w:pStyle w:val="Prrafodelista"/>
        <w:spacing w:line="240" w:lineRule="auto"/>
        <w:ind w:left="0"/>
        <w:rPr>
          <w:rFonts w:ascii="Verdana" w:hAnsi="Verdana"/>
          <w:sz w:val="20"/>
          <w:szCs w:val="20"/>
          <w:lang w:val="es-ES"/>
        </w:rPr>
      </w:pPr>
    </w:p>
    <w:p w14:paraId="6D7B6C36" w14:textId="3F318C32" w:rsidR="009805F2" w:rsidRDefault="009805F2" w:rsidP="009805F2">
      <w:pPr>
        <w:pStyle w:val="Prrafodelista"/>
        <w:numPr>
          <w:ilvl w:val="0"/>
          <w:numId w:val="1"/>
        </w:numPr>
        <w:spacing w:after="0" w:line="240" w:lineRule="auto"/>
        <w:ind w:left="0" w:firstLine="0"/>
        <w:jc w:val="both"/>
        <w:rPr>
          <w:rFonts w:ascii="Verdana" w:hAnsi="Verdana"/>
          <w:sz w:val="20"/>
          <w:szCs w:val="20"/>
          <w:lang w:val="es-ES"/>
        </w:rPr>
      </w:pPr>
      <w:r w:rsidRPr="00EF115A">
        <w:rPr>
          <w:rFonts w:ascii="Verdana" w:hAnsi="Verdana"/>
          <w:sz w:val="20"/>
          <w:szCs w:val="20"/>
          <w:lang w:val="es-ES"/>
        </w:rPr>
        <w:t>En 1995 Salta dictó el Decreto 3097/95</w:t>
      </w:r>
      <w:r w:rsidRPr="006E5898">
        <w:rPr>
          <w:rStyle w:val="Refdenotaalpie"/>
          <w:lang w:val="es-ES"/>
        </w:rPr>
        <w:footnoteReference w:id="51"/>
      </w:r>
      <w:r w:rsidRPr="00EF115A">
        <w:rPr>
          <w:rFonts w:ascii="Verdana" w:hAnsi="Verdana"/>
          <w:sz w:val="20"/>
          <w:szCs w:val="20"/>
          <w:lang w:val="es-ES"/>
        </w:rPr>
        <w:t>, que aprobó recomendaciones hechas en abril de ese año por una Comisión</w:t>
      </w:r>
      <w:r>
        <w:rPr>
          <w:rFonts w:ascii="Verdana" w:hAnsi="Verdana"/>
          <w:sz w:val="20"/>
          <w:szCs w:val="20"/>
          <w:lang w:val="es-ES"/>
        </w:rPr>
        <w:t xml:space="preserve"> Asesora</w:t>
      </w:r>
      <w:r w:rsidRPr="00EF115A">
        <w:rPr>
          <w:rFonts w:ascii="Verdana" w:hAnsi="Verdana"/>
          <w:sz w:val="20"/>
          <w:szCs w:val="20"/>
          <w:lang w:val="es-ES"/>
        </w:rPr>
        <w:t xml:space="preserve"> creada en 1993 por el Decreto 18/93</w:t>
      </w:r>
      <w:r>
        <w:rPr>
          <w:rStyle w:val="Refdenotaalpie"/>
          <w:lang w:val="es-ES"/>
        </w:rPr>
        <w:footnoteReference w:id="52"/>
      </w:r>
      <w:r w:rsidRPr="00EF115A">
        <w:rPr>
          <w:rFonts w:ascii="Verdana" w:hAnsi="Verdana"/>
          <w:sz w:val="20"/>
          <w:szCs w:val="20"/>
          <w:lang w:val="es-ES"/>
        </w:rPr>
        <w:t xml:space="preserve">. </w:t>
      </w:r>
      <w:r>
        <w:rPr>
          <w:rFonts w:ascii="Verdana" w:hAnsi="Verdana"/>
          <w:sz w:val="20"/>
          <w:szCs w:val="20"/>
          <w:lang w:val="es-ES"/>
        </w:rPr>
        <w:t>Las mismas s</w:t>
      </w:r>
      <w:r w:rsidRPr="00EF115A">
        <w:rPr>
          <w:rFonts w:ascii="Verdana" w:hAnsi="Verdana"/>
          <w:sz w:val="20"/>
          <w:szCs w:val="20"/>
          <w:lang w:val="es-ES"/>
        </w:rPr>
        <w:t>ugerían que se entregase</w:t>
      </w:r>
      <w:r w:rsidR="007C596A">
        <w:rPr>
          <w:rFonts w:ascii="Verdana" w:hAnsi="Verdana"/>
          <w:sz w:val="20"/>
          <w:szCs w:val="20"/>
          <w:lang w:val="es-ES"/>
        </w:rPr>
        <w:t>n</w:t>
      </w:r>
      <w:r w:rsidRPr="00EF115A">
        <w:rPr>
          <w:rFonts w:ascii="Verdana" w:hAnsi="Verdana"/>
          <w:sz w:val="20"/>
          <w:szCs w:val="20"/>
          <w:lang w:val="es-ES"/>
        </w:rPr>
        <w:t xml:space="preserve"> dos terceras parte</w:t>
      </w:r>
      <w:r>
        <w:rPr>
          <w:rFonts w:ascii="Verdana" w:hAnsi="Verdana"/>
          <w:sz w:val="20"/>
          <w:szCs w:val="20"/>
          <w:lang w:val="es-ES"/>
        </w:rPr>
        <w:t>s de la superficie total de los lotes 14 y 55</w:t>
      </w:r>
      <w:r w:rsidRPr="00EF115A">
        <w:rPr>
          <w:rFonts w:ascii="Verdana" w:hAnsi="Verdana"/>
          <w:sz w:val="20"/>
          <w:szCs w:val="20"/>
          <w:lang w:val="es-ES"/>
        </w:rPr>
        <w:t xml:space="preserve"> a comunidades indígenas, y un tercio a poblaciones criollas. Los entonces peticionarios indicaron a la Comisión </w:t>
      </w:r>
      <w:r>
        <w:rPr>
          <w:rFonts w:ascii="Verdana" w:hAnsi="Verdana"/>
          <w:sz w:val="20"/>
          <w:szCs w:val="20"/>
          <w:lang w:val="es-ES"/>
        </w:rPr>
        <w:t xml:space="preserve">Interamericana </w:t>
      </w:r>
      <w:r w:rsidRPr="00EF115A">
        <w:rPr>
          <w:rFonts w:ascii="Verdana" w:hAnsi="Verdana"/>
          <w:sz w:val="20"/>
          <w:szCs w:val="20"/>
          <w:lang w:val="es-ES"/>
        </w:rPr>
        <w:t xml:space="preserve">que esto fue aceptado por las comunidades indígenas. </w:t>
      </w:r>
      <w:r>
        <w:rPr>
          <w:rFonts w:ascii="Verdana" w:hAnsi="Verdana"/>
          <w:sz w:val="20"/>
          <w:szCs w:val="20"/>
          <w:lang w:val="es-ES"/>
        </w:rPr>
        <w:t>Más adelante, e</w:t>
      </w:r>
      <w:r w:rsidRPr="00EF115A">
        <w:rPr>
          <w:rFonts w:ascii="Verdana" w:hAnsi="Verdana"/>
          <w:sz w:val="20"/>
          <w:szCs w:val="20"/>
          <w:lang w:val="es-ES"/>
        </w:rPr>
        <w:t>n abril de 1996, fue firmada un Acta</w:t>
      </w:r>
      <w:r>
        <w:rPr>
          <w:rFonts w:ascii="Verdana" w:hAnsi="Verdana"/>
          <w:sz w:val="20"/>
          <w:szCs w:val="20"/>
          <w:lang w:val="es-ES"/>
        </w:rPr>
        <w:t>-</w:t>
      </w:r>
      <w:r w:rsidRPr="00EF115A">
        <w:rPr>
          <w:rFonts w:ascii="Verdana" w:hAnsi="Verdana"/>
          <w:sz w:val="20"/>
          <w:szCs w:val="20"/>
          <w:lang w:val="es-ES"/>
        </w:rPr>
        <w:t xml:space="preserve">Acuerdo </w:t>
      </w:r>
      <w:r w:rsidRPr="00EF115A">
        <w:rPr>
          <w:rFonts w:ascii="Verdana" w:hAnsi="Verdana"/>
          <w:sz w:val="20"/>
          <w:szCs w:val="20"/>
          <w:lang w:val="es-ES"/>
        </w:rPr>
        <w:lastRenderedPageBreak/>
        <w:t>entre la Asociación Lhaka Honhat y Salta, acordando “avanzar hacia un plan de regularización jurídica de los asentamientos poblacionales de los lotes fiscales 55 y 14”</w:t>
      </w:r>
      <w:r w:rsidRPr="00C05164">
        <w:rPr>
          <w:rStyle w:val="Refdenotaalpie"/>
          <w:lang w:val="es-ES"/>
        </w:rPr>
        <w:footnoteReference w:id="53"/>
      </w:r>
      <w:r w:rsidRPr="00EF115A">
        <w:rPr>
          <w:rFonts w:ascii="Verdana" w:hAnsi="Verdana"/>
          <w:sz w:val="20"/>
          <w:szCs w:val="20"/>
          <w:lang w:val="es-ES"/>
        </w:rPr>
        <w:t>.</w:t>
      </w:r>
    </w:p>
    <w:p w14:paraId="32F339F8" w14:textId="77777777" w:rsidR="009805F2" w:rsidRPr="00EF115A" w:rsidRDefault="009805F2" w:rsidP="009805F2">
      <w:pPr>
        <w:pStyle w:val="Prrafodelista"/>
        <w:spacing w:line="240" w:lineRule="auto"/>
        <w:ind w:left="0"/>
        <w:rPr>
          <w:rFonts w:ascii="Verdana" w:hAnsi="Verdana"/>
          <w:sz w:val="20"/>
          <w:szCs w:val="20"/>
          <w:lang w:val="es-ES"/>
        </w:rPr>
      </w:pPr>
    </w:p>
    <w:p w14:paraId="3803BDBB" w14:textId="459B7703" w:rsidR="009805F2" w:rsidRPr="00EF115A" w:rsidRDefault="009805F2" w:rsidP="009805F2">
      <w:pPr>
        <w:pStyle w:val="Prrafodelista"/>
        <w:numPr>
          <w:ilvl w:val="0"/>
          <w:numId w:val="1"/>
        </w:numPr>
        <w:spacing w:after="0" w:line="240" w:lineRule="auto"/>
        <w:ind w:left="0" w:firstLine="0"/>
        <w:jc w:val="both"/>
        <w:rPr>
          <w:rFonts w:ascii="Verdana" w:hAnsi="Verdana"/>
          <w:sz w:val="20"/>
          <w:szCs w:val="20"/>
          <w:lang w:val="es-ES"/>
        </w:rPr>
      </w:pPr>
      <w:r w:rsidRPr="00EF115A">
        <w:rPr>
          <w:rFonts w:ascii="Verdana" w:hAnsi="Verdana"/>
          <w:sz w:val="20"/>
          <w:szCs w:val="20"/>
          <w:lang w:val="es-ES"/>
        </w:rPr>
        <w:t>En</w:t>
      </w:r>
      <w:r>
        <w:rPr>
          <w:rFonts w:ascii="Verdana" w:hAnsi="Verdana"/>
          <w:sz w:val="20"/>
          <w:szCs w:val="20"/>
          <w:lang w:val="es-ES"/>
        </w:rPr>
        <w:t xml:space="preserve"> 1995 comenzó la construcción de un puente internacional en el territorio reclamado por comunidades indígenas. L</w:t>
      </w:r>
      <w:r w:rsidRPr="00EF115A">
        <w:rPr>
          <w:rFonts w:ascii="Verdana" w:hAnsi="Verdana"/>
          <w:sz w:val="20"/>
          <w:szCs w:val="20"/>
          <w:lang w:val="es-ES"/>
        </w:rPr>
        <w:t xml:space="preserve">os días 25 de agosto y 16 de septiembre de 1996 </w:t>
      </w:r>
      <w:r>
        <w:rPr>
          <w:rFonts w:ascii="Verdana" w:hAnsi="Verdana"/>
          <w:sz w:val="20"/>
          <w:szCs w:val="20"/>
          <w:lang w:val="es-ES"/>
        </w:rPr>
        <w:t xml:space="preserve">personas indígenas ocuparon </w:t>
      </w:r>
      <w:r w:rsidRPr="00EF115A">
        <w:rPr>
          <w:rFonts w:ascii="Verdana" w:hAnsi="Verdana"/>
          <w:sz w:val="20"/>
          <w:szCs w:val="20"/>
          <w:lang w:val="es-ES"/>
        </w:rPr>
        <w:t>el puente (</w:t>
      </w:r>
      <w:r w:rsidRPr="00EF115A">
        <w:rPr>
          <w:rFonts w:ascii="Verdana" w:hAnsi="Verdana"/>
          <w:i/>
          <w:sz w:val="20"/>
          <w:szCs w:val="20"/>
          <w:lang w:val="es-ES"/>
        </w:rPr>
        <w:t>infra</w:t>
      </w:r>
      <w:r w:rsidRPr="00EF115A">
        <w:rPr>
          <w:rFonts w:ascii="Verdana" w:hAnsi="Verdana"/>
          <w:sz w:val="20"/>
          <w:szCs w:val="20"/>
          <w:lang w:val="es-ES"/>
        </w:rPr>
        <w:t xml:space="preserve"> párr.</w:t>
      </w:r>
      <w:r>
        <w:rPr>
          <w:rFonts w:ascii="Verdana" w:hAnsi="Verdana"/>
          <w:sz w:val="20"/>
          <w:szCs w:val="20"/>
          <w:lang w:val="es-ES"/>
        </w:rPr>
        <w:t xml:space="preserve"> 180</w:t>
      </w:r>
      <w:r w:rsidRPr="00EF115A">
        <w:rPr>
          <w:rFonts w:ascii="Verdana" w:hAnsi="Verdana"/>
          <w:sz w:val="20"/>
          <w:szCs w:val="20"/>
          <w:lang w:val="es-ES"/>
        </w:rPr>
        <w:t xml:space="preserve">). El Gobernador de Salta </w:t>
      </w:r>
      <w:r>
        <w:rPr>
          <w:rFonts w:ascii="Verdana" w:hAnsi="Verdana"/>
          <w:sz w:val="20"/>
          <w:szCs w:val="20"/>
          <w:lang w:val="es-ES"/>
        </w:rPr>
        <w:t>se apersonó</w:t>
      </w:r>
      <w:r w:rsidRPr="00EF115A">
        <w:rPr>
          <w:rFonts w:ascii="Verdana" w:hAnsi="Verdana"/>
          <w:sz w:val="20"/>
          <w:szCs w:val="20"/>
          <w:lang w:val="es-ES"/>
        </w:rPr>
        <w:t xml:space="preserve"> y firmó un Acta </w:t>
      </w:r>
      <w:r w:rsidR="00560F37">
        <w:rPr>
          <w:rFonts w:ascii="Verdana" w:hAnsi="Verdana"/>
          <w:sz w:val="20"/>
          <w:szCs w:val="20"/>
          <w:lang w:val="es-ES"/>
        </w:rPr>
        <w:t xml:space="preserve">en la que se </w:t>
      </w:r>
      <w:r>
        <w:rPr>
          <w:rFonts w:ascii="Verdana" w:hAnsi="Verdana"/>
          <w:sz w:val="20"/>
          <w:szCs w:val="20"/>
          <w:lang w:val="es-ES"/>
        </w:rPr>
        <w:t>comprometi</w:t>
      </w:r>
      <w:r w:rsidR="00560F37">
        <w:rPr>
          <w:rFonts w:ascii="Verdana" w:hAnsi="Verdana"/>
          <w:sz w:val="20"/>
          <w:szCs w:val="20"/>
          <w:lang w:val="es-ES"/>
        </w:rPr>
        <w:t>ó a</w:t>
      </w:r>
      <w:r>
        <w:rPr>
          <w:rFonts w:ascii="Verdana" w:hAnsi="Verdana"/>
          <w:sz w:val="20"/>
          <w:szCs w:val="20"/>
          <w:lang w:val="es-ES"/>
        </w:rPr>
        <w:t xml:space="preserve"> la emisión de un D</w:t>
      </w:r>
      <w:r w:rsidRPr="00EF115A">
        <w:rPr>
          <w:rFonts w:ascii="Verdana" w:hAnsi="Verdana"/>
          <w:sz w:val="20"/>
          <w:szCs w:val="20"/>
          <w:lang w:val="es-ES"/>
        </w:rPr>
        <w:t>ecreto en 30 días, que “asegurara la adjudicación definitiva de las tierras en cuestión, fijando sus pautas y lineamientos”</w:t>
      </w:r>
      <w:r w:rsidRPr="00C05164">
        <w:rPr>
          <w:rStyle w:val="Refdenotaalpie"/>
          <w:lang w:val="es-ES"/>
        </w:rPr>
        <w:footnoteReference w:id="54"/>
      </w:r>
      <w:r w:rsidRPr="00EF115A">
        <w:rPr>
          <w:rFonts w:ascii="Verdana" w:hAnsi="Verdana"/>
          <w:sz w:val="20"/>
          <w:szCs w:val="20"/>
          <w:lang w:val="es-ES"/>
        </w:rPr>
        <w:t xml:space="preserve">. </w:t>
      </w:r>
    </w:p>
    <w:p w14:paraId="02927239" w14:textId="77777777" w:rsidR="009805F2" w:rsidRPr="00D710FC" w:rsidRDefault="009805F2" w:rsidP="009805F2">
      <w:pPr>
        <w:pStyle w:val="Prrafodelista"/>
        <w:spacing w:line="240" w:lineRule="auto"/>
        <w:ind w:left="0"/>
        <w:rPr>
          <w:rFonts w:ascii="Verdana" w:hAnsi="Verdana"/>
          <w:sz w:val="20"/>
          <w:szCs w:val="20"/>
          <w:lang w:val="es-ES"/>
        </w:rPr>
      </w:pPr>
    </w:p>
    <w:p w14:paraId="4734AC87" w14:textId="77777777" w:rsidR="009805F2" w:rsidRDefault="009805F2" w:rsidP="009805F2">
      <w:pPr>
        <w:pStyle w:val="Prrafodelista"/>
        <w:numPr>
          <w:ilvl w:val="0"/>
          <w:numId w:val="1"/>
        </w:numPr>
        <w:spacing w:after="0" w:line="240" w:lineRule="auto"/>
        <w:ind w:left="0" w:firstLine="0"/>
        <w:jc w:val="both"/>
        <w:rPr>
          <w:rFonts w:ascii="Verdana" w:hAnsi="Verdana"/>
          <w:sz w:val="20"/>
          <w:szCs w:val="20"/>
          <w:lang w:val="es-ES"/>
        </w:rPr>
      </w:pPr>
      <w:r w:rsidRPr="00F57D52">
        <w:rPr>
          <w:rFonts w:ascii="Verdana" w:hAnsi="Verdana"/>
          <w:sz w:val="20"/>
          <w:szCs w:val="20"/>
          <w:lang w:val="es-ES"/>
        </w:rPr>
        <w:t>Entre 1996 y 1998 Lhaka Honhat remitió varias comunicaciones a autoridades pidiendo que se hiciera efectiva la formalización de la propiedad comunitaria</w:t>
      </w:r>
      <w:r>
        <w:rPr>
          <w:rStyle w:val="Refdenotaalpie"/>
          <w:lang w:val="es-ES"/>
        </w:rPr>
        <w:footnoteReference w:id="55"/>
      </w:r>
      <w:r w:rsidRPr="00F57D52">
        <w:rPr>
          <w:rFonts w:ascii="Verdana" w:hAnsi="Verdana"/>
          <w:sz w:val="20"/>
          <w:szCs w:val="20"/>
          <w:lang w:val="es-ES"/>
        </w:rPr>
        <w:t xml:space="preserve">. </w:t>
      </w:r>
    </w:p>
    <w:p w14:paraId="4ACB9D3F" w14:textId="77777777" w:rsidR="009805F2" w:rsidRDefault="009805F2" w:rsidP="009805F2">
      <w:pPr>
        <w:pStyle w:val="Prrafodelista"/>
        <w:spacing w:line="240" w:lineRule="auto"/>
        <w:rPr>
          <w:rFonts w:ascii="Verdana" w:hAnsi="Verdana"/>
          <w:sz w:val="20"/>
          <w:szCs w:val="20"/>
          <w:lang w:val="es-ES"/>
        </w:rPr>
      </w:pPr>
    </w:p>
    <w:p w14:paraId="005C6171" w14:textId="77777777" w:rsidR="009805F2" w:rsidRPr="002A21F3" w:rsidRDefault="009805F2" w:rsidP="009805F2">
      <w:pPr>
        <w:pStyle w:val="Prrafodelista"/>
        <w:spacing w:line="240" w:lineRule="auto"/>
        <w:ind w:left="567"/>
        <w:jc w:val="both"/>
        <w:outlineLvl w:val="2"/>
        <w:rPr>
          <w:rFonts w:ascii="Verdana" w:hAnsi="Verdana"/>
          <w:b/>
          <w:i/>
          <w:sz w:val="20"/>
          <w:szCs w:val="20"/>
          <w:lang w:val="es-CR"/>
        </w:rPr>
      </w:pPr>
      <w:bookmarkStart w:id="80" w:name="_Toc22224869"/>
      <w:bookmarkStart w:id="81" w:name="_Toc32218831"/>
      <w:bookmarkStart w:id="82" w:name="_Toc32227101"/>
      <w:bookmarkStart w:id="83" w:name="_Toc34337530"/>
      <w:r w:rsidRPr="002A21F3">
        <w:rPr>
          <w:rFonts w:ascii="Verdana" w:hAnsi="Verdana"/>
          <w:b/>
          <w:i/>
          <w:sz w:val="20"/>
          <w:szCs w:val="20"/>
          <w:lang w:val="es-CR"/>
        </w:rPr>
        <w:t>C.2 Segunda fase (1999-2004): intentos de parcelaciones individuales y oposición indígena</w:t>
      </w:r>
      <w:bookmarkEnd w:id="80"/>
      <w:bookmarkEnd w:id="81"/>
      <w:bookmarkEnd w:id="82"/>
      <w:bookmarkEnd w:id="83"/>
    </w:p>
    <w:p w14:paraId="7312E093" w14:textId="77777777" w:rsidR="009805F2" w:rsidRDefault="009805F2" w:rsidP="009805F2">
      <w:pPr>
        <w:pStyle w:val="Prrafodelista"/>
        <w:spacing w:line="240" w:lineRule="auto"/>
        <w:ind w:left="0"/>
        <w:jc w:val="both"/>
        <w:rPr>
          <w:rFonts w:ascii="Verdana" w:hAnsi="Verdana"/>
          <w:sz w:val="20"/>
          <w:szCs w:val="20"/>
          <w:lang w:val="es-ES"/>
        </w:rPr>
      </w:pPr>
    </w:p>
    <w:p w14:paraId="363E4DE8" w14:textId="3570C73B" w:rsidR="009805F2" w:rsidRPr="00E90342" w:rsidRDefault="009805F2" w:rsidP="009805F2">
      <w:pPr>
        <w:pStyle w:val="Prrafodelista"/>
        <w:numPr>
          <w:ilvl w:val="0"/>
          <w:numId w:val="1"/>
        </w:numPr>
        <w:spacing w:after="0" w:line="240" w:lineRule="auto"/>
        <w:ind w:left="0" w:firstLine="0"/>
        <w:jc w:val="both"/>
        <w:rPr>
          <w:rFonts w:ascii="Verdana" w:hAnsi="Verdana"/>
          <w:sz w:val="20"/>
          <w:szCs w:val="20"/>
          <w:lang w:val="es-ES"/>
        </w:rPr>
      </w:pPr>
      <w:r w:rsidRPr="00AA618E">
        <w:rPr>
          <w:rFonts w:ascii="Verdana" w:hAnsi="Verdana"/>
          <w:sz w:val="20"/>
          <w:szCs w:val="20"/>
          <w:lang w:val="es-ES"/>
        </w:rPr>
        <w:t>El 8 de noviembre de 1999</w:t>
      </w:r>
      <w:r>
        <w:rPr>
          <w:rFonts w:ascii="Verdana" w:hAnsi="Verdana"/>
          <w:sz w:val="20"/>
          <w:szCs w:val="20"/>
          <w:lang w:val="es-ES"/>
        </w:rPr>
        <w:t xml:space="preserve"> la Provincia publicó edictos,</w:t>
      </w:r>
      <w:r w:rsidRPr="000C3C60">
        <w:rPr>
          <w:rFonts w:ascii="Verdana" w:hAnsi="Verdana"/>
          <w:sz w:val="20"/>
          <w:szCs w:val="20"/>
          <w:lang w:val="es-ES"/>
        </w:rPr>
        <w:t xml:space="preserve"> en virtud de la Resolución</w:t>
      </w:r>
      <w:r>
        <w:rPr>
          <w:rFonts w:ascii="Verdana" w:hAnsi="Verdana"/>
          <w:sz w:val="20"/>
          <w:szCs w:val="20"/>
          <w:lang w:val="es-ES"/>
        </w:rPr>
        <w:t xml:space="preserve"> </w:t>
      </w:r>
      <w:r w:rsidRPr="000C3C60">
        <w:rPr>
          <w:rFonts w:ascii="Verdana" w:hAnsi="Verdana"/>
          <w:sz w:val="20"/>
          <w:szCs w:val="20"/>
          <w:lang w:val="es-ES"/>
        </w:rPr>
        <w:t>423/99 e</w:t>
      </w:r>
      <w:r>
        <w:rPr>
          <w:rFonts w:ascii="Verdana" w:hAnsi="Verdana"/>
          <w:sz w:val="20"/>
          <w:szCs w:val="20"/>
          <w:lang w:val="es-ES"/>
        </w:rPr>
        <w:t>mitida el 2 del mismo me</w:t>
      </w:r>
      <w:r w:rsidRPr="000C3C60">
        <w:rPr>
          <w:rFonts w:ascii="Verdana" w:hAnsi="Verdana"/>
          <w:sz w:val="20"/>
          <w:szCs w:val="20"/>
          <w:lang w:val="es-ES"/>
        </w:rPr>
        <w:t>s, emplazando, por 15 días, a todos quienes se consider</w:t>
      </w:r>
      <w:r w:rsidR="007C596A">
        <w:rPr>
          <w:rFonts w:ascii="Verdana" w:hAnsi="Verdana"/>
          <w:sz w:val="20"/>
          <w:szCs w:val="20"/>
          <w:lang w:val="es-ES"/>
        </w:rPr>
        <w:t>asen</w:t>
      </w:r>
      <w:r w:rsidRPr="000C3C60">
        <w:rPr>
          <w:rFonts w:ascii="Verdana" w:hAnsi="Verdana"/>
          <w:sz w:val="20"/>
          <w:szCs w:val="20"/>
          <w:lang w:val="es-ES"/>
        </w:rPr>
        <w:t xml:space="preserve"> con derec</w:t>
      </w:r>
      <w:r>
        <w:rPr>
          <w:rFonts w:ascii="Verdana" w:hAnsi="Verdana"/>
          <w:sz w:val="20"/>
          <w:szCs w:val="20"/>
          <w:lang w:val="es-ES"/>
        </w:rPr>
        <w:t>hos sobre terrenos del l</w:t>
      </w:r>
      <w:r w:rsidRPr="000C3C60">
        <w:rPr>
          <w:rFonts w:ascii="Verdana" w:hAnsi="Verdana"/>
          <w:sz w:val="20"/>
          <w:szCs w:val="20"/>
          <w:lang w:val="es-ES"/>
        </w:rPr>
        <w:t xml:space="preserve">ote 55, puesto que se harían algunas adjudicaciones de </w:t>
      </w:r>
      <w:r>
        <w:rPr>
          <w:rFonts w:ascii="Verdana" w:hAnsi="Verdana"/>
          <w:sz w:val="20"/>
          <w:szCs w:val="20"/>
          <w:lang w:val="es-ES"/>
        </w:rPr>
        <w:t>tierras</w:t>
      </w:r>
      <w:r w:rsidRPr="000C3C60">
        <w:rPr>
          <w:rFonts w:ascii="Verdana" w:hAnsi="Verdana"/>
          <w:sz w:val="20"/>
          <w:szCs w:val="20"/>
          <w:lang w:val="es-ES"/>
        </w:rPr>
        <w:t xml:space="preserve"> a habitantes relevados</w:t>
      </w:r>
      <w:r>
        <w:rPr>
          <w:rStyle w:val="Refdenotaalpie"/>
          <w:lang w:val="es-ES"/>
        </w:rPr>
        <w:footnoteReference w:id="56"/>
      </w:r>
      <w:r w:rsidRPr="000C3C60">
        <w:rPr>
          <w:rFonts w:ascii="Verdana" w:hAnsi="Verdana"/>
          <w:sz w:val="20"/>
          <w:szCs w:val="20"/>
          <w:lang w:val="es-ES"/>
        </w:rPr>
        <w:t xml:space="preserve">. </w:t>
      </w:r>
      <w:r w:rsidRPr="00E90342">
        <w:rPr>
          <w:rFonts w:ascii="Verdana" w:hAnsi="Verdana"/>
          <w:sz w:val="20"/>
          <w:szCs w:val="20"/>
          <w:lang w:val="es-ES"/>
        </w:rPr>
        <w:t xml:space="preserve">El 24 de diciembre siguiente, mediante el Decreto 461, Salta realizó adjudicaciones de parcelas dentro del </w:t>
      </w:r>
      <w:r>
        <w:rPr>
          <w:rFonts w:ascii="Verdana" w:hAnsi="Verdana"/>
          <w:sz w:val="20"/>
          <w:szCs w:val="20"/>
          <w:lang w:val="es-ES"/>
        </w:rPr>
        <w:t>lote</w:t>
      </w:r>
      <w:r w:rsidRPr="00E90342">
        <w:rPr>
          <w:rFonts w:ascii="Verdana" w:hAnsi="Verdana"/>
          <w:sz w:val="20"/>
          <w:szCs w:val="20"/>
          <w:lang w:val="es-ES"/>
        </w:rPr>
        <w:t xml:space="preserve"> 55 a algunos individuos y comunidades indígenas allí asentadas</w:t>
      </w:r>
      <w:r w:rsidRPr="00C05164">
        <w:rPr>
          <w:rStyle w:val="Refdenotaalpie"/>
          <w:lang w:val="es-ES"/>
        </w:rPr>
        <w:footnoteReference w:id="57"/>
      </w:r>
      <w:r w:rsidRPr="00E90342">
        <w:rPr>
          <w:rFonts w:ascii="Verdana" w:hAnsi="Verdana"/>
          <w:sz w:val="20"/>
          <w:szCs w:val="20"/>
          <w:lang w:val="es-ES"/>
        </w:rPr>
        <w:t>.</w:t>
      </w:r>
      <w:r>
        <w:rPr>
          <w:rFonts w:ascii="Verdana" w:hAnsi="Verdana"/>
          <w:sz w:val="20"/>
          <w:szCs w:val="20"/>
          <w:lang w:val="es-ES"/>
        </w:rPr>
        <w:t xml:space="preserve"> </w:t>
      </w:r>
    </w:p>
    <w:p w14:paraId="0F3F91BB" w14:textId="77777777" w:rsidR="009805F2" w:rsidRPr="00D710FC" w:rsidRDefault="009805F2" w:rsidP="009805F2">
      <w:pPr>
        <w:pStyle w:val="Prrafodelista"/>
        <w:spacing w:line="240" w:lineRule="auto"/>
        <w:ind w:left="0"/>
        <w:rPr>
          <w:rFonts w:ascii="Verdana" w:hAnsi="Verdana"/>
          <w:sz w:val="20"/>
          <w:szCs w:val="20"/>
          <w:lang w:val="es-ES"/>
        </w:rPr>
      </w:pPr>
    </w:p>
    <w:p w14:paraId="14C65B3F" w14:textId="4D5F8D06" w:rsidR="009805F2" w:rsidRPr="009F3AAE" w:rsidRDefault="009805F2" w:rsidP="009805F2">
      <w:pPr>
        <w:pStyle w:val="Prrafodelista"/>
        <w:numPr>
          <w:ilvl w:val="0"/>
          <w:numId w:val="1"/>
        </w:numPr>
        <w:spacing w:after="0" w:line="240" w:lineRule="auto"/>
        <w:ind w:left="0" w:firstLine="0"/>
        <w:jc w:val="both"/>
        <w:rPr>
          <w:rFonts w:ascii="Verdana" w:hAnsi="Verdana"/>
          <w:sz w:val="20"/>
          <w:szCs w:val="20"/>
          <w:lang w:val="es-ES"/>
        </w:rPr>
      </w:pPr>
      <w:r>
        <w:rPr>
          <w:rFonts w:ascii="Verdana" w:hAnsi="Verdana"/>
          <w:sz w:val="20"/>
          <w:szCs w:val="20"/>
          <w:lang w:val="es-ES"/>
        </w:rPr>
        <w:t>El 1 de noviembre de 2000, se acordó iniciar un proceso de “conversaciones” para que el Estado paralizara obras existentes en el territorio y no continuara con el proceso de entrega parcial de tierras</w:t>
      </w:r>
      <w:r>
        <w:rPr>
          <w:rStyle w:val="Refdenotaalpie"/>
          <w:lang w:val="es-ES"/>
        </w:rPr>
        <w:footnoteReference w:id="58"/>
      </w:r>
      <w:r>
        <w:rPr>
          <w:rFonts w:ascii="Verdana" w:hAnsi="Verdana"/>
          <w:sz w:val="20"/>
          <w:szCs w:val="20"/>
          <w:lang w:val="es-ES"/>
        </w:rPr>
        <w:t>. El 1</w:t>
      </w:r>
      <w:r w:rsidRPr="009F3AAE">
        <w:rPr>
          <w:rFonts w:ascii="Verdana" w:hAnsi="Verdana"/>
          <w:sz w:val="20"/>
          <w:szCs w:val="20"/>
          <w:lang w:val="es-ES"/>
        </w:rPr>
        <w:t xml:space="preserve">5 </w:t>
      </w:r>
      <w:r>
        <w:rPr>
          <w:rFonts w:ascii="Verdana" w:hAnsi="Verdana"/>
          <w:sz w:val="20"/>
          <w:szCs w:val="20"/>
          <w:lang w:val="es-ES"/>
        </w:rPr>
        <w:t xml:space="preserve">de diciembre </w:t>
      </w:r>
      <w:r w:rsidRPr="009F3AAE">
        <w:rPr>
          <w:rFonts w:ascii="Verdana" w:hAnsi="Verdana"/>
          <w:sz w:val="20"/>
          <w:szCs w:val="20"/>
          <w:lang w:val="es-ES"/>
        </w:rPr>
        <w:t>de</w:t>
      </w:r>
      <w:r>
        <w:rPr>
          <w:rFonts w:ascii="Verdana" w:hAnsi="Verdana"/>
          <w:sz w:val="20"/>
          <w:szCs w:val="20"/>
          <w:lang w:val="es-ES"/>
        </w:rPr>
        <w:t>l mismo año</w:t>
      </w:r>
      <w:r w:rsidRPr="009F3AAE">
        <w:rPr>
          <w:rFonts w:ascii="Verdana" w:hAnsi="Verdana"/>
          <w:sz w:val="20"/>
          <w:szCs w:val="20"/>
          <w:lang w:val="es-ES"/>
        </w:rPr>
        <w:t xml:space="preserve"> </w:t>
      </w:r>
      <w:r>
        <w:rPr>
          <w:rFonts w:ascii="Verdana" w:hAnsi="Verdana"/>
          <w:sz w:val="20"/>
          <w:szCs w:val="20"/>
          <w:lang w:val="es-ES"/>
        </w:rPr>
        <w:t>Salta</w:t>
      </w:r>
      <w:r w:rsidRPr="009F3AAE">
        <w:rPr>
          <w:rFonts w:ascii="Verdana" w:hAnsi="Verdana"/>
          <w:sz w:val="20"/>
          <w:szCs w:val="20"/>
          <w:lang w:val="es-ES"/>
        </w:rPr>
        <w:t xml:space="preserve"> presentó</w:t>
      </w:r>
      <w:r>
        <w:rPr>
          <w:rFonts w:ascii="Verdana" w:hAnsi="Verdana"/>
          <w:sz w:val="20"/>
          <w:szCs w:val="20"/>
          <w:lang w:val="es-ES"/>
        </w:rPr>
        <w:t xml:space="preserve"> una propuesta de adjudicación del l</w:t>
      </w:r>
      <w:r w:rsidRPr="009F3AAE">
        <w:rPr>
          <w:rFonts w:ascii="Verdana" w:hAnsi="Verdana"/>
          <w:sz w:val="20"/>
          <w:szCs w:val="20"/>
          <w:lang w:val="es-ES"/>
        </w:rPr>
        <w:t xml:space="preserve">ote 55, con entrega de fracciones a cada comunidad, pero sujeta a </w:t>
      </w:r>
      <w:r>
        <w:rPr>
          <w:rFonts w:ascii="Verdana" w:hAnsi="Verdana"/>
          <w:sz w:val="20"/>
          <w:szCs w:val="20"/>
          <w:lang w:val="es-ES"/>
        </w:rPr>
        <w:t xml:space="preserve">la </w:t>
      </w:r>
      <w:r w:rsidRPr="009F3AAE">
        <w:rPr>
          <w:rFonts w:ascii="Verdana" w:hAnsi="Verdana"/>
          <w:sz w:val="20"/>
          <w:szCs w:val="20"/>
          <w:lang w:val="es-ES"/>
        </w:rPr>
        <w:t>personalidad jurídica de cada una. El 6 de febrero de 2001 Lhaka Honhat, por medio de una carta</w:t>
      </w:r>
      <w:r>
        <w:rPr>
          <w:rFonts w:ascii="Verdana" w:hAnsi="Verdana"/>
          <w:sz w:val="20"/>
          <w:szCs w:val="20"/>
          <w:lang w:val="es-ES"/>
        </w:rPr>
        <w:t>,</w:t>
      </w:r>
      <w:r w:rsidRPr="009F3AAE">
        <w:rPr>
          <w:rFonts w:ascii="Verdana" w:hAnsi="Verdana"/>
          <w:sz w:val="20"/>
          <w:szCs w:val="20"/>
          <w:lang w:val="es-ES"/>
        </w:rPr>
        <w:t xml:space="preserve"> objetó la propuesta</w:t>
      </w:r>
      <w:r>
        <w:rPr>
          <w:rFonts w:ascii="Verdana" w:hAnsi="Verdana"/>
          <w:sz w:val="20"/>
          <w:szCs w:val="20"/>
          <w:lang w:val="es-ES"/>
        </w:rPr>
        <w:t>, aduciendo que</w:t>
      </w:r>
      <w:r w:rsidRPr="009F3AAE">
        <w:rPr>
          <w:rFonts w:ascii="Verdana" w:hAnsi="Verdana"/>
          <w:sz w:val="20"/>
          <w:szCs w:val="20"/>
          <w:lang w:val="es-ES"/>
        </w:rPr>
        <w:t xml:space="preserve"> </w:t>
      </w:r>
      <w:r>
        <w:rPr>
          <w:rFonts w:ascii="Verdana" w:hAnsi="Verdana"/>
          <w:sz w:val="20"/>
          <w:szCs w:val="20"/>
          <w:lang w:val="es-ES"/>
        </w:rPr>
        <w:t xml:space="preserve">la misma </w:t>
      </w:r>
      <w:r w:rsidRPr="009F3AAE">
        <w:rPr>
          <w:rFonts w:ascii="Verdana" w:hAnsi="Verdana"/>
          <w:sz w:val="20"/>
          <w:szCs w:val="20"/>
          <w:lang w:val="es-ES"/>
        </w:rPr>
        <w:t>no incluía el lote 14</w:t>
      </w:r>
      <w:r>
        <w:rPr>
          <w:rFonts w:ascii="Verdana" w:hAnsi="Verdana"/>
          <w:sz w:val="20"/>
          <w:szCs w:val="20"/>
          <w:lang w:val="es-ES"/>
        </w:rPr>
        <w:t>,</w:t>
      </w:r>
      <w:r w:rsidRPr="009F3AAE">
        <w:rPr>
          <w:rFonts w:ascii="Verdana" w:hAnsi="Verdana"/>
          <w:sz w:val="20"/>
          <w:szCs w:val="20"/>
          <w:lang w:val="es-ES"/>
        </w:rPr>
        <w:t xml:space="preserve"> </w:t>
      </w:r>
      <w:r>
        <w:rPr>
          <w:rFonts w:ascii="Verdana" w:hAnsi="Verdana"/>
          <w:sz w:val="20"/>
          <w:szCs w:val="20"/>
          <w:lang w:val="es-ES"/>
        </w:rPr>
        <w:t xml:space="preserve">no </w:t>
      </w:r>
      <w:r w:rsidRPr="009F3AAE">
        <w:rPr>
          <w:rFonts w:ascii="Verdana" w:hAnsi="Verdana"/>
          <w:sz w:val="20"/>
          <w:szCs w:val="20"/>
          <w:lang w:val="es-ES"/>
        </w:rPr>
        <w:t xml:space="preserve">preveía </w:t>
      </w:r>
      <w:r>
        <w:rPr>
          <w:rFonts w:ascii="Verdana" w:hAnsi="Verdana"/>
          <w:sz w:val="20"/>
          <w:szCs w:val="20"/>
          <w:lang w:val="es-ES"/>
        </w:rPr>
        <w:t xml:space="preserve">un título único sino </w:t>
      </w:r>
      <w:r w:rsidRPr="009F3AAE">
        <w:rPr>
          <w:rFonts w:ascii="Verdana" w:hAnsi="Verdana"/>
          <w:sz w:val="20"/>
          <w:szCs w:val="20"/>
          <w:lang w:val="es-ES"/>
        </w:rPr>
        <w:t xml:space="preserve">títulos fraccionados, sujetaba la entrega de terrenos a </w:t>
      </w:r>
      <w:r w:rsidRPr="009F3AAE">
        <w:rPr>
          <w:rFonts w:ascii="Verdana" w:hAnsi="Verdana"/>
          <w:sz w:val="20"/>
          <w:szCs w:val="20"/>
          <w:lang w:val="es-ES"/>
        </w:rPr>
        <w:lastRenderedPageBreak/>
        <w:t>acuerdos con criollos y exigía que cada comunidad obtuviera personería jurídica</w:t>
      </w:r>
      <w:r w:rsidRPr="00C05164">
        <w:rPr>
          <w:rStyle w:val="Refdenotaalpie"/>
          <w:lang w:val="es-ES"/>
        </w:rPr>
        <w:footnoteReference w:id="59"/>
      </w:r>
      <w:r>
        <w:rPr>
          <w:rFonts w:ascii="Verdana" w:hAnsi="Verdana"/>
          <w:sz w:val="20"/>
          <w:szCs w:val="20"/>
          <w:lang w:val="es-ES"/>
        </w:rPr>
        <w:t>.</w:t>
      </w:r>
      <w:r w:rsidRPr="009F3AAE">
        <w:rPr>
          <w:rFonts w:ascii="Verdana" w:hAnsi="Verdana"/>
          <w:sz w:val="20"/>
          <w:szCs w:val="20"/>
          <w:lang w:val="es-ES"/>
        </w:rPr>
        <w:t xml:space="preserve"> </w:t>
      </w:r>
      <w:r>
        <w:rPr>
          <w:rFonts w:ascii="Verdana" w:hAnsi="Verdana"/>
          <w:sz w:val="20"/>
          <w:szCs w:val="20"/>
          <w:lang w:val="es-ES"/>
        </w:rPr>
        <w:t>E</w:t>
      </w:r>
      <w:r w:rsidRPr="009F3AAE">
        <w:rPr>
          <w:rFonts w:ascii="Verdana" w:hAnsi="Verdana"/>
          <w:sz w:val="20"/>
          <w:szCs w:val="20"/>
          <w:lang w:val="es-ES"/>
        </w:rPr>
        <w:t xml:space="preserve">n agosto de 2001 el Estado </w:t>
      </w:r>
      <w:r w:rsidR="007C596A">
        <w:rPr>
          <w:rFonts w:ascii="Verdana" w:hAnsi="Verdana"/>
          <w:sz w:val="20"/>
          <w:szCs w:val="20"/>
          <w:lang w:val="es-ES"/>
        </w:rPr>
        <w:t>le comunicó</w:t>
      </w:r>
      <w:r>
        <w:rPr>
          <w:rFonts w:ascii="Verdana" w:hAnsi="Verdana"/>
          <w:sz w:val="20"/>
          <w:szCs w:val="20"/>
          <w:lang w:val="es-ES"/>
        </w:rPr>
        <w:t xml:space="preserve"> a la Comisión Interamericana que</w:t>
      </w:r>
      <w:r w:rsidRPr="009F3AAE">
        <w:rPr>
          <w:rFonts w:ascii="Verdana" w:hAnsi="Verdana"/>
          <w:sz w:val="20"/>
          <w:szCs w:val="20"/>
          <w:lang w:val="es-ES"/>
        </w:rPr>
        <w:t xml:space="preserve"> admitió incorporar el lote 14 en su propuesta</w:t>
      </w:r>
      <w:r w:rsidRPr="00C05164">
        <w:rPr>
          <w:rStyle w:val="Refdenotaalpie"/>
          <w:lang w:val="es-ES"/>
        </w:rPr>
        <w:footnoteReference w:id="60"/>
      </w:r>
      <w:r w:rsidRPr="009F3AAE">
        <w:rPr>
          <w:rFonts w:ascii="Verdana" w:hAnsi="Verdana"/>
          <w:sz w:val="20"/>
          <w:szCs w:val="20"/>
          <w:lang w:val="es-ES"/>
        </w:rPr>
        <w:t>.</w:t>
      </w:r>
    </w:p>
    <w:p w14:paraId="18A74F17" w14:textId="77777777" w:rsidR="009805F2" w:rsidRPr="004A5E1C" w:rsidRDefault="009805F2" w:rsidP="009805F2">
      <w:pPr>
        <w:pStyle w:val="Prrafodelista"/>
        <w:spacing w:line="240" w:lineRule="auto"/>
        <w:ind w:left="0"/>
        <w:rPr>
          <w:rFonts w:ascii="Verdana" w:hAnsi="Verdana"/>
          <w:sz w:val="20"/>
          <w:szCs w:val="20"/>
          <w:lang w:val="es-ES"/>
        </w:rPr>
      </w:pPr>
    </w:p>
    <w:p w14:paraId="6591D89B" w14:textId="65B203E2" w:rsidR="009805F2" w:rsidRDefault="009805F2" w:rsidP="009805F2">
      <w:pPr>
        <w:pStyle w:val="Prrafodelista"/>
        <w:numPr>
          <w:ilvl w:val="0"/>
          <w:numId w:val="1"/>
        </w:numPr>
        <w:spacing w:after="0" w:line="240" w:lineRule="auto"/>
        <w:ind w:left="0" w:firstLine="0"/>
        <w:jc w:val="both"/>
        <w:rPr>
          <w:rFonts w:ascii="Verdana" w:hAnsi="Verdana"/>
          <w:sz w:val="20"/>
          <w:szCs w:val="20"/>
          <w:lang w:val="es-ES"/>
        </w:rPr>
      </w:pPr>
      <w:r w:rsidRPr="004A5E1C">
        <w:rPr>
          <w:rFonts w:ascii="Verdana" w:hAnsi="Verdana"/>
          <w:sz w:val="20"/>
          <w:szCs w:val="20"/>
          <w:lang w:val="es-ES"/>
        </w:rPr>
        <w:t>El 22 de febrero de 2001 Salta</w:t>
      </w:r>
      <w:r>
        <w:rPr>
          <w:rFonts w:ascii="Verdana" w:hAnsi="Verdana"/>
          <w:sz w:val="20"/>
          <w:szCs w:val="20"/>
          <w:lang w:val="es-ES"/>
        </w:rPr>
        <w:t xml:space="preserve"> dictó el Decreto No. 339/01, que creó una Comisión, integrada por representantes estatales, criollos y de comunidades indígenas, para completar la “cartografía” de los lotes 14 y 55 a fin de establecer con exactitud la “ubicación de las distintas comunidades indígenas y criollas”</w:t>
      </w:r>
      <w:r w:rsidRPr="00C05164">
        <w:rPr>
          <w:rStyle w:val="Refdenotaalpie"/>
          <w:lang w:val="es-ES"/>
        </w:rPr>
        <w:footnoteReference w:id="61"/>
      </w:r>
      <w:r w:rsidRPr="004A5E1C">
        <w:rPr>
          <w:rFonts w:ascii="Verdana" w:hAnsi="Verdana"/>
          <w:sz w:val="20"/>
          <w:szCs w:val="20"/>
          <w:lang w:val="es-ES"/>
        </w:rPr>
        <w:t>.</w:t>
      </w:r>
      <w:r>
        <w:rPr>
          <w:rFonts w:ascii="Verdana" w:hAnsi="Verdana"/>
          <w:sz w:val="20"/>
          <w:szCs w:val="20"/>
          <w:lang w:val="es-ES"/>
        </w:rPr>
        <w:t xml:space="preserve"> El</w:t>
      </w:r>
      <w:r w:rsidRPr="009F3AAE">
        <w:rPr>
          <w:rFonts w:ascii="Verdana" w:hAnsi="Verdana"/>
          <w:sz w:val="20"/>
          <w:szCs w:val="20"/>
          <w:lang w:val="es-ES"/>
        </w:rPr>
        <w:t xml:space="preserve"> 26 de diciembre </w:t>
      </w:r>
      <w:r>
        <w:rPr>
          <w:rFonts w:ascii="Verdana" w:hAnsi="Verdana"/>
          <w:sz w:val="20"/>
          <w:szCs w:val="20"/>
          <w:lang w:val="es-ES"/>
        </w:rPr>
        <w:t>siguiente</w:t>
      </w:r>
      <w:r w:rsidRPr="009F3AAE">
        <w:rPr>
          <w:rFonts w:ascii="Verdana" w:hAnsi="Verdana"/>
          <w:sz w:val="20"/>
          <w:szCs w:val="20"/>
          <w:lang w:val="es-ES"/>
        </w:rPr>
        <w:t>, Lhaka Honhat señaló a la Comisión Interamericana que la Comisión</w:t>
      </w:r>
      <w:r>
        <w:rPr>
          <w:rFonts w:ascii="Verdana" w:hAnsi="Verdana"/>
          <w:sz w:val="20"/>
          <w:szCs w:val="20"/>
          <w:lang w:val="es-ES"/>
        </w:rPr>
        <w:t xml:space="preserve"> aludida</w:t>
      </w:r>
      <w:r w:rsidRPr="009F3AAE">
        <w:rPr>
          <w:rFonts w:ascii="Verdana" w:hAnsi="Verdana"/>
          <w:sz w:val="20"/>
          <w:szCs w:val="20"/>
          <w:lang w:val="es-ES"/>
        </w:rPr>
        <w:t xml:space="preserve"> no se había reunido y que las comunidades indígenas habían comenzado a efectuar por su cuenta un relevamiento poblacional y mapeo de los lotes</w:t>
      </w:r>
      <w:r w:rsidRPr="00C05164">
        <w:rPr>
          <w:rStyle w:val="Refdenotaalpie"/>
          <w:lang w:val="es-ES"/>
        </w:rPr>
        <w:footnoteReference w:id="62"/>
      </w:r>
      <w:r w:rsidRPr="009F3AAE">
        <w:rPr>
          <w:rFonts w:ascii="Verdana" w:hAnsi="Verdana"/>
          <w:sz w:val="20"/>
          <w:szCs w:val="20"/>
          <w:lang w:val="es-ES"/>
        </w:rPr>
        <w:t>.</w:t>
      </w:r>
    </w:p>
    <w:p w14:paraId="272F9571" w14:textId="77777777" w:rsidR="009805F2" w:rsidRPr="008507CE" w:rsidRDefault="009805F2" w:rsidP="009805F2">
      <w:pPr>
        <w:pStyle w:val="Prrafodelista"/>
        <w:spacing w:line="240" w:lineRule="auto"/>
        <w:ind w:left="0"/>
        <w:rPr>
          <w:rFonts w:ascii="Verdana" w:hAnsi="Verdana"/>
          <w:sz w:val="20"/>
          <w:szCs w:val="20"/>
          <w:lang w:val="es-ES"/>
        </w:rPr>
      </w:pPr>
    </w:p>
    <w:p w14:paraId="6784CF70" w14:textId="029AE3C0" w:rsidR="009805F2" w:rsidRPr="008C4FA9" w:rsidRDefault="009805F2" w:rsidP="009805F2">
      <w:pPr>
        <w:pStyle w:val="Prrafodelista"/>
        <w:numPr>
          <w:ilvl w:val="0"/>
          <w:numId w:val="1"/>
        </w:numPr>
        <w:spacing w:after="0" w:line="240" w:lineRule="auto"/>
        <w:ind w:left="0" w:firstLine="0"/>
        <w:jc w:val="both"/>
        <w:rPr>
          <w:rFonts w:ascii="Verdana" w:hAnsi="Verdana"/>
          <w:sz w:val="16"/>
          <w:szCs w:val="16"/>
          <w:lang w:val="es-ES"/>
        </w:rPr>
      </w:pPr>
      <w:r>
        <w:rPr>
          <w:rFonts w:ascii="Verdana" w:hAnsi="Verdana"/>
          <w:sz w:val="20"/>
          <w:szCs w:val="20"/>
          <w:lang w:val="es-ES"/>
        </w:rPr>
        <w:t>Los días 11 de septiembre de 2001, 8 de julio y</w:t>
      </w:r>
      <w:r w:rsidRPr="008507CE">
        <w:rPr>
          <w:rFonts w:ascii="Verdana" w:hAnsi="Verdana"/>
          <w:sz w:val="20"/>
          <w:szCs w:val="20"/>
          <w:lang w:val="es-ES"/>
        </w:rPr>
        <w:t xml:space="preserve"> </w:t>
      </w:r>
      <w:r>
        <w:rPr>
          <w:rFonts w:ascii="Verdana" w:hAnsi="Verdana"/>
          <w:sz w:val="20"/>
          <w:szCs w:val="20"/>
          <w:lang w:val="es-ES"/>
        </w:rPr>
        <w:t>4 de junio</w:t>
      </w:r>
      <w:r w:rsidR="007C596A">
        <w:rPr>
          <w:rFonts w:ascii="Verdana" w:hAnsi="Verdana"/>
          <w:sz w:val="20"/>
          <w:szCs w:val="20"/>
          <w:lang w:val="es-ES"/>
        </w:rPr>
        <w:t xml:space="preserve"> de 2002</w:t>
      </w:r>
      <w:r>
        <w:rPr>
          <w:rFonts w:ascii="Verdana" w:hAnsi="Verdana"/>
          <w:sz w:val="20"/>
          <w:szCs w:val="20"/>
          <w:lang w:val="es-ES"/>
        </w:rPr>
        <w:t xml:space="preserve">, </w:t>
      </w:r>
      <w:r w:rsidRPr="008507CE">
        <w:rPr>
          <w:rFonts w:ascii="Verdana" w:hAnsi="Verdana"/>
          <w:sz w:val="20"/>
          <w:szCs w:val="20"/>
          <w:lang w:val="es-ES"/>
        </w:rPr>
        <w:t xml:space="preserve">5 de agosto </w:t>
      </w:r>
      <w:r>
        <w:rPr>
          <w:rFonts w:ascii="Verdana" w:hAnsi="Verdana"/>
          <w:sz w:val="20"/>
          <w:szCs w:val="20"/>
          <w:lang w:val="es-ES"/>
        </w:rPr>
        <w:t xml:space="preserve">y 9 de septiembre </w:t>
      </w:r>
      <w:r w:rsidRPr="008507CE">
        <w:rPr>
          <w:rFonts w:ascii="Verdana" w:hAnsi="Verdana"/>
          <w:sz w:val="20"/>
          <w:szCs w:val="20"/>
          <w:lang w:val="es-ES"/>
        </w:rPr>
        <w:t>de 20</w:t>
      </w:r>
      <w:r>
        <w:rPr>
          <w:rFonts w:ascii="Verdana" w:hAnsi="Verdana"/>
          <w:sz w:val="20"/>
          <w:szCs w:val="20"/>
          <w:lang w:val="es-ES"/>
        </w:rPr>
        <w:t>04, los entonces peticionarios comunicaro</w:t>
      </w:r>
      <w:r w:rsidRPr="008507CE">
        <w:rPr>
          <w:rFonts w:ascii="Verdana" w:hAnsi="Verdana"/>
          <w:sz w:val="20"/>
          <w:szCs w:val="20"/>
          <w:lang w:val="es-ES"/>
        </w:rPr>
        <w:t xml:space="preserve">n </w:t>
      </w:r>
      <w:r>
        <w:rPr>
          <w:rFonts w:ascii="Verdana" w:hAnsi="Verdana"/>
          <w:sz w:val="20"/>
          <w:szCs w:val="20"/>
          <w:lang w:val="es-ES"/>
        </w:rPr>
        <w:t xml:space="preserve">a </w:t>
      </w:r>
      <w:r w:rsidRPr="008507CE">
        <w:rPr>
          <w:rFonts w:ascii="Verdana" w:hAnsi="Verdana"/>
          <w:sz w:val="20"/>
          <w:szCs w:val="20"/>
          <w:lang w:val="es-ES"/>
        </w:rPr>
        <w:t>la C</w:t>
      </w:r>
      <w:r>
        <w:rPr>
          <w:rFonts w:ascii="Verdana" w:hAnsi="Verdana"/>
          <w:sz w:val="20"/>
          <w:szCs w:val="20"/>
          <w:lang w:val="es-ES"/>
        </w:rPr>
        <w:t>omisión</w:t>
      </w:r>
      <w:r w:rsidRPr="008507CE">
        <w:rPr>
          <w:rFonts w:ascii="Verdana" w:hAnsi="Verdana"/>
          <w:sz w:val="20"/>
          <w:szCs w:val="20"/>
          <w:lang w:val="es-ES"/>
        </w:rPr>
        <w:t xml:space="preserve"> </w:t>
      </w:r>
      <w:r>
        <w:rPr>
          <w:rFonts w:ascii="Verdana" w:hAnsi="Verdana"/>
          <w:sz w:val="20"/>
          <w:szCs w:val="20"/>
          <w:lang w:val="es-ES"/>
        </w:rPr>
        <w:t xml:space="preserve">Interamericana </w:t>
      </w:r>
      <w:r w:rsidRPr="008507CE">
        <w:rPr>
          <w:rFonts w:ascii="Verdana" w:hAnsi="Verdana"/>
          <w:sz w:val="20"/>
          <w:szCs w:val="20"/>
          <w:lang w:val="es-ES"/>
        </w:rPr>
        <w:t>que agentes de</w:t>
      </w:r>
      <w:r>
        <w:rPr>
          <w:rFonts w:ascii="Verdana" w:hAnsi="Verdana"/>
          <w:sz w:val="20"/>
          <w:szCs w:val="20"/>
          <w:lang w:val="es-ES"/>
        </w:rPr>
        <w:t xml:space="preserve"> Salta</w:t>
      </w:r>
      <w:r w:rsidRPr="008507CE">
        <w:rPr>
          <w:rFonts w:ascii="Verdana" w:hAnsi="Verdana"/>
          <w:sz w:val="20"/>
          <w:szCs w:val="20"/>
          <w:lang w:val="es-ES"/>
        </w:rPr>
        <w:t xml:space="preserve"> continuaba</w:t>
      </w:r>
      <w:r>
        <w:rPr>
          <w:rFonts w:ascii="Verdana" w:hAnsi="Verdana"/>
          <w:sz w:val="20"/>
          <w:szCs w:val="20"/>
          <w:lang w:val="es-ES"/>
        </w:rPr>
        <w:t>n</w:t>
      </w:r>
      <w:r w:rsidRPr="008507CE">
        <w:rPr>
          <w:rFonts w:ascii="Verdana" w:hAnsi="Verdana"/>
          <w:sz w:val="20"/>
          <w:szCs w:val="20"/>
          <w:lang w:val="es-ES"/>
        </w:rPr>
        <w:t xml:space="preserve"> realizando mensuras y </w:t>
      </w:r>
      <w:r>
        <w:rPr>
          <w:rFonts w:ascii="Verdana" w:hAnsi="Verdana"/>
          <w:sz w:val="20"/>
          <w:szCs w:val="20"/>
          <w:lang w:val="es-ES"/>
        </w:rPr>
        <w:t xml:space="preserve">tareas de </w:t>
      </w:r>
      <w:r w:rsidRPr="008507CE">
        <w:rPr>
          <w:rFonts w:ascii="Verdana" w:hAnsi="Verdana"/>
          <w:sz w:val="20"/>
          <w:szCs w:val="20"/>
          <w:lang w:val="es-ES"/>
        </w:rPr>
        <w:t xml:space="preserve">amojonamiento en </w:t>
      </w:r>
      <w:r>
        <w:rPr>
          <w:rFonts w:ascii="Verdana" w:hAnsi="Verdana"/>
          <w:sz w:val="20"/>
          <w:szCs w:val="20"/>
          <w:lang w:val="es-ES"/>
        </w:rPr>
        <w:t>l</w:t>
      </w:r>
      <w:r w:rsidRPr="008507CE">
        <w:rPr>
          <w:rFonts w:ascii="Verdana" w:hAnsi="Verdana"/>
          <w:sz w:val="20"/>
          <w:szCs w:val="20"/>
          <w:lang w:val="es-ES"/>
        </w:rPr>
        <w:t xml:space="preserve">os </w:t>
      </w:r>
      <w:r>
        <w:rPr>
          <w:rFonts w:ascii="Verdana" w:hAnsi="Verdana"/>
          <w:sz w:val="20"/>
          <w:szCs w:val="20"/>
          <w:lang w:val="es-ES"/>
        </w:rPr>
        <w:t>l</w:t>
      </w:r>
      <w:r w:rsidRPr="008507CE">
        <w:rPr>
          <w:rFonts w:ascii="Verdana" w:hAnsi="Verdana"/>
          <w:sz w:val="20"/>
          <w:szCs w:val="20"/>
          <w:lang w:val="es-ES"/>
        </w:rPr>
        <w:t>otes 14 y 55</w:t>
      </w:r>
      <w:r w:rsidRPr="00C05164">
        <w:rPr>
          <w:rStyle w:val="Refdenotaalpie"/>
          <w:lang w:val="es-ES"/>
        </w:rPr>
        <w:footnoteReference w:id="63"/>
      </w:r>
      <w:r w:rsidRPr="008507CE">
        <w:rPr>
          <w:rFonts w:ascii="Verdana" w:hAnsi="Verdana"/>
          <w:sz w:val="20"/>
          <w:szCs w:val="20"/>
          <w:lang w:val="es-ES"/>
        </w:rPr>
        <w:t>.</w:t>
      </w:r>
      <w:r>
        <w:rPr>
          <w:rFonts w:ascii="Verdana" w:hAnsi="Verdana"/>
          <w:sz w:val="20"/>
          <w:szCs w:val="20"/>
          <w:lang w:val="es-ES"/>
        </w:rPr>
        <w:t xml:space="preserve"> El 5 d</w:t>
      </w:r>
      <w:r w:rsidRPr="008C4FA9">
        <w:rPr>
          <w:rFonts w:ascii="Verdana" w:hAnsi="Verdana"/>
          <w:sz w:val="20"/>
          <w:szCs w:val="20"/>
          <w:lang w:val="es-ES"/>
        </w:rPr>
        <w:t>e agosto</w:t>
      </w:r>
      <w:r w:rsidRPr="00DE24D2">
        <w:rPr>
          <w:rFonts w:ascii="Verdana" w:hAnsi="Verdana"/>
          <w:sz w:val="20"/>
          <w:szCs w:val="20"/>
          <w:lang w:val="es-ES"/>
        </w:rPr>
        <w:t xml:space="preserve"> de 2004</w:t>
      </w:r>
      <w:r w:rsidRPr="001E3405">
        <w:rPr>
          <w:rFonts w:ascii="Verdana" w:hAnsi="Verdana"/>
          <w:sz w:val="20"/>
          <w:szCs w:val="20"/>
          <w:lang w:val="es-ES"/>
        </w:rPr>
        <w:t xml:space="preserve">, el Estado expresó que se abstendría de realizar cualquier obra pública o de infraestructura que no fuera consensuada con los peticionarios y que no </w:t>
      </w:r>
      <w:r>
        <w:rPr>
          <w:rFonts w:ascii="Verdana" w:hAnsi="Verdana"/>
          <w:sz w:val="20"/>
          <w:szCs w:val="20"/>
          <w:lang w:val="es-ES"/>
        </w:rPr>
        <w:t xml:space="preserve">se </w:t>
      </w:r>
      <w:r w:rsidRPr="001E3405">
        <w:rPr>
          <w:rFonts w:ascii="Verdana" w:hAnsi="Verdana"/>
          <w:sz w:val="20"/>
          <w:szCs w:val="20"/>
          <w:lang w:val="es-ES"/>
        </w:rPr>
        <w:t>harían nuevas mensuras ni entregas parciales de tierra en los lotes reclamados</w:t>
      </w:r>
      <w:r>
        <w:rPr>
          <w:rStyle w:val="Refdenotaalpie"/>
          <w:lang w:val="es-ES"/>
        </w:rPr>
        <w:footnoteReference w:id="64"/>
      </w:r>
      <w:r w:rsidRPr="008C4FA9">
        <w:rPr>
          <w:rFonts w:ascii="Verdana" w:hAnsi="Verdana"/>
          <w:sz w:val="20"/>
          <w:szCs w:val="20"/>
          <w:lang w:val="es-ES"/>
        </w:rPr>
        <w:t xml:space="preserve">. </w:t>
      </w:r>
    </w:p>
    <w:p w14:paraId="6D16EF26" w14:textId="77777777" w:rsidR="009805F2" w:rsidRDefault="009805F2" w:rsidP="009805F2">
      <w:pPr>
        <w:pStyle w:val="Prrafodelista"/>
        <w:spacing w:line="240" w:lineRule="auto"/>
        <w:rPr>
          <w:rFonts w:ascii="Verdana" w:hAnsi="Verdana"/>
          <w:sz w:val="20"/>
          <w:szCs w:val="20"/>
          <w:lang w:val="es-ES"/>
        </w:rPr>
      </w:pPr>
    </w:p>
    <w:p w14:paraId="23E1817D" w14:textId="77777777" w:rsidR="009805F2" w:rsidRPr="002A21F3" w:rsidRDefault="009805F2" w:rsidP="009805F2">
      <w:pPr>
        <w:pStyle w:val="Prrafodelista"/>
        <w:spacing w:line="240" w:lineRule="auto"/>
        <w:ind w:left="567"/>
        <w:jc w:val="both"/>
        <w:outlineLvl w:val="2"/>
        <w:rPr>
          <w:rFonts w:ascii="Verdana" w:hAnsi="Verdana"/>
          <w:b/>
          <w:sz w:val="20"/>
          <w:szCs w:val="20"/>
          <w:lang w:val="es-CR"/>
        </w:rPr>
      </w:pPr>
      <w:bookmarkStart w:id="84" w:name="_Toc22224871"/>
      <w:bookmarkStart w:id="85" w:name="_Toc32218832"/>
      <w:bookmarkStart w:id="86" w:name="_Toc32227102"/>
      <w:bookmarkStart w:id="87" w:name="_Toc34337531"/>
      <w:r w:rsidRPr="002A21F3">
        <w:rPr>
          <w:rFonts w:ascii="Verdana" w:hAnsi="Verdana"/>
          <w:b/>
          <w:i/>
          <w:sz w:val="20"/>
          <w:szCs w:val="20"/>
          <w:lang w:val="es-ES"/>
        </w:rPr>
        <w:t>C</w:t>
      </w:r>
      <w:r w:rsidRPr="002A21F3">
        <w:rPr>
          <w:rFonts w:ascii="Verdana" w:hAnsi="Verdana"/>
          <w:b/>
          <w:i/>
          <w:sz w:val="20"/>
          <w:szCs w:val="20"/>
          <w:lang w:val="es-CR"/>
        </w:rPr>
        <w:t>.3 Tercera fase (2005-2006): Creación de la Unidad Ejecutora Provincial (UEP), referéndum y acciones posteriores</w:t>
      </w:r>
      <w:bookmarkEnd w:id="84"/>
      <w:bookmarkEnd w:id="85"/>
      <w:bookmarkEnd w:id="86"/>
      <w:bookmarkEnd w:id="87"/>
    </w:p>
    <w:p w14:paraId="1D31557B" w14:textId="77777777" w:rsidR="009805F2" w:rsidRPr="005404AC" w:rsidRDefault="009805F2" w:rsidP="009805F2">
      <w:pPr>
        <w:pStyle w:val="Prrafodelista"/>
        <w:spacing w:line="240" w:lineRule="auto"/>
        <w:rPr>
          <w:rFonts w:ascii="Verdana" w:hAnsi="Verdana"/>
          <w:sz w:val="20"/>
          <w:szCs w:val="20"/>
          <w:lang w:val="es-CR"/>
        </w:rPr>
      </w:pPr>
    </w:p>
    <w:p w14:paraId="08A90496" w14:textId="77777777" w:rsidR="009805F2" w:rsidRPr="00BB0AE9" w:rsidRDefault="009805F2" w:rsidP="009805F2">
      <w:pPr>
        <w:pStyle w:val="Prrafodelista"/>
        <w:numPr>
          <w:ilvl w:val="0"/>
          <w:numId w:val="1"/>
        </w:numPr>
        <w:spacing w:after="0" w:line="240" w:lineRule="auto"/>
        <w:ind w:left="0" w:firstLine="0"/>
        <w:jc w:val="both"/>
        <w:rPr>
          <w:rFonts w:ascii="Verdana" w:hAnsi="Verdana"/>
          <w:sz w:val="16"/>
          <w:szCs w:val="16"/>
          <w:lang w:val="es-ES"/>
        </w:rPr>
      </w:pPr>
      <w:r w:rsidRPr="005F0DBB">
        <w:rPr>
          <w:rFonts w:ascii="Verdana" w:hAnsi="Verdana"/>
          <w:sz w:val="20"/>
          <w:szCs w:val="20"/>
          <w:lang w:val="es-ES"/>
        </w:rPr>
        <w:t>El 2 de marzo de 2005, la Provincia de Salta present</w:t>
      </w:r>
      <w:r>
        <w:rPr>
          <w:rFonts w:ascii="Verdana" w:hAnsi="Verdana"/>
          <w:sz w:val="20"/>
          <w:szCs w:val="20"/>
          <w:lang w:val="es-ES"/>
        </w:rPr>
        <w:t>ó</w:t>
      </w:r>
      <w:r w:rsidRPr="005F0DBB">
        <w:rPr>
          <w:rFonts w:ascii="Verdana" w:hAnsi="Verdana"/>
          <w:sz w:val="20"/>
          <w:szCs w:val="20"/>
          <w:lang w:val="es-ES"/>
        </w:rPr>
        <w:t xml:space="preserve"> en </w:t>
      </w:r>
      <w:r>
        <w:rPr>
          <w:rFonts w:ascii="Verdana" w:hAnsi="Verdana"/>
          <w:sz w:val="20"/>
          <w:szCs w:val="20"/>
          <w:lang w:val="es-ES"/>
        </w:rPr>
        <w:t xml:space="preserve">una </w:t>
      </w:r>
      <w:r w:rsidRPr="005F0DBB">
        <w:rPr>
          <w:rFonts w:ascii="Verdana" w:hAnsi="Verdana"/>
          <w:sz w:val="20"/>
          <w:szCs w:val="20"/>
          <w:lang w:val="es-ES"/>
        </w:rPr>
        <w:t>reunión de trabajo en la sede de la C</w:t>
      </w:r>
      <w:r>
        <w:rPr>
          <w:rFonts w:ascii="Verdana" w:hAnsi="Verdana"/>
          <w:sz w:val="20"/>
          <w:szCs w:val="20"/>
          <w:lang w:val="es-ES"/>
        </w:rPr>
        <w:t>omisión Interamericana</w:t>
      </w:r>
      <w:r w:rsidRPr="005F0DBB">
        <w:rPr>
          <w:rFonts w:ascii="Verdana" w:hAnsi="Verdana"/>
          <w:sz w:val="20"/>
          <w:szCs w:val="20"/>
          <w:lang w:val="es-ES"/>
        </w:rPr>
        <w:t>, una propuesta de distribución de las tierras</w:t>
      </w:r>
      <w:r>
        <w:rPr>
          <w:rStyle w:val="Refdenotaalpie"/>
          <w:lang w:val="es-ES"/>
        </w:rPr>
        <w:footnoteReference w:id="65"/>
      </w:r>
      <w:r w:rsidRPr="005F0DBB">
        <w:rPr>
          <w:rFonts w:ascii="Verdana" w:hAnsi="Verdana"/>
          <w:sz w:val="20"/>
          <w:szCs w:val="20"/>
          <w:lang w:val="es-ES"/>
        </w:rPr>
        <w:t xml:space="preserve">. </w:t>
      </w:r>
    </w:p>
    <w:p w14:paraId="5721AB1C" w14:textId="77777777" w:rsidR="009805F2" w:rsidRPr="005F0DBB" w:rsidRDefault="009805F2" w:rsidP="009805F2">
      <w:pPr>
        <w:pStyle w:val="Prrafodelista"/>
        <w:spacing w:line="240" w:lineRule="auto"/>
        <w:ind w:left="0"/>
        <w:rPr>
          <w:rFonts w:ascii="Verdana" w:hAnsi="Verdana"/>
          <w:sz w:val="20"/>
          <w:szCs w:val="20"/>
          <w:lang w:val="es-ES"/>
        </w:rPr>
      </w:pPr>
    </w:p>
    <w:p w14:paraId="41AE28FD" w14:textId="4991605B" w:rsidR="009805F2" w:rsidRDefault="009805F2" w:rsidP="009805F2">
      <w:pPr>
        <w:pStyle w:val="Prrafodelista"/>
        <w:numPr>
          <w:ilvl w:val="0"/>
          <w:numId w:val="1"/>
        </w:numPr>
        <w:spacing w:after="0" w:line="240" w:lineRule="auto"/>
        <w:ind w:left="0" w:firstLine="0"/>
        <w:jc w:val="both"/>
        <w:rPr>
          <w:rFonts w:ascii="Verdana" w:hAnsi="Verdana"/>
          <w:sz w:val="16"/>
          <w:szCs w:val="16"/>
          <w:lang w:val="es-ES"/>
        </w:rPr>
      </w:pPr>
      <w:r w:rsidRPr="005F0DBB">
        <w:rPr>
          <w:rFonts w:ascii="Verdana" w:hAnsi="Verdana"/>
          <w:sz w:val="20"/>
          <w:szCs w:val="20"/>
          <w:lang w:val="es-ES"/>
        </w:rPr>
        <w:t xml:space="preserve">El 10 </w:t>
      </w:r>
      <w:r>
        <w:rPr>
          <w:rFonts w:ascii="Verdana" w:hAnsi="Verdana"/>
          <w:sz w:val="20"/>
          <w:szCs w:val="20"/>
          <w:lang w:val="es-ES"/>
        </w:rPr>
        <w:t>de mayo de 2005 fue publicado el</w:t>
      </w:r>
      <w:r w:rsidRPr="005F0DBB">
        <w:rPr>
          <w:rFonts w:ascii="Verdana" w:hAnsi="Verdana"/>
          <w:sz w:val="20"/>
          <w:szCs w:val="20"/>
          <w:lang w:val="es-ES"/>
        </w:rPr>
        <w:t xml:space="preserve"> Decreto </w:t>
      </w:r>
      <w:r>
        <w:rPr>
          <w:rFonts w:ascii="Verdana" w:hAnsi="Verdana"/>
          <w:sz w:val="20"/>
          <w:szCs w:val="20"/>
          <w:lang w:val="es-ES"/>
        </w:rPr>
        <w:t xml:space="preserve">provincial </w:t>
      </w:r>
      <w:r w:rsidRPr="005F0DBB">
        <w:rPr>
          <w:rFonts w:ascii="Verdana" w:hAnsi="Verdana"/>
          <w:sz w:val="20"/>
          <w:szCs w:val="20"/>
          <w:lang w:val="es-ES"/>
        </w:rPr>
        <w:t>939/05, por medio del cual se creó la “Unidad Ejecutora Provincial - UEP”</w:t>
      </w:r>
      <w:r>
        <w:rPr>
          <w:rFonts w:ascii="Verdana" w:hAnsi="Verdana"/>
          <w:sz w:val="20"/>
          <w:szCs w:val="20"/>
          <w:lang w:val="es-ES"/>
        </w:rPr>
        <w:t xml:space="preserve"> </w:t>
      </w:r>
      <w:r w:rsidRPr="005F0DBB">
        <w:rPr>
          <w:rFonts w:ascii="Verdana" w:hAnsi="Verdana"/>
          <w:sz w:val="20"/>
          <w:szCs w:val="20"/>
          <w:lang w:val="es-ES"/>
        </w:rPr>
        <w:t>con la finalidad de ser la autoridad</w:t>
      </w:r>
      <w:r w:rsidR="007C596A">
        <w:rPr>
          <w:rFonts w:ascii="Verdana" w:hAnsi="Verdana"/>
          <w:sz w:val="20"/>
          <w:szCs w:val="20"/>
          <w:lang w:val="es-ES"/>
        </w:rPr>
        <w:t xml:space="preserve"> encargada de</w:t>
      </w:r>
      <w:r w:rsidRPr="005F0DBB">
        <w:rPr>
          <w:rFonts w:ascii="Verdana" w:hAnsi="Verdana"/>
          <w:sz w:val="20"/>
          <w:szCs w:val="20"/>
          <w:lang w:val="es-ES"/>
        </w:rPr>
        <w:t xml:space="preserve"> ejecutar la propuesta de </w:t>
      </w:r>
      <w:r>
        <w:rPr>
          <w:rFonts w:ascii="Verdana" w:hAnsi="Verdana"/>
          <w:sz w:val="20"/>
          <w:szCs w:val="20"/>
          <w:lang w:val="es-ES"/>
        </w:rPr>
        <w:t>Salta</w:t>
      </w:r>
      <w:r w:rsidRPr="005F0DBB">
        <w:rPr>
          <w:rFonts w:ascii="Verdana" w:hAnsi="Verdana"/>
          <w:sz w:val="20"/>
          <w:szCs w:val="20"/>
          <w:lang w:val="es-ES"/>
        </w:rPr>
        <w:t xml:space="preserve"> de marzo de 2005</w:t>
      </w:r>
      <w:r>
        <w:rPr>
          <w:rFonts w:ascii="Verdana" w:hAnsi="Verdana"/>
          <w:sz w:val="20"/>
          <w:szCs w:val="20"/>
          <w:lang w:val="es-ES"/>
        </w:rPr>
        <w:t xml:space="preserve">, </w:t>
      </w:r>
      <w:r w:rsidR="007C596A">
        <w:rPr>
          <w:rFonts w:ascii="Verdana" w:hAnsi="Verdana"/>
          <w:sz w:val="20"/>
          <w:szCs w:val="20"/>
          <w:lang w:val="es-ES"/>
        </w:rPr>
        <w:t>siendo una de sus</w:t>
      </w:r>
      <w:r>
        <w:rPr>
          <w:rFonts w:ascii="Verdana" w:hAnsi="Verdana"/>
          <w:sz w:val="20"/>
          <w:szCs w:val="20"/>
          <w:lang w:val="es-ES"/>
        </w:rPr>
        <w:t xml:space="preserve"> funciones identificar la zona de ocupación tradicional y de traslado de criollos, así como verificar los acuerdos de relocalización</w:t>
      </w:r>
      <w:r w:rsidRPr="00C05164">
        <w:rPr>
          <w:rStyle w:val="Refdenotaalpie"/>
          <w:lang w:val="es-ES"/>
        </w:rPr>
        <w:footnoteReference w:id="66"/>
      </w:r>
      <w:r w:rsidRPr="005F0DBB">
        <w:rPr>
          <w:rFonts w:ascii="Verdana" w:hAnsi="Verdana"/>
          <w:sz w:val="20"/>
          <w:szCs w:val="20"/>
          <w:lang w:val="es-ES"/>
        </w:rPr>
        <w:t>.</w:t>
      </w:r>
    </w:p>
    <w:p w14:paraId="51674741" w14:textId="77777777" w:rsidR="009805F2" w:rsidRPr="00A95802" w:rsidRDefault="009805F2" w:rsidP="009805F2">
      <w:pPr>
        <w:pStyle w:val="Prrafodelista"/>
        <w:spacing w:line="240" w:lineRule="auto"/>
        <w:ind w:left="0"/>
        <w:rPr>
          <w:rFonts w:ascii="Verdana" w:hAnsi="Verdana"/>
          <w:sz w:val="20"/>
          <w:szCs w:val="20"/>
        </w:rPr>
      </w:pPr>
    </w:p>
    <w:p w14:paraId="02255E2F" w14:textId="47C33917" w:rsidR="009805F2" w:rsidRDefault="009805F2" w:rsidP="009805F2">
      <w:pPr>
        <w:pStyle w:val="Prrafodelista"/>
        <w:numPr>
          <w:ilvl w:val="0"/>
          <w:numId w:val="1"/>
        </w:numPr>
        <w:spacing w:after="0" w:line="240" w:lineRule="auto"/>
        <w:ind w:left="0" w:firstLine="0"/>
        <w:jc w:val="both"/>
        <w:rPr>
          <w:rFonts w:ascii="Verdana" w:hAnsi="Verdana"/>
          <w:sz w:val="16"/>
          <w:szCs w:val="16"/>
          <w:lang w:val="es-ES"/>
        </w:rPr>
      </w:pPr>
      <w:r w:rsidRPr="00A95802">
        <w:rPr>
          <w:rFonts w:ascii="Verdana" w:hAnsi="Verdana"/>
          <w:sz w:val="20"/>
          <w:szCs w:val="20"/>
        </w:rPr>
        <w:t>En marzo de 2005, en el marco del trámite internacional del caso ante la Comisión, Salta manifestó su intención de convocar un referéndum. Entre mayo y julio de ese año diversas entidades estatales nacionales manifestaron su oposición a la consulta</w:t>
      </w:r>
      <w:r>
        <w:rPr>
          <w:rStyle w:val="Refdenotaalpie"/>
          <w:lang w:val="es-ES"/>
        </w:rPr>
        <w:footnoteReference w:id="67"/>
      </w:r>
      <w:r w:rsidRPr="00A95802">
        <w:rPr>
          <w:rFonts w:ascii="Verdana" w:hAnsi="Verdana"/>
          <w:sz w:val="20"/>
          <w:szCs w:val="20"/>
        </w:rPr>
        <w:t xml:space="preserve">. No obstante, el 25 de julio </w:t>
      </w:r>
      <w:r>
        <w:rPr>
          <w:rFonts w:ascii="Verdana" w:hAnsi="Verdana"/>
          <w:sz w:val="20"/>
          <w:szCs w:val="20"/>
        </w:rPr>
        <w:t>de 2005</w:t>
      </w:r>
      <w:r w:rsidRPr="00A95802">
        <w:rPr>
          <w:rFonts w:ascii="Verdana" w:hAnsi="Verdana"/>
          <w:sz w:val="20"/>
          <w:szCs w:val="20"/>
        </w:rPr>
        <w:t xml:space="preserve"> se publicó la ley provincial 7</w:t>
      </w:r>
      <w:r>
        <w:rPr>
          <w:rFonts w:ascii="Verdana" w:hAnsi="Verdana"/>
          <w:sz w:val="20"/>
          <w:szCs w:val="20"/>
        </w:rPr>
        <w:t>.</w:t>
      </w:r>
      <w:r w:rsidRPr="00A95802">
        <w:rPr>
          <w:rFonts w:ascii="Verdana" w:hAnsi="Verdana"/>
          <w:sz w:val="20"/>
          <w:szCs w:val="20"/>
        </w:rPr>
        <w:t>352. La misma convocó al referéndum, para que el conjunto de la población del Departamento Rivadavia habilitada a sufragar decid</w:t>
      </w:r>
      <w:r w:rsidR="00E41756">
        <w:rPr>
          <w:rFonts w:ascii="Verdana" w:hAnsi="Verdana"/>
          <w:sz w:val="20"/>
          <w:szCs w:val="20"/>
        </w:rPr>
        <w:t>ier</w:t>
      </w:r>
      <w:r w:rsidRPr="00A95802">
        <w:rPr>
          <w:rFonts w:ascii="Verdana" w:hAnsi="Verdana"/>
          <w:sz w:val="20"/>
          <w:szCs w:val="20"/>
        </w:rPr>
        <w:t>a sobre la “entreg[a]” de la tierra de los lotes 14 y 55. En términos precisos, la ley convocó “a los electores del departamento Rivadavia para que se expid</w:t>
      </w:r>
      <w:r w:rsidR="00E41756">
        <w:rPr>
          <w:rFonts w:ascii="Verdana" w:hAnsi="Verdana"/>
          <w:sz w:val="20"/>
          <w:szCs w:val="20"/>
        </w:rPr>
        <w:t>ier</w:t>
      </w:r>
      <w:r w:rsidRPr="00A95802">
        <w:rPr>
          <w:rFonts w:ascii="Verdana" w:hAnsi="Verdana"/>
          <w:sz w:val="20"/>
          <w:szCs w:val="20"/>
        </w:rPr>
        <w:t>an respondiendo por sí o por no, sobre si e</w:t>
      </w:r>
      <w:r w:rsidR="00E41756">
        <w:rPr>
          <w:rFonts w:ascii="Verdana" w:hAnsi="Verdana"/>
          <w:sz w:val="20"/>
          <w:szCs w:val="20"/>
        </w:rPr>
        <w:t>[ra]</w:t>
      </w:r>
      <w:r w:rsidRPr="00A95802">
        <w:rPr>
          <w:rFonts w:ascii="Verdana" w:hAnsi="Verdana"/>
          <w:sz w:val="20"/>
          <w:szCs w:val="20"/>
        </w:rPr>
        <w:t xml:space="preserve"> su voluntad que se entreg</w:t>
      </w:r>
      <w:r w:rsidR="00E41756">
        <w:rPr>
          <w:rFonts w:ascii="Verdana" w:hAnsi="Verdana"/>
          <w:sz w:val="20"/>
          <w:szCs w:val="20"/>
        </w:rPr>
        <w:t>[aran]</w:t>
      </w:r>
      <w:r w:rsidRPr="00A95802">
        <w:rPr>
          <w:rFonts w:ascii="Verdana" w:hAnsi="Verdana"/>
          <w:sz w:val="20"/>
          <w:szCs w:val="20"/>
        </w:rPr>
        <w:t xml:space="preserve"> las tierras correspondientes a los lotes fiscales 55 y 14 a sus actuales ocupantes”. </w:t>
      </w:r>
      <w:r w:rsidRPr="00A95802">
        <w:rPr>
          <w:rFonts w:ascii="Verdana" w:hAnsi="Verdana"/>
          <w:sz w:val="20"/>
          <w:szCs w:val="20"/>
          <w:lang w:val="es-ES"/>
        </w:rPr>
        <w:t>El 8 de octubre de 2005, los caciques pertenecientes a Lhaka Honhat firmaron una declaración pública pidiendo la suspensión del referéndum</w:t>
      </w:r>
      <w:r w:rsidRPr="00C05164">
        <w:rPr>
          <w:rStyle w:val="Refdenotaalpie"/>
          <w:lang w:val="es-ES"/>
        </w:rPr>
        <w:footnoteReference w:id="68"/>
      </w:r>
      <w:r w:rsidRPr="00A95802">
        <w:rPr>
          <w:rFonts w:ascii="Verdana" w:hAnsi="Verdana"/>
          <w:sz w:val="20"/>
          <w:szCs w:val="20"/>
          <w:lang w:val="es-ES"/>
        </w:rPr>
        <w:t>.</w:t>
      </w:r>
    </w:p>
    <w:p w14:paraId="6E9AF52E" w14:textId="77777777" w:rsidR="009805F2" w:rsidRPr="00A95802" w:rsidRDefault="009805F2" w:rsidP="009805F2">
      <w:pPr>
        <w:pStyle w:val="Prrafodelista"/>
        <w:spacing w:line="240" w:lineRule="auto"/>
        <w:ind w:left="0"/>
        <w:rPr>
          <w:rFonts w:ascii="Verdana" w:hAnsi="Verdana"/>
          <w:sz w:val="20"/>
          <w:szCs w:val="20"/>
        </w:rPr>
      </w:pPr>
    </w:p>
    <w:p w14:paraId="49BCEA30" w14:textId="28D042B7" w:rsidR="009805F2" w:rsidRPr="00A95802" w:rsidRDefault="009805F2" w:rsidP="009805F2">
      <w:pPr>
        <w:pStyle w:val="Prrafodelista"/>
        <w:numPr>
          <w:ilvl w:val="0"/>
          <w:numId w:val="1"/>
        </w:numPr>
        <w:spacing w:after="0" w:line="240" w:lineRule="auto"/>
        <w:ind w:left="0" w:firstLine="0"/>
        <w:jc w:val="both"/>
        <w:rPr>
          <w:rFonts w:ascii="Verdana" w:hAnsi="Verdana"/>
          <w:sz w:val="16"/>
          <w:szCs w:val="16"/>
          <w:lang w:val="es-ES"/>
        </w:rPr>
      </w:pPr>
      <w:r w:rsidRPr="00A95802">
        <w:rPr>
          <w:rFonts w:ascii="Verdana" w:hAnsi="Verdana"/>
          <w:sz w:val="20"/>
          <w:szCs w:val="20"/>
        </w:rPr>
        <w:t>El referéndum se llevó a cabo e</w:t>
      </w:r>
      <w:r w:rsidRPr="00A95802">
        <w:rPr>
          <w:rFonts w:ascii="Verdana" w:hAnsi="Verdana"/>
          <w:sz w:val="20"/>
          <w:szCs w:val="20"/>
          <w:lang w:val="es-ES"/>
        </w:rPr>
        <w:t>l 23 de octubre de 2005, junto con las elecciones legislativas provinciales y nacionales. La boleta del “Sí” expresaba la “voluntad [de] que se entreg</w:t>
      </w:r>
      <w:r w:rsidR="00E41756">
        <w:rPr>
          <w:rFonts w:ascii="Verdana" w:hAnsi="Verdana"/>
          <w:sz w:val="20"/>
          <w:szCs w:val="20"/>
          <w:lang w:val="es-ES"/>
        </w:rPr>
        <w:t>[aran]</w:t>
      </w:r>
      <w:r w:rsidRPr="00A95802">
        <w:rPr>
          <w:rFonts w:ascii="Verdana" w:hAnsi="Verdana"/>
          <w:sz w:val="20"/>
          <w:szCs w:val="20"/>
          <w:lang w:val="es-ES"/>
        </w:rPr>
        <w:t xml:space="preserve"> las tierras correspondientes a los lotes fiscales 55 y 14 a sus actuales ocupantes, tanto aborígenes como criollos, ejecutándose las obras de infraestructura necesarias”. El “Sí” result</w:t>
      </w:r>
      <w:r>
        <w:rPr>
          <w:rFonts w:ascii="Verdana" w:hAnsi="Verdana"/>
          <w:sz w:val="20"/>
          <w:szCs w:val="20"/>
          <w:lang w:val="es-ES"/>
        </w:rPr>
        <w:t>ó</w:t>
      </w:r>
      <w:r w:rsidRPr="00A95802">
        <w:rPr>
          <w:rFonts w:ascii="Verdana" w:hAnsi="Verdana"/>
          <w:sz w:val="20"/>
          <w:szCs w:val="20"/>
          <w:lang w:val="es-ES"/>
        </w:rPr>
        <w:t xml:space="preserve"> mayoritario, con un 98% de los votos</w:t>
      </w:r>
      <w:r w:rsidRPr="00C05164">
        <w:rPr>
          <w:rStyle w:val="Refdenotaalpie"/>
          <w:lang w:val="es-ES"/>
        </w:rPr>
        <w:footnoteReference w:id="69"/>
      </w:r>
      <w:r w:rsidRPr="00A95802">
        <w:rPr>
          <w:rFonts w:ascii="Verdana" w:hAnsi="Verdana"/>
          <w:sz w:val="20"/>
          <w:szCs w:val="20"/>
          <w:lang w:val="es-ES"/>
        </w:rPr>
        <w:t>.</w:t>
      </w:r>
      <w:r w:rsidRPr="00A95802">
        <w:rPr>
          <w:rFonts w:ascii="Verdana" w:hAnsi="Verdana"/>
          <w:sz w:val="16"/>
          <w:szCs w:val="16"/>
          <w:lang w:val="es-ES"/>
        </w:rPr>
        <w:t xml:space="preserve"> </w:t>
      </w:r>
    </w:p>
    <w:p w14:paraId="6F710362" w14:textId="77777777" w:rsidR="009805F2" w:rsidRPr="00717ED3" w:rsidRDefault="009805F2" w:rsidP="009805F2">
      <w:pPr>
        <w:pStyle w:val="Prrafodelista"/>
        <w:spacing w:line="240" w:lineRule="auto"/>
        <w:ind w:left="0"/>
      </w:pPr>
    </w:p>
    <w:p w14:paraId="5D9BBF89" w14:textId="77777777" w:rsidR="009805F2" w:rsidRPr="00320A88" w:rsidRDefault="009805F2" w:rsidP="009805F2">
      <w:pPr>
        <w:pStyle w:val="Prrafodelista"/>
        <w:numPr>
          <w:ilvl w:val="0"/>
          <w:numId w:val="1"/>
        </w:numPr>
        <w:spacing w:after="0" w:line="240" w:lineRule="auto"/>
        <w:ind w:left="0" w:firstLine="0"/>
        <w:jc w:val="both"/>
        <w:rPr>
          <w:rFonts w:ascii="Verdana" w:hAnsi="Verdana"/>
          <w:sz w:val="20"/>
          <w:szCs w:val="20"/>
          <w:lang w:val="es-ES"/>
        </w:rPr>
      </w:pPr>
      <w:r w:rsidRPr="00320A88">
        <w:rPr>
          <w:rFonts w:ascii="Verdana" w:hAnsi="Verdana"/>
          <w:sz w:val="20"/>
          <w:szCs w:val="20"/>
          <w:lang w:val="es-ES"/>
        </w:rPr>
        <w:lastRenderedPageBreak/>
        <w:t xml:space="preserve">Entre el 2 de diciembre de 2005 y el 19 de abril de 2006 Salta publicó </w:t>
      </w:r>
      <w:r>
        <w:rPr>
          <w:rFonts w:ascii="Verdana" w:hAnsi="Verdana"/>
          <w:sz w:val="20"/>
          <w:szCs w:val="20"/>
          <w:lang w:val="es-ES"/>
        </w:rPr>
        <w:t>disposiciones</w:t>
      </w:r>
      <w:r w:rsidRPr="00320A88">
        <w:rPr>
          <w:rFonts w:ascii="Verdana" w:hAnsi="Verdana"/>
          <w:sz w:val="20"/>
          <w:szCs w:val="20"/>
          <w:lang w:val="es-ES"/>
        </w:rPr>
        <w:t xml:space="preserve"> tendientes a ejecutar acciones para concretar la entrega de tierras luego de los resultados del refer</w:t>
      </w:r>
      <w:r>
        <w:rPr>
          <w:rFonts w:ascii="Verdana" w:hAnsi="Verdana"/>
          <w:sz w:val="20"/>
          <w:szCs w:val="20"/>
          <w:lang w:val="es-ES"/>
        </w:rPr>
        <w:t>é</w:t>
      </w:r>
      <w:r w:rsidRPr="00320A88">
        <w:rPr>
          <w:rFonts w:ascii="Verdana" w:hAnsi="Verdana"/>
          <w:sz w:val="20"/>
          <w:szCs w:val="20"/>
          <w:lang w:val="es-ES"/>
        </w:rPr>
        <w:t>ndum, convocando a familias criollas a presentar formularios para acreditar</w:t>
      </w:r>
      <w:r>
        <w:rPr>
          <w:rFonts w:ascii="Verdana" w:hAnsi="Verdana"/>
          <w:sz w:val="20"/>
          <w:szCs w:val="20"/>
          <w:lang w:val="es-ES"/>
        </w:rPr>
        <w:t>, al efecto,</w:t>
      </w:r>
      <w:r w:rsidRPr="00320A88">
        <w:rPr>
          <w:rFonts w:ascii="Verdana" w:hAnsi="Verdana"/>
          <w:sz w:val="20"/>
          <w:szCs w:val="20"/>
          <w:lang w:val="es-ES"/>
        </w:rPr>
        <w:t xml:space="preserve"> </w:t>
      </w:r>
      <w:r>
        <w:rPr>
          <w:rFonts w:ascii="Verdana" w:hAnsi="Verdana"/>
          <w:sz w:val="20"/>
          <w:szCs w:val="20"/>
          <w:lang w:val="es-ES"/>
        </w:rPr>
        <w:t xml:space="preserve">determinados </w:t>
      </w:r>
      <w:r w:rsidRPr="00320A88">
        <w:rPr>
          <w:rFonts w:ascii="Verdana" w:hAnsi="Verdana"/>
          <w:sz w:val="20"/>
          <w:szCs w:val="20"/>
          <w:lang w:val="es-ES"/>
        </w:rPr>
        <w:t>requisitos</w:t>
      </w:r>
      <w:r w:rsidRPr="00320A88">
        <w:rPr>
          <w:rStyle w:val="Refdenotaalpie"/>
          <w:lang w:val="es-ES"/>
        </w:rPr>
        <w:footnoteReference w:id="70"/>
      </w:r>
      <w:r w:rsidRPr="00320A88">
        <w:rPr>
          <w:rFonts w:ascii="Verdana" w:hAnsi="Verdana"/>
          <w:sz w:val="20"/>
          <w:szCs w:val="20"/>
          <w:lang w:val="es-ES"/>
        </w:rPr>
        <w:t xml:space="preserve">. </w:t>
      </w:r>
    </w:p>
    <w:p w14:paraId="3B0FCB34" w14:textId="77777777" w:rsidR="009805F2" w:rsidRPr="00320A88" w:rsidRDefault="009805F2" w:rsidP="009805F2">
      <w:pPr>
        <w:pStyle w:val="Prrafodelista"/>
        <w:spacing w:line="240" w:lineRule="auto"/>
        <w:ind w:left="0"/>
        <w:jc w:val="both"/>
        <w:rPr>
          <w:rFonts w:ascii="Verdana" w:hAnsi="Verdana"/>
          <w:sz w:val="16"/>
          <w:szCs w:val="16"/>
          <w:lang w:val="es-ES"/>
        </w:rPr>
      </w:pPr>
    </w:p>
    <w:p w14:paraId="67F35AF6" w14:textId="0F6A98A6" w:rsidR="009805F2" w:rsidRPr="00D710FC" w:rsidRDefault="009805F2" w:rsidP="009805F2">
      <w:pPr>
        <w:pStyle w:val="Prrafodelista"/>
        <w:numPr>
          <w:ilvl w:val="0"/>
          <w:numId w:val="1"/>
        </w:numPr>
        <w:spacing w:after="0" w:line="240" w:lineRule="auto"/>
        <w:ind w:left="0" w:firstLine="0"/>
        <w:jc w:val="both"/>
        <w:rPr>
          <w:rFonts w:ascii="Verdana" w:hAnsi="Verdana"/>
          <w:sz w:val="16"/>
          <w:szCs w:val="16"/>
          <w:lang w:val="es-ES"/>
        </w:rPr>
      </w:pPr>
      <w:r>
        <w:rPr>
          <w:rFonts w:ascii="Verdana" w:hAnsi="Verdana"/>
          <w:sz w:val="20"/>
          <w:szCs w:val="20"/>
          <w:lang w:val="es-ES"/>
        </w:rPr>
        <w:t>Pese a lo anterior, e</w:t>
      </w:r>
      <w:r w:rsidRPr="00320A88">
        <w:rPr>
          <w:rFonts w:ascii="Verdana" w:hAnsi="Verdana"/>
          <w:sz w:val="20"/>
          <w:szCs w:val="20"/>
          <w:lang w:val="es-ES"/>
        </w:rPr>
        <w:t>l 14 de marzo de 2006, en una reunión entre el Secretario General de la Gobernación de Salta y el coordinador general de Lhaka Honhat,</w:t>
      </w:r>
      <w:r>
        <w:rPr>
          <w:rFonts w:ascii="Verdana" w:hAnsi="Verdana"/>
          <w:sz w:val="20"/>
          <w:szCs w:val="20"/>
          <w:lang w:val="es-ES"/>
        </w:rPr>
        <w:t xml:space="preserve"> </w:t>
      </w:r>
      <w:r w:rsidRPr="00320A88">
        <w:rPr>
          <w:rFonts w:ascii="Verdana" w:hAnsi="Verdana"/>
          <w:sz w:val="20"/>
          <w:szCs w:val="20"/>
          <w:lang w:val="es-ES"/>
        </w:rPr>
        <w:t>se acordó que las tierras debían re</w:t>
      </w:r>
      <w:r w:rsidR="00F349E7">
        <w:rPr>
          <w:rFonts w:ascii="Verdana" w:hAnsi="Verdana"/>
          <w:sz w:val="20"/>
          <w:szCs w:val="20"/>
          <w:lang w:val="es-ES"/>
        </w:rPr>
        <w:t>spetar la ocupación tradicional,</w:t>
      </w:r>
      <w:r w:rsidRPr="00320A88">
        <w:rPr>
          <w:rFonts w:ascii="Verdana" w:hAnsi="Verdana"/>
          <w:sz w:val="20"/>
          <w:szCs w:val="20"/>
          <w:lang w:val="es-ES"/>
        </w:rPr>
        <w:t xml:space="preserve"> es decir, un mínimo de 400</w:t>
      </w:r>
      <w:r>
        <w:rPr>
          <w:rFonts w:ascii="Verdana" w:hAnsi="Verdana"/>
          <w:sz w:val="20"/>
          <w:szCs w:val="20"/>
          <w:lang w:val="es-ES"/>
        </w:rPr>
        <w:t>.</w:t>
      </w:r>
      <w:r w:rsidRPr="00320A88">
        <w:rPr>
          <w:rFonts w:ascii="Verdana" w:hAnsi="Verdana"/>
          <w:sz w:val="20"/>
          <w:szCs w:val="20"/>
          <w:lang w:val="es-ES"/>
        </w:rPr>
        <w:t>000 h</w:t>
      </w:r>
      <w:r>
        <w:rPr>
          <w:rFonts w:ascii="Verdana" w:hAnsi="Verdana"/>
          <w:sz w:val="20"/>
          <w:szCs w:val="20"/>
          <w:lang w:val="es-ES"/>
        </w:rPr>
        <w:t>a</w:t>
      </w:r>
      <w:r w:rsidRPr="00320A88">
        <w:rPr>
          <w:rFonts w:ascii="Verdana" w:hAnsi="Verdana"/>
          <w:sz w:val="20"/>
          <w:szCs w:val="20"/>
          <w:lang w:val="es-ES"/>
        </w:rPr>
        <w:t xml:space="preserve"> en un título único. Al respecto, los representantes indicaron que luego del mapeo que se realizó a principios de 2000, se concluyó que las comunidades utilizaban cerca de 530</w:t>
      </w:r>
      <w:r>
        <w:rPr>
          <w:rFonts w:ascii="Verdana" w:hAnsi="Verdana"/>
          <w:sz w:val="20"/>
          <w:szCs w:val="20"/>
          <w:lang w:val="es-ES"/>
        </w:rPr>
        <w:t>.</w:t>
      </w:r>
      <w:r w:rsidRPr="00320A88">
        <w:rPr>
          <w:rFonts w:ascii="Verdana" w:hAnsi="Verdana"/>
          <w:sz w:val="20"/>
          <w:szCs w:val="20"/>
          <w:lang w:val="es-ES"/>
        </w:rPr>
        <w:t>000 h</w:t>
      </w:r>
      <w:r>
        <w:rPr>
          <w:rFonts w:ascii="Verdana" w:hAnsi="Verdana"/>
          <w:sz w:val="20"/>
          <w:szCs w:val="20"/>
          <w:lang w:val="es-ES"/>
        </w:rPr>
        <w:t>a</w:t>
      </w:r>
      <w:r w:rsidRPr="00320A88">
        <w:rPr>
          <w:rFonts w:ascii="Verdana" w:hAnsi="Verdana"/>
          <w:sz w:val="20"/>
          <w:szCs w:val="20"/>
          <w:lang w:val="es-ES"/>
        </w:rPr>
        <w:t xml:space="preserve">, pero que </w:t>
      </w:r>
      <w:r>
        <w:rPr>
          <w:rFonts w:ascii="Verdana" w:hAnsi="Verdana"/>
          <w:sz w:val="20"/>
          <w:szCs w:val="20"/>
          <w:lang w:val="es-ES"/>
        </w:rPr>
        <w:t>e</w:t>
      </w:r>
      <w:r w:rsidRPr="00320A88">
        <w:rPr>
          <w:rFonts w:ascii="Verdana" w:hAnsi="Verdana"/>
          <w:sz w:val="20"/>
          <w:szCs w:val="20"/>
          <w:lang w:val="es-ES"/>
        </w:rPr>
        <w:t>stas decidieron reducir su reclamo a 400</w:t>
      </w:r>
      <w:r>
        <w:rPr>
          <w:rFonts w:ascii="Verdana" w:hAnsi="Verdana"/>
          <w:sz w:val="20"/>
          <w:szCs w:val="20"/>
          <w:lang w:val="es-ES"/>
        </w:rPr>
        <w:t>.</w:t>
      </w:r>
      <w:r w:rsidRPr="00320A88">
        <w:rPr>
          <w:rFonts w:ascii="Verdana" w:hAnsi="Verdana"/>
          <w:sz w:val="20"/>
          <w:szCs w:val="20"/>
          <w:lang w:val="es-ES"/>
        </w:rPr>
        <w:t>000 h</w:t>
      </w:r>
      <w:r>
        <w:rPr>
          <w:rFonts w:ascii="Verdana" w:hAnsi="Verdana"/>
          <w:sz w:val="20"/>
          <w:szCs w:val="20"/>
          <w:lang w:val="es-ES"/>
        </w:rPr>
        <w:t>a</w:t>
      </w:r>
      <w:r>
        <w:rPr>
          <w:rStyle w:val="Refdenotaalpie"/>
          <w:lang w:val="es-ES"/>
        </w:rPr>
        <w:footnoteReference w:id="71"/>
      </w:r>
      <w:r w:rsidRPr="00320A88">
        <w:rPr>
          <w:rFonts w:ascii="Verdana" w:hAnsi="Verdana"/>
          <w:sz w:val="20"/>
          <w:szCs w:val="20"/>
          <w:lang w:val="es-ES"/>
        </w:rPr>
        <w:t>.</w:t>
      </w:r>
      <w:r>
        <w:rPr>
          <w:rFonts w:ascii="Verdana" w:hAnsi="Verdana"/>
          <w:sz w:val="16"/>
          <w:szCs w:val="16"/>
          <w:lang w:val="es-ES"/>
        </w:rPr>
        <w:t xml:space="preserve"> </w:t>
      </w:r>
    </w:p>
    <w:p w14:paraId="7DF57DBC" w14:textId="77777777" w:rsidR="009805F2" w:rsidRPr="00BB0AE9" w:rsidRDefault="009805F2" w:rsidP="009805F2">
      <w:pPr>
        <w:pStyle w:val="Prrafodelista"/>
        <w:tabs>
          <w:tab w:val="left" w:pos="1215"/>
        </w:tabs>
        <w:spacing w:line="240" w:lineRule="auto"/>
        <w:rPr>
          <w:lang w:val="es-ES"/>
        </w:rPr>
      </w:pPr>
    </w:p>
    <w:p w14:paraId="4DE5847D" w14:textId="77777777" w:rsidR="009805F2" w:rsidRPr="002A21F3" w:rsidRDefault="009805F2" w:rsidP="009805F2">
      <w:pPr>
        <w:pStyle w:val="Prrafodelista"/>
        <w:spacing w:line="240" w:lineRule="auto"/>
        <w:ind w:left="567"/>
        <w:jc w:val="both"/>
        <w:outlineLvl w:val="2"/>
        <w:rPr>
          <w:rFonts w:ascii="Verdana" w:hAnsi="Verdana"/>
          <w:b/>
          <w:i/>
          <w:sz w:val="20"/>
          <w:szCs w:val="20"/>
          <w:lang w:val="es-CR"/>
        </w:rPr>
      </w:pPr>
      <w:bookmarkStart w:id="88" w:name="_Toc22224872"/>
      <w:bookmarkStart w:id="89" w:name="_Toc32218833"/>
      <w:bookmarkStart w:id="90" w:name="_Toc32227103"/>
      <w:bookmarkStart w:id="91" w:name="_Toc34337532"/>
      <w:r w:rsidRPr="002A21F3">
        <w:rPr>
          <w:rFonts w:ascii="Verdana" w:hAnsi="Verdana"/>
          <w:b/>
          <w:i/>
          <w:sz w:val="20"/>
          <w:szCs w:val="20"/>
          <w:lang w:val="es-CR"/>
        </w:rPr>
        <w:t>C.4. Cuarta fase (a partir de 2007)</w:t>
      </w:r>
      <w:bookmarkEnd w:id="88"/>
      <w:bookmarkEnd w:id="89"/>
      <w:bookmarkEnd w:id="90"/>
      <w:bookmarkEnd w:id="91"/>
      <w:r w:rsidRPr="002A21F3">
        <w:rPr>
          <w:rFonts w:ascii="Verdana" w:hAnsi="Verdana"/>
          <w:b/>
          <w:i/>
          <w:sz w:val="20"/>
          <w:szCs w:val="20"/>
          <w:lang w:val="es-CR"/>
        </w:rPr>
        <w:t xml:space="preserve"> </w:t>
      </w:r>
    </w:p>
    <w:p w14:paraId="79189E87" w14:textId="77777777" w:rsidR="009805F2" w:rsidRPr="00676BD4" w:rsidRDefault="009805F2" w:rsidP="009805F2">
      <w:pPr>
        <w:pStyle w:val="Prrafodelista"/>
        <w:spacing w:line="240" w:lineRule="auto"/>
        <w:jc w:val="both"/>
        <w:rPr>
          <w:rFonts w:ascii="Verdana" w:hAnsi="Verdana"/>
          <w:i/>
          <w:sz w:val="20"/>
          <w:szCs w:val="20"/>
          <w:u w:val="single"/>
          <w:lang w:val="es-ES"/>
        </w:rPr>
      </w:pPr>
    </w:p>
    <w:p w14:paraId="40868932" w14:textId="77777777" w:rsidR="009805F2" w:rsidRPr="00676BD4" w:rsidRDefault="009805F2" w:rsidP="009805F2">
      <w:pPr>
        <w:pStyle w:val="Prrafodelista"/>
        <w:spacing w:line="240" w:lineRule="auto"/>
        <w:ind w:left="851"/>
        <w:jc w:val="both"/>
        <w:outlineLvl w:val="3"/>
        <w:rPr>
          <w:rFonts w:ascii="Verdana" w:hAnsi="Verdana"/>
          <w:sz w:val="20"/>
          <w:szCs w:val="20"/>
          <w:lang w:val="es-CR"/>
        </w:rPr>
      </w:pPr>
      <w:bookmarkStart w:id="92" w:name="_Toc22224873"/>
      <w:bookmarkStart w:id="93" w:name="_Toc32218834"/>
      <w:bookmarkStart w:id="94" w:name="_Toc32227104"/>
      <w:bookmarkStart w:id="95" w:name="_Toc34337533"/>
      <w:r>
        <w:rPr>
          <w:rFonts w:ascii="Verdana" w:hAnsi="Verdana"/>
          <w:i/>
          <w:sz w:val="20"/>
          <w:szCs w:val="20"/>
          <w:lang w:val="es-CR"/>
        </w:rPr>
        <w:t>C</w:t>
      </w:r>
      <w:r w:rsidRPr="00676BD4">
        <w:rPr>
          <w:rFonts w:ascii="Verdana" w:hAnsi="Verdana"/>
          <w:i/>
          <w:sz w:val="20"/>
          <w:szCs w:val="20"/>
          <w:lang w:val="es-CR"/>
        </w:rPr>
        <w:t>.</w:t>
      </w:r>
      <w:r>
        <w:rPr>
          <w:rFonts w:ascii="Verdana" w:hAnsi="Verdana"/>
          <w:i/>
          <w:sz w:val="20"/>
          <w:szCs w:val="20"/>
          <w:lang w:val="es-CR"/>
        </w:rPr>
        <w:t>4</w:t>
      </w:r>
      <w:r w:rsidRPr="00676BD4">
        <w:rPr>
          <w:rFonts w:ascii="Verdana" w:hAnsi="Verdana"/>
          <w:i/>
          <w:sz w:val="20"/>
          <w:szCs w:val="20"/>
          <w:lang w:val="es-CR"/>
        </w:rPr>
        <w:t xml:space="preserve">.1 </w:t>
      </w:r>
      <w:r w:rsidRPr="002A21F3">
        <w:rPr>
          <w:rFonts w:ascii="Verdana" w:hAnsi="Verdana"/>
          <w:i/>
          <w:sz w:val="20"/>
          <w:szCs w:val="20"/>
          <w:u w:val="single"/>
          <w:lang w:val="es-CR"/>
        </w:rPr>
        <w:t>Acta –Acuerdo de octubre de 2007 y actos para su implementación</w:t>
      </w:r>
      <w:bookmarkEnd w:id="92"/>
      <w:bookmarkEnd w:id="93"/>
      <w:bookmarkEnd w:id="94"/>
      <w:bookmarkEnd w:id="95"/>
    </w:p>
    <w:p w14:paraId="044A093A" w14:textId="77777777" w:rsidR="009805F2" w:rsidRPr="00BB0AE9" w:rsidRDefault="009805F2" w:rsidP="009805F2">
      <w:pPr>
        <w:pStyle w:val="Prrafodelista"/>
        <w:spacing w:line="240" w:lineRule="auto"/>
        <w:rPr>
          <w:lang w:val="es-CR"/>
        </w:rPr>
      </w:pPr>
    </w:p>
    <w:p w14:paraId="2750A32E" w14:textId="209422A7" w:rsidR="009805F2" w:rsidRPr="00696C1D" w:rsidRDefault="009805F2" w:rsidP="009805F2">
      <w:pPr>
        <w:pStyle w:val="Prrafodelista"/>
        <w:numPr>
          <w:ilvl w:val="0"/>
          <w:numId w:val="1"/>
        </w:numPr>
        <w:spacing w:after="0" w:line="240" w:lineRule="auto"/>
        <w:ind w:left="0" w:hanging="11"/>
        <w:jc w:val="both"/>
        <w:rPr>
          <w:rFonts w:ascii="Verdana" w:hAnsi="Verdana"/>
          <w:sz w:val="20"/>
          <w:szCs w:val="16"/>
          <w:lang w:val="es-ES"/>
        </w:rPr>
      </w:pPr>
      <w:r w:rsidRPr="00D710FC">
        <w:rPr>
          <w:rFonts w:ascii="Verdana" w:hAnsi="Verdana"/>
          <w:sz w:val="20"/>
          <w:szCs w:val="16"/>
          <w:lang w:val="es-ES"/>
        </w:rPr>
        <w:t>El 1 de junio</w:t>
      </w:r>
      <w:r w:rsidRPr="00FE27D0">
        <w:rPr>
          <w:rFonts w:ascii="Verdana" w:hAnsi="Verdana"/>
          <w:sz w:val="20"/>
          <w:szCs w:val="16"/>
          <w:lang w:val="es-ES"/>
        </w:rPr>
        <w:t xml:space="preserve"> y el 24 de agosto de 2007, Lhaka Honhat </w:t>
      </w:r>
      <w:r w:rsidR="00F349E7">
        <w:rPr>
          <w:rFonts w:ascii="Verdana" w:hAnsi="Verdana"/>
          <w:sz w:val="20"/>
          <w:szCs w:val="16"/>
          <w:lang w:val="es-ES"/>
        </w:rPr>
        <w:t>y</w:t>
      </w:r>
      <w:r w:rsidRPr="00FE27D0">
        <w:rPr>
          <w:rFonts w:ascii="Verdana" w:hAnsi="Verdana"/>
          <w:sz w:val="20"/>
          <w:szCs w:val="16"/>
          <w:lang w:val="es-ES"/>
        </w:rPr>
        <w:t xml:space="preserve"> la Organización de Familias Criollas</w:t>
      </w:r>
      <w:r>
        <w:rPr>
          <w:rFonts w:ascii="Verdana" w:hAnsi="Verdana"/>
          <w:sz w:val="20"/>
          <w:szCs w:val="16"/>
          <w:lang w:val="es-ES"/>
        </w:rPr>
        <w:t xml:space="preserve"> (OFC) acordaron, mediante actas,</w:t>
      </w:r>
      <w:r w:rsidRPr="00FE27D0">
        <w:rPr>
          <w:rFonts w:ascii="Verdana" w:hAnsi="Verdana"/>
          <w:sz w:val="20"/>
          <w:szCs w:val="16"/>
          <w:lang w:val="es-ES"/>
        </w:rPr>
        <w:t xml:space="preserve"> la superficie del territorio </w:t>
      </w:r>
      <w:r>
        <w:rPr>
          <w:rFonts w:ascii="Verdana" w:hAnsi="Verdana"/>
          <w:sz w:val="20"/>
          <w:szCs w:val="16"/>
          <w:lang w:val="es-ES"/>
        </w:rPr>
        <w:t xml:space="preserve">que le correspondería a los pueblos indígenas (400.000 ha), la que </w:t>
      </w:r>
      <w:r w:rsidR="00E41756">
        <w:rPr>
          <w:rFonts w:ascii="Verdana" w:hAnsi="Verdana"/>
          <w:sz w:val="20"/>
          <w:szCs w:val="16"/>
          <w:lang w:val="es-ES"/>
        </w:rPr>
        <w:t>se destinaría</w:t>
      </w:r>
      <w:r>
        <w:rPr>
          <w:rFonts w:ascii="Verdana" w:hAnsi="Verdana"/>
          <w:sz w:val="20"/>
          <w:szCs w:val="16"/>
          <w:lang w:val="es-ES"/>
        </w:rPr>
        <w:t xml:space="preserve"> para reubicar a las familias criollas que fuera necesario relocalizar y cuáles serían los criterios que se aplicarían en la distribución</w:t>
      </w:r>
      <w:r>
        <w:rPr>
          <w:rStyle w:val="Refdenotaalpie"/>
          <w:szCs w:val="16"/>
          <w:lang w:val="es-ES"/>
        </w:rPr>
        <w:footnoteReference w:id="72"/>
      </w:r>
      <w:r>
        <w:rPr>
          <w:rFonts w:ascii="Verdana" w:hAnsi="Verdana"/>
          <w:sz w:val="20"/>
          <w:szCs w:val="16"/>
          <w:lang w:val="es-ES"/>
        </w:rPr>
        <w:t xml:space="preserve">. </w:t>
      </w:r>
      <w:r w:rsidRPr="00696C1D">
        <w:rPr>
          <w:rFonts w:ascii="Verdana" w:hAnsi="Verdana"/>
          <w:sz w:val="20"/>
          <w:szCs w:val="20"/>
        </w:rPr>
        <w:t>El 17 de octubre de 2007 se suscribió un Acta</w:t>
      </w:r>
      <w:r>
        <w:rPr>
          <w:rFonts w:ascii="Verdana" w:hAnsi="Verdana"/>
          <w:sz w:val="20"/>
          <w:szCs w:val="20"/>
        </w:rPr>
        <w:t>-Acuerdo</w:t>
      </w:r>
      <w:r w:rsidRPr="00696C1D">
        <w:rPr>
          <w:rFonts w:ascii="Verdana" w:hAnsi="Verdana"/>
          <w:sz w:val="20"/>
          <w:szCs w:val="20"/>
        </w:rPr>
        <w:t xml:space="preserve">, con representación de </w:t>
      </w:r>
      <w:r>
        <w:rPr>
          <w:rFonts w:ascii="Verdana" w:hAnsi="Verdana"/>
          <w:sz w:val="20"/>
          <w:szCs w:val="20"/>
        </w:rPr>
        <w:t>Salta y el Estado Nacional</w:t>
      </w:r>
      <w:r w:rsidRPr="00696C1D">
        <w:rPr>
          <w:rFonts w:ascii="Verdana" w:hAnsi="Verdana"/>
          <w:sz w:val="20"/>
          <w:szCs w:val="20"/>
        </w:rPr>
        <w:t xml:space="preserve">, </w:t>
      </w:r>
      <w:r>
        <w:rPr>
          <w:rFonts w:ascii="Verdana" w:hAnsi="Verdana"/>
          <w:sz w:val="20"/>
          <w:szCs w:val="20"/>
        </w:rPr>
        <w:t>plasmando lo anterior</w:t>
      </w:r>
      <w:r>
        <w:rPr>
          <w:rStyle w:val="Refdenotaalpie"/>
        </w:rPr>
        <w:footnoteReference w:id="73"/>
      </w:r>
      <w:r w:rsidRPr="00696C1D">
        <w:rPr>
          <w:rFonts w:ascii="Verdana" w:hAnsi="Verdana"/>
          <w:sz w:val="20"/>
          <w:szCs w:val="20"/>
        </w:rPr>
        <w:t>. El 23 de</w:t>
      </w:r>
      <w:r>
        <w:rPr>
          <w:rFonts w:ascii="Verdana" w:hAnsi="Verdana"/>
          <w:sz w:val="20"/>
          <w:szCs w:val="20"/>
        </w:rPr>
        <w:t>l</w:t>
      </w:r>
      <w:r w:rsidRPr="00696C1D">
        <w:rPr>
          <w:rFonts w:ascii="Verdana" w:hAnsi="Verdana"/>
          <w:sz w:val="20"/>
          <w:szCs w:val="20"/>
        </w:rPr>
        <w:t xml:space="preserve"> </w:t>
      </w:r>
      <w:r>
        <w:rPr>
          <w:rFonts w:ascii="Verdana" w:hAnsi="Verdana"/>
          <w:sz w:val="20"/>
          <w:szCs w:val="20"/>
        </w:rPr>
        <w:t>mismo mes Salta</w:t>
      </w:r>
      <w:r w:rsidRPr="00696C1D">
        <w:rPr>
          <w:rFonts w:ascii="Verdana" w:hAnsi="Verdana"/>
          <w:sz w:val="20"/>
          <w:szCs w:val="20"/>
        </w:rPr>
        <w:t xml:space="preserve"> adoptó el Decreto 2786/07</w:t>
      </w:r>
      <w:r>
        <w:rPr>
          <w:rStyle w:val="Refdenotaalpie"/>
          <w:rFonts w:ascii="Verdana" w:hAnsi="Verdana"/>
          <w:sz w:val="20"/>
        </w:rPr>
        <w:footnoteReference w:id="74"/>
      </w:r>
      <w:r w:rsidRPr="00696C1D">
        <w:rPr>
          <w:rFonts w:ascii="Verdana" w:hAnsi="Verdana"/>
          <w:sz w:val="20"/>
          <w:szCs w:val="20"/>
        </w:rPr>
        <w:t>, que aprobó formalmente el Acta</w:t>
      </w:r>
      <w:r>
        <w:rPr>
          <w:rFonts w:ascii="Verdana" w:hAnsi="Verdana"/>
          <w:sz w:val="20"/>
          <w:szCs w:val="20"/>
        </w:rPr>
        <w:t>-Acuerdo y asignó la propiedad de los l</w:t>
      </w:r>
      <w:r w:rsidRPr="00696C1D">
        <w:rPr>
          <w:rFonts w:ascii="Verdana" w:hAnsi="Verdana"/>
          <w:sz w:val="20"/>
          <w:szCs w:val="20"/>
        </w:rPr>
        <w:t>otes 14 y 55 a sus ocupantes</w:t>
      </w:r>
      <w:r>
        <w:rPr>
          <w:rFonts w:ascii="Verdana" w:hAnsi="Verdana"/>
          <w:sz w:val="20"/>
          <w:szCs w:val="20"/>
        </w:rPr>
        <w:t>: 400.</w:t>
      </w:r>
      <w:r w:rsidRPr="00696C1D">
        <w:rPr>
          <w:rFonts w:ascii="Verdana" w:hAnsi="Verdana"/>
          <w:sz w:val="20"/>
          <w:szCs w:val="20"/>
        </w:rPr>
        <w:t>000 h</w:t>
      </w:r>
      <w:r>
        <w:rPr>
          <w:rFonts w:ascii="Verdana" w:hAnsi="Verdana"/>
          <w:sz w:val="20"/>
          <w:szCs w:val="20"/>
        </w:rPr>
        <w:t>a</w:t>
      </w:r>
      <w:r w:rsidRPr="00696C1D">
        <w:rPr>
          <w:rFonts w:ascii="Verdana" w:hAnsi="Verdana"/>
          <w:sz w:val="20"/>
          <w:szCs w:val="20"/>
        </w:rPr>
        <w:t xml:space="preserve"> a </w:t>
      </w:r>
      <w:r>
        <w:rPr>
          <w:rFonts w:ascii="Verdana" w:hAnsi="Verdana"/>
          <w:sz w:val="20"/>
          <w:szCs w:val="20"/>
        </w:rPr>
        <w:t>las comunidades indígenas y 243.</w:t>
      </w:r>
      <w:r w:rsidRPr="00696C1D">
        <w:rPr>
          <w:rFonts w:ascii="Verdana" w:hAnsi="Verdana"/>
          <w:sz w:val="20"/>
          <w:szCs w:val="20"/>
        </w:rPr>
        <w:t>000 h</w:t>
      </w:r>
      <w:r>
        <w:rPr>
          <w:rFonts w:ascii="Verdana" w:hAnsi="Verdana"/>
          <w:sz w:val="20"/>
          <w:szCs w:val="20"/>
        </w:rPr>
        <w:t>a a la</w:t>
      </w:r>
      <w:r w:rsidRPr="00696C1D">
        <w:rPr>
          <w:rFonts w:ascii="Verdana" w:hAnsi="Verdana"/>
          <w:sz w:val="20"/>
          <w:szCs w:val="20"/>
        </w:rPr>
        <w:t xml:space="preserve"> </w:t>
      </w:r>
      <w:r>
        <w:rPr>
          <w:rFonts w:ascii="Verdana" w:hAnsi="Verdana"/>
          <w:sz w:val="20"/>
          <w:szCs w:val="20"/>
        </w:rPr>
        <w:t xml:space="preserve">población </w:t>
      </w:r>
      <w:r w:rsidRPr="00696C1D">
        <w:rPr>
          <w:rFonts w:ascii="Verdana" w:hAnsi="Verdana"/>
          <w:sz w:val="20"/>
          <w:szCs w:val="20"/>
        </w:rPr>
        <w:t>crioll</w:t>
      </w:r>
      <w:r>
        <w:rPr>
          <w:rFonts w:ascii="Verdana" w:hAnsi="Verdana"/>
          <w:sz w:val="20"/>
          <w:szCs w:val="20"/>
        </w:rPr>
        <w:t>a</w:t>
      </w:r>
      <w:r w:rsidRPr="00696C1D">
        <w:rPr>
          <w:rFonts w:ascii="Verdana" w:hAnsi="Verdana"/>
          <w:sz w:val="20"/>
          <w:szCs w:val="20"/>
        </w:rPr>
        <w:t xml:space="preserve">. Este Decreto dejó sin efecto la obligación de las comunidades </w:t>
      </w:r>
      <w:r>
        <w:rPr>
          <w:rFonts w:ascii="Verdana" w:hAnsi="Verdana"/>
          <w:sz w:val="20"/>
          <w:szCs w:val="20"/>
        </w:rPr>
        <w:t>de</w:t>
      </w:r>
      <w:r w:rsidRPr="00696C1D">
        <w:rPr>
          <w:rFonts w:ascii="Verdana" w:hAnsi="Verdana"/>
          <w:sz w:val="20"/>
          <w:szCs w:val="20"/>
        </w:rPr>
        <w:t xml:space="preserve"> obtener personería jurídica para </w:t>
      </w:r>
      <w:r w:rsidR="00E41756">
        <w:rPr>
          <w:rFonts w:ascii="Verdana" w:hAnsi="Verdana"/>
          <w:sz w:val="20"/>
          <w:szCs w:val="20"/>
        </w:rPr>
        <w:t>alcanzar</w:t>
      </w:r>
      <w:r w:rsidRPr="00696C1D">
        <w:rPr>
          <w:rFonts w:ascii="Verdana" w:hAnsi="Verdana"/>
          <w:sz w:val="20"/>
          <w:szCs w:val="20"/>
        </w:rPr>
        <w:t xml:space="preserve"> títulos individuales, </w:t>
      </w:r>
      <w:r>
        <w:rPr>
          <w:rFonts w:ascii="Verdana" w:hAnsi="Verdana"/>
          <w:sz w:val="20"/>
          <w:szCs w:val="20"/>
        </w:rPr>
        <w:t xml:space="preserve">que había sido </w:t>
      </w:r>
      <w:r w:rsidR="00E41756">
        <w:rPr>
          <w:rFonts w:ascii="Verdana" w:hAnsi="Verdana"/>
          <w:sz w:val="20"/>
          <w:szCs w:val="20"/>
        </w:rPr>
        <w:t>establecida</w:t>
      </w:r>
      <w:r w:rsidRPr="00696C1D">
        <w:rPr>
          <w:rFonts w:ascii="Verdana" w:hAnsi="Verdana"/>
          <w:sz w:val="20"/>
          <w:szCs w:val="20"/>
        </w:rPr>
        <w:t xml:space="preserve"> en la Resolución Ministerial 65/06 que </w:t>
      </w:r>
      <w:r>
        <w:rPr>
          <w:rFonts w:ascii="Verdana" w:hAnsi="Verdana"/>
          <w:sz w:val="20"/>
          <w:szCs w:val="20"/>
        </w:rPr>
        <w:t xml:space="preserve">tenía por fin </w:t>
      </w:r>
      <w:r w:rsidRPr="00696C1D">
        <w:rPr>
          <w:rFonts w:ascii="Verdana" w:hAnsi="Verdana"/>
          <w:sz w:val="20"/>
          <w:szCs w:val="20"/>
        </w:rPr>
        <w:t>ejecuta</w:t>
      </w:r>
      <w:r>
        <w:rPr>
          <w:rFonts w:ascii="Verdana" w:hAnsi="Verdana"/>
          <w:sz w:val="20"/>
          <w:szCs w:val="20"/>
        </w:rPr>
        <w:t>r</w:t>
      </w:r>
      <w:r w:rsidRPr="00696C1D">
        <w:rPr>
          <w:rFonts w:ascii="Verdana" w:hAnsi="Verdana"/>
          <w:sz w:val="20"/>
          <w:szCs w:val="20"/>
        </w:rPr>
        <w:t xml:space="preserve"> los resultados del referéndum.</w:t>
      </w:r>
    </w:p>
    <w:p w14:paraId="5B90DC86" w14:textId="77777777" w:rsidR="009805F2" w:rsidRPr="00D710FC" w:rsidRDefault="009805F2" w:rsidP="009805F2">
      <w:pPr>
        <w:pStyle w:val="Prrafodelista"/>
        <w:spacing w:line="240" w:lineRule="auto"/>
        <w:ind w:left="0" w:hanging="11"/>
        <w:jc w:val="both"/>
        <w:rPr>
          <w:rFonts w:ascii="Verdana" w:hAnsi="Verdana"/>
          <w:sz w:val="16"/>
          <w:szCs w:val="16"/>
          <w:lang w:val="es-ES"/>
        </w:rPr>
      </w:pPr>
    </w:p>
    <w:p w14:paraId="5F68DF16" w14:textId="1DE55665" w:rsidR="009805F2" w:rsidRPr="00D710FC" w:rsidRDefault="009805F2" w:rsidP="009805F2">
      <w:pPr>
        <w:pStyle w:val="Prrafodelista"/>
        <w:numPr>
          <w:ilvl w:val="0"/>
          <w:numId w:val="1"/>
        </w:numPr>
        <w:spacing w:after="0" w:line="240" w:lineRule="auto"/>
        <w:ind w:left="0" w:hanging="11"/>
        <w:jc w:val="both"/>
        <w:rPr>
          <w:rFonts w:ascii="Verdana" w:hAnsi="Verdana"/>
          <w:sz w:val="16"/>
          <w:szCs w:val="16"/>
          <w:lang w:val="es-ES"/>
        </w:rPr>
      </w:pPr>
      <w:r w:rsidRPr="00823DE0">
        <w:rPr>
          <w:rFonts w:ascii="Verdana" w:hAnsi="Verdana"/>
          <w:sz w:val="20"/>
          <w:szCs w:val="20"/>
        </w:rPr>
        <w:t xml:space="preserve">El 28 de octubre de 2008 Salta aprobó el Decreto 4705/08 con el cual se creó un equipo técnico, integrado por la UEP, para avanzar en la entrega de tierras. </w:t>
      </w:r>
      <w:r>
        <w:rPr>
          <w:rFonts w:ascii="Verdana" w:hAnsi="Verdana"/>
          <w:sz w:val="20"/>
          <w:szCs w:val="20"/>
        </w:rPr>
        <w:t xml:space="preserve">Más adelante, en 2009, año en que </w:t>
      </w:r>
      <w:r w:rsidR="00560F37">
        <w:rPr>
          <w:rFonts w:ascii="Verdana" w:hAnsi="Verdana"/>
          <w:sz w:val="20"/>
          <w:szCs w:val="20"/>
        </w:rPr>
        <w:t>se sostuvieron</w:t>
      </w:r>
      <w:r>
        <w:rPr>
          <w:rFonts w:ascii="Verdana" w:hAnsi="Verdana"/>
          <w:sz w:val="20"/>
          <w:szCs w:val="20"/>
        </w:rPr>
        <w:t xml:space="preserve"> una serie de reuniones entre criollos e indígenas, Salta emitió</w:t>
      </w:r>
      <w:r w:rsidRPr="00EF5CD1">
        <w:rPr>
          <w:rFonts w:ascii="Verdana" w:hAnsi="Verdana"/>
          <w:sz w:val="20"/>
          <w:szCs w:val="20"/>
        </w:rPr>
        <w:t xml:space="preserve"> la Resolución 340/09</w:t>
      </w:r>
      <w:r>
        <w:rPr>
          <w:rFonts w:ascii="Verdana" w:hAnsi="Verdana"/>
          <w:sz w:val="20"/>
          <w:szCs w:val="20"/>
        </w:rPr>
        <w:t>,</w:t>
      </w:r>
      <w:r w:rsidRPr="00EF5CD1">
        <w:rPr>
          <w:rFonts w:ascii="Verdana" w:hAnsi="Verdana"/>
          <w:sz w:val="20"/>
          <w:szCs w:val="20"/>
        </w:rPr>
        <w:t xml:space="preserve"> que establece la lista definitiva d</w:t>
      </w:r>
      <w:r>
        <w:rPr>
          <w:rFonts w:ascii="Verdana" w:hAnsi="Verdana"/>
          <w:sz w:val="20"/>
          <w:szCs w:val="20"/>
        </w:rPr>
        <w:t>e pobladores criollos que cumplía</w:t>
      </w:r>
      <w:r w:rsidRPr="00EF5CD1">
        <w:rPr>
          <w:rFonts w:ascii="Verdana" w:hAnsi="Verdana"/>
          <w:sz w:val="20"/>
          <w:szCs w:val="20"/>
        </w:rPr>
        <w:t>n requisitos</w:t>
      </w:r>
      <w:r>
        <w:rPr>
          <w:rFonts w:ascii="Verdana" w:hAnsi="Verdana"/>
          <w:sz w:val="20"/>
          <w:szCs w:val="20"/>
        </w:rPr>
        <w:t>,</w:t>
      </w:r>
      <w:r w:rsidRPr="00EF5CD1">
        <w:rPr>
          <w:rFonts w:ascii="Verdana" w:hAnsi="Verdana"/>
          <w:sz w:val="20"/>
          <w:szCs w:val="20"/>
        </w:rPr>
        <w:t xml:space="preserve"> previamente establecidos</w:t>
      </w:r>
      <w:r>
        <w:rPr>
          <w:rFonts w:ascii="Verdana" w:hAnsi="Verdana"/>
          <w:sz w:val="20"/>
          <w:szCs w:val="20"/>
        </w:rPr>
        <w:t>,</w:t>
      </w:r>
      <w:r w:rsidRPr="00EF5CD1">
        <w:rPr>
          <w:rFonts w:ascii="Verdana" w:hAnsi="Verdana"/>
          <w:sz w:val="20"/>
          <w:szCs w:val="20"/>
        </w:rPr>
        <w:t xml:space="preserve"> para acreditar la ocupación de tierras</w:t>
      </w:r>
      <w:r>
        <w:rPr>
          <w:rStyle w:val="Refdenotaalpie"/>
        </w:rPr>
        <w:footnoteReference w:id="75"/>
      </w:r>
      <w:r w:rsidRPr="00EF5CD1">
        <w:rPr>
          <w:rFonts w:ascii="Verdana" w:hAnsi="Verdana"/>
          <w:sz w:val="20"/>
          <w:szCs w:val="20"/>
        </w:rPr>
        <w:t>.</w:t>
      </w:r>
    </w:p>
    <w:p w14:paraId="55434A19" w14:textId="77777777" w:rsidR="009805F2" w:rsidRPr="00EF5CD1" w:rsidRDefault="009805F2" w:rsidP="009805F2">
      <w:pPr>
        <w:pStyle w:val="Prrafodelista"/>
        <w:spacing w:line="240" w:lineRule="auto"/>
        <w:ind w:left="0" w:hanging="11"/>
        <w:rPr>
          <w:rFonts w:ascii="Verdana" w:hAnsi="Verdana"/>
          <w:sz w:val="20"/>
          <w:szCs w:val="20"/>
        </w:rPr>
      </w:pPr>
    </w:p>
    <w:p w14:paraId="117E8BA2" w14:textId="6E0231E3" w:rsidR="009805F2" w:rsidRDefault="009805F2" w:rsidP="009805F2">
      <w:pPr>
        <w:pStyle w:val="Prrafodelista"/>
        <w:numPr>
          <w:ilvl w:val="0"/>
          <w:numId w:val="1"/>
        </w:numPr>
        <w:spacing w:after="0" w:line="240" w:lineRule="auto"/>
        <w:ind w:left="0" w:hanging="11"/>
        <w:jc w:val="both"/>
        <w:rPr>
          <w:rFonts w:ascii="Verdana" w:hAnsi="Verdana"/>
          <w:sz w:val="16"/>
          <w:szCs w:val="16"/>
          <w:lang w:val="es-ES"/>
        </w:rPr>
      </w:pPr>
      <w:r w:rsidRPr="00EF5CD1">
        <w:rPr>
          <w:rFonts w:ascii="Verdana" w:hAnsi="Verdana"/>
          <w:sz w:val="20"/>
          <w:szCs w:val="20"/>
        </w:rPr>
        <w:lastRenderedPageBreak/>
        <w:t xml:space="preserve">Entre 2009 y 2011 </w:t>
      </w:r>
      <w:r>
        <w:rPr>
          <w:rFonts w:ascii="Verdana" w:hAnsi="Verdana"/>
          <w:sz w:val="20"/>
          <w:szCs w:val="20"/>
        </w:rPr>
        <w:t>se realizaron distintas reuniones tendentes a</w:t>
      </w:r>
      <w:r w:rsidRPr="00EF5CD1">
        <w:rPr>
          <w:rFonts w:ascii="Verdana" w:hAnsi="Verdana"/>
          <w:sz w:val="20"/>
          <w:szCs w:val="20"/>
        </w:rPr>
        <w:t xml:space="preserve"> </w:t>
      </w:r>
      <w:r>
        <w:rPr>
          <w:rFonts w:ascii="Verdana" w:hAnsi="Verdana"/>
          <w:sz w:val="20"/>
          <w:szCs w:val="20"/>
        </w:rPr>
        <w:t>lograr</w:t>
      </w:r>
      <w:r w:rsidRPr="00EF5CD1">
        <w:rPr>
          <w:rFonts w:ascii="Verdana" w:hAnsi="Verdana"/>
          <w:sz w:val="20"/>
          <w:szCs w:val="20"/>
        </w:rPr>
        <w:t xml:space="preserve"> acuerdos entre comunidades indígenas y familias criollas </w:t>
      </w:r>
      <w:r>
        <w:rPr>
          <w:rFonts w:ascii="Verdana" w:hAnsi="Verdana"/>
          <w:sz w:val="20"/>
          <w:szCs w:val="20"/>
        </w:rPr>
        <w:t>sobre</w:t>
      </w:r>
      <w:r w:rsidRPr="00EF5CD1">
        <w:rPr>
          <w:rFonts w:ascii="Verdana" w:hAnsi="Verdana"/>
          <w:sz w:val="20"/>
          <w:szCs w:val="20"/>
        </w:rPr>
        <w:t xml:space="preserve"> la adjudicación territorial.</w:t>
      </w:r>
      <w:r w:rsidRPr="00EF5CD1">
        <w:rPr>
          <w:rFonts w:ascii="Verdana" w:hAnsi="Verdana"/>
          <w:b/>
          <w:sz w:val="20"/>
          <w:szCs w:val="20"/>
        </w:rPr>
        <w:t xml:space="preserve"> </w:t>
      </w:r>
    </w:p>
    <w:p w14:paraId="3EBF8491" w14:textId="77777777" w:rsidR="009805F2" w:rsidRDefault="009805F2" w:rsidP="009805F2">
      <w:pPr>
        <w:pStyle w:val="Prrafodelista"/>
        <w:spacing w:line="240" w:lineRule="auto"/>
        <w:ind w:left="0"/>
        <w:jc w:val="both"/>
        <w:rPr>
          <w:rFonts w:ascii="Verdana" w:hAnsi="Verdana"/>
          <w:sz w:val="20"/>
          <w:szCs w:val="20"/>
          <w:lang w:val="es-ES"/>
        </w:rPr>
      </w:pPr>
    </w:p>
    <w:p w14:paraId="544D89CA" w14:textId="77777777" w:rsidR="009805F2" w:rsidRPr="00676BD4" w:rsidRDefault="009805F2" w:rsidP="009805F2">
      <w:pPr>
        <w:pStyle w:val="Prrafodelista"/>
        <w:spacing w:line="240" w:lineRule="auto"/>
        <w:ind w:left="851"/>
        <w:jc w:val="both"/>
        <w:outlineLvl w:val="3"/>
        <w:rPr>
          <w:rFonts w:ascii="Verdana" w:hAnsi="Verdana"/>
          <w:sz w:val="20"/>
          <w:szCs w:val="20"/>
          <w:lang w:val="es-CR"/>
        </w:rPr>
      </w:pPr>
      <w:bookmarkStart w:id="96" w:name="_Toc22224874"/>
      <w:bookmarkStart w:id="97" w:name="_Toc32218835"/>
      <w:bookmarkStart w:id="98" w:name="_Toc32227105"/>
      <w:bookmarkStart w:id="99" w:name="_Toc34337534"/>
      <w:r>
        <w:rPr>
          <w:rFonts w:ascii="Verdana" w:hAnsi="Verdana"/>
          <w:i/>
          <w:sz w:val="20"/>
          <w:szCs w:val="20"/>
          <w:lang w:val="es-CR"/>
        </w:rPr>
        <w:t>C</w:t>
      </w:r>
      <w:r w:rsidRPr="00676BD4">
        <w:rPr>
          <w:rFonts w:ascii="Verdana" w:hAnsi="Verdana"/>
          <w:i/>
          <w:sz w:val="20"/>
          <w:szCs w:val="20"/>
          <w:lang w:val="es-CR"/>
        </w:rPr>
        <w:t>.</w:t>
      </w:r>
      <w:r>
        <w:rPr>
          <w:rFonts w:ascii="Verdana" w:hAnsi="Verdana"/>
          <w:i/>
          <w:sz w:val="20"/>
          <w:szCs w:val="20"/>
          <w:lang w:val="es-CR"/>
        </w:rPr>
        <w:t>4</w:t>
      </w:r>
      <w:r w:rsidRPr="00676BD4">
        <w:rPr>
          <w:rFonts w:ascii="Verdana" w:hAnsi="Verdana"/>
          <w:i/>
          <w:sz w:val="20"/>
          <w:szCs w:val="20"/>
          <w:lang w:val="es-CR"/>
        </w:rPr>
        <w:t>.</w:t>
      </w:r>
      <w:r>
        <w:rPr>
          <w:rFonts w:ascii="Verdana" w:hAnsi="Verdana"/>
          <w:i/>
          <w:sz w:val="20"/>
          <w:szCs w:val="20"/>
          <w:lang w:val="es-CR"/>
        </w:rPr>
        <w:t>2</w:t>
      </w:r>
      <w:r w:rsidRPr="00676BD4">
        <w:rPr>
          <w:rFonts w:ascii="Verdana" w:hAnsi="Verdana"/>
          <w:i/>
          <w:sz w:val="20"/>
          <w:szCs w:val="20"/>
          <w:lang w:val="es-CR"/>
        </w:rPr>
        <w:t xml:space="preserve"> </w:t>
      </w:r>
      <w:r w:rsidRPr="002A21F3">
        <w:rPr>
          <w:rFonts w:ascii="Verdana" w:hAnsi="Verdana"/>
          <w:i/>
          <w:sz w:val="20"/>
          <w:szCs w:val="20"/>
          <w:u w:val="single"/>
          <w:lang w:val="es-CR"/>
        </w:rPr>
        <w:t>Decreto 2398 de 2012 y actos posteriores</w:t>
      </w:r>
      <w:r w:rsidRPr="007A4A05">
        <w:rPr>
          <w:rStyle w:val="Refdenotaalpie"/>
          <w:lang w:val="es-CR"/>
        </w:rPr>
        <w:footnoteReference w:id="76"/>
      </w:r>
      <w:bookmarkEnd w:id="96"/>
      <w:bookmarkEnd w:id="97"/>
      <w:bookmarkEnd w:id="98"/>
      <w:bookmarkEnd w:id="99"/>
    </w:p>
    <w:p w14:paraId="3DABDF6D" w14:textId="77777777" w:rsidR="009805F2" w:rsidRPr="00676BD4" w:rsidRDefault="009805F2" w:rsidP="009805F2">
      <w:pPr>
        <w:pStyle w:val="Prrafodelista"/>
        <w:spacing w:line="240" w:lineRule="auto"/>
        <w:ind w:left="0"/>
        <w:jc w:val="both"/>
        <w:rPr>
          <w:rFonts w:ascii="Verdana" w:hAnsi="Verdana"/>
          <w:sz w:val="20"/>
          <w:szCs w:val="20"/>
          <w:lang w:val="es-CR"/>
        </w:rPr>
      </w:pPr>
    </w:p>
    <w:p w14:paraId="05A738A9" w14:textId="77777777" w:rsidR="009805F2" w:rsidRPr="00676BD4" w:rsidRDefault="009805F2" w:rsidP="009805F2">
      <w:pPr>
        <w:pStyle w:val="Prrafodelista"/>
        <w:numPr>
          <w:ilvl w:val="0"/>
          <w:numId w:val="1"/>
        </w:numPr>
        <w:spacing w:after="0" w:line="240" w:lineRule="auto"/>
        <w:ind w:left="0" w:firstLine="0"/>
        <w:jc w:val="both"/>
        <w:rPr>
          <w:rFonts w:ascii="Verdana" w:hAnsi="Verdana"/>
          <w:sz w:val="20"/>
          <w:szCs w:val="20"/>
          <w:lang w:val="es-ES"/>
        </w:rPr>
      </w:pPr>
      <w:r w:rsidRPr="00676BD4">
        <w:rPr>
          <w:rFonts w:ascii="Verdana" w:hAnsi="Verdana"/>
          <w:sz w:val="20"/>
          <w:szCs w:val="20"/>
        </w:rPr>
        <w:t xml:space="preserve">El 25 de julio de 2012 Salta emitió el Decreto 2398/12, cuyo texto cita como antecedente el Informe </w:t>
      </w:r>
      <w:r>
        <w:rPr>
          <w:rFonts w:ascii="Verdana" w:hAnsi="Verdana"/>
          <w:sz w:val="20"/>
          <w:szCs w:val="20"/>
        </w:rPr>
        <w:t>de Fondo</w:t>
      </w:r>
      <w:r w:rsidRPr="00676BD4">
        <w:rPr>
          <w:rFonts w:ascii="Verdana" w:hAnsi="Verdana"/>
          <w:sz w:val="20"/>
          <w:szCs w:val="20"/>
        </w:rPr>
        <w:t xml:space="preserve">. </w:t>
      </w:r>
      <w:r>
        <w:rPr>
          <w:rFonts w:ascii="Verdana" w:hAnsi="Verdana"/>
          <w:sz w:val="20"/>
          <w:szCs w:val="20"/>
        </w:rPr>
        <w:t>D</w:t>
      </w:r>
      <w:r w:rsidRPr="00676BD4">
        <w:rPr>
          <w:rFonts w:ascii="Verdana" w:hAnsi="Verdana"/>
          <w:sz w:val="20"/>
          <w:szCs w:val="20"/>
        </w:rPr>
        <w:t>ispuso “asignar, con destino a su posterior adjudicación” 243</w:t>
      </w:r>
      <w:r>
        <w:rPr>
          <w:rFonts w:ascii="Verdana" w:hAnsi="Verdana"/>
          <w:sz w:val="20"/>
          <w:szCs w:val="20"/>
        </w:rPr>
        <w:t>.</w:t>
      </w:r>
      <w:r w:rsidRPr="00676BD4">
        <w:rPr>
          <w:rFonts w:ascii="Verdana" w:hAnsi="Verdana"/>
          <w:sz w:val="20"/>
          <w:szCs w:val="20"/>
        </w:rPr>
        <w:t>000 h</w:t>
      </w:r>
      <w:r>
        <w:rPr>
          <w:rFonts w:ascii="Verdana" w:hAnsi="Verdana"/>
          <w:sz w:val="20"/>
          <w:szCs w:val="20"/>
        </w:rPr>
        <w:t>a</w:t>
      </w:r>
      <w:r w:rsidRPr="00676BD4">
        <w:rPr>
          <w:rFonts w:ascii="Verdana" w:hAnsi="Verdana"/>
          <w:sz w:val="20"/>
          <w:szCs w:val="20"/>
        </w:rPr>
        <w:t xml:space="preserve"> de los lotes 14 </w:t>
      </w:r>
      <w:r>
        <w:rPr>
          <w:rFonts w:ascii="Verdana" w:hAnsi="Verdana"/>
          <w:sz w:val="20"/>
          <w:szCs w:val="20"/>
        </w:rPr>
        <w:t>y 55 para</w:t>
      </w:r>
      <w:r w:rsidRPr="00676BD4">
        <w:rPr>
          <w:rFonts w:ascii="Verdana" w:hAnsi="Verdana"/>
          <w:sz w:val="20"/>
          <w:szCs w:val="20"/>
        </w:rPr>
        <w:t xml:space="preserve"> las familias criollas “que hayan acreditado su derecho” de acuerdo a las resoluciones 65/06 y 340/09</w:t>
      </w:r>
      <w:r>
        <w:rPr>
          <w:rFonts w:ascii="Verdana" w:hAnsi="Verdana"/>
          <w:sz w:val="20"/>
          <w:szCs w:val="20"/>
        </w:rPr>
        <w:t>, y 400.</w:t>
      </w:r>
      <w:r w:rsidRPr="00676BD4">
        <w:rPr>
          <w:rFonts w:ascii="Verdana" w:hAnsi="Verdana"/>
          <w:sz w:val="20"/>
          <w:szCs w:val="20"/>
        </w:rPr>
        <w:t>000</w:t>
      </w:r>
      <w:r>
        <w:rPr>
          <w:rFonts w:ascii="Verdana" w:hAnsi="Verdana"/>
          <w:sz w:val="20"/>
          <w:szCs w:val="20"/>
        </w:rPr>
        <w:t xml:space="preserve"> ha</w:t>
      </w:r>
      <w:r w:rsidRPr="00676BD4">
        <w:rPr>
          <w:rFonts w:ascii="Verdana" w:hAnsi="Verdana"/>
          <w:sz w:val="20"/>
          <w:szCs w:val="20"/>
        </w:rPr>
        <w:t xml:space="preserve"> para las comunidades indígenas “en propiedad comunitaria y bajo la modalidad de título que cada una de ellas determine”. Además, dispuso la publicidad registral del destino asignado, mediante la inscripción correspondiente en el Registro de la Propiedad</w:t>
      </w:r>
      <w:r w:rsidRPr="00676BD4">
        <w:rPr>
          <w:rStyle w:val="Refdenotaalpie"/>
        </w:rPr>
        <w:t xml:space="preserve"> </w:t>
      </w:r>
      <w:r w:rsidRPr="00B475B7">
        <w:rPr>
          <w:rStyle w:val="Refdenotaalpie"/>
        </w:rPr>
        <w:footnoteReference w:id="77"/>
      </w:r>
      <w:r w:rsidRPr="00676BD4">
        <w:rPr>
          <w:rFonts w:ascii="Verdana" w:hAnsi="Verdana"/>
          <w:sz w:val="20"/>
          <w:szCs w:val="20"/>
        </w:rPr>
        <w:t>.</w:t>
      </w:r>
      <w:r w:rsidRPr="00676BD4">
        <w:rPr>
          <w:rFonts w:ascii="Verdana" w:hAnsi="Verdana"/>
          <w:b/>
          <w:sz w:val="20"/>
          <w:szCs w:val="20"/>
        </w:rPr>
        <w:t xml:space="preserve"> </w:t>
      </w:r>
    </w:p>
    <w:p w14:paraId="7B35599F" w14:textId="77777777" w:rsidR="009805F2" w:rsidRPr="00A637AA" w:rsidRDefault="009805F2" w:rsidP="009805F2">
      <w:pPr>
        <w:pStyle w:val="Prrafodelista"/>
        <w:tabs>
          <w:tab w:val="left" w:pos="1032"/>
        </w:tabs>
        <w:spacing w:line="240" w:lineRule="auto"/>
        <w:ind w:left="0"/>
        <w:rPr>
          <w:rFonts w:ascii="Verdana" w:hAnsi="Verdana"/>
          <w:sz w:val="20"/>
          <w:szCs w:val="20"/>
          <w:lang w:val="es-ES"/>
        </w:rPr>
      </w:pPr>
    </w:p>
    <w:p w14:paraId="48BC2BBC" w14:textId="77777777" w:rsidR="009805F2" w:rsidRDefault="009805F2" w:rsidP="009805F2">
      <w:pPr>
        <w:pStyle w:val="Prrafodelista"/>
        <w:numPr>
          <w:ilvl w:val="0"/>
          <w:numId w:val="1"/>
        </w:numPr>
        <w:spacing w:after="0" w:line="240" w:lineRule="auto"/>
        <w:ind w:left="0" w:firstLine="0"/>
        <w:jc w:val="both"/>
        <w:rPr>
          <w:rFonts w:ascii="Verdana" w:hAnsi="Verdana"/>
          <w:sz w:val="20"/>
          <w:szCs w:val="20"/>
          <w:lang w:val="es-ES"/>
        </w:rPr>
      </w:pPr>
      <w:r w:rsidRPr="008C4FA9">
        <w:rPr>
          <w:rFonts w:ascii="Verdana" w:hAnsi="Verdana"/>
          <w:sz w:val="20"/>
          <w:szCs w:val="20"/>
          <w:lang w:val="es-CR"/>
        </w:rPr>
        <w:t xml:space="preserve">El </w:t>
      </w:r>
      <w:r w:rsidRPr="00D86BDB">
        <w:rPr>
          <w:rFonts w:ascii="Verdana" w:hAnsi="Verdana"/>
          <w:sz w:val="20"/>
          <w:szCs w:val="20"/>
          <w:lang w:val="es-CR"/>
        </w:rPr>
        <w:t xml:space="preserve">12 de julio </w:t>
      </w:r>
      <w:r w:rsidRPr="00DE24D2">
        <w:rPr>
          <w:rFonts w:ascii="Verdana" w:hAnsi="Verdana"/>
          <w:sz w:val="20"/>
          <w:szCs w:val="20"/>
          <w:lang w:val="es-CR"/>
        </w:rPr>
        <w:t>de 2013 se publicó el D</w:t>
      </w:r>
      <w:r w:rsidRPr="001E3405">
        <w:rPr>
          <w:rFonts w:ascii="Verdana" w:hAnsi="Verdana"/>
          <w:sz w:val="20"/>
          <w:szCs w:val="20"/>
          <w:lang w:val="es-CR"/>
        </w:rPr>
        <w:t>ecreto provincial 2001/13, que incluyó un “Programa de Instrumentación de la propiedad comunitaria” que aludía a un “Plan de trabajo” para la definición de las delimitaciones territoriales con base en “talleres participativos” de indígenas y criollos</w:t>
      </w:r>
      <w:r w:rsidRPr="00B475B7">
        <w:rPr>
          <w:rStyle w:val="Refdenotaalpie"/>
          <w:lang w:val="es-CR"/>
        </w:rPr>
        <w:footnoteReference w:id="78"/>
      </w:r>
      <w:r w:rsidRPr="008C4FA9">
        <w:rPr>
          <w:rFonts w:ascii="Verdana" w:hAnsi="Verdana"/>
          <w:sz w:val="20"/>
          <w:szCs w:val="20"/>
          <w:lang w:val="es-CR"/>
        </w:rPr>
        <w:t>. Ad</w:t>
      </w:r>
      <w:r>
        <w:rPr>
          <w:rFonts w:ascii="Verdana" w:hAnsi="Verdana"/>
          <w:sz w:val="20"/>
          <w:szCs w:val="20"/>
          <w:lang w:val="es-CR"/>
        </w:rPr>
        <w:t>e</w:t>
      </w:r>
      <w:r w:rsidRPr="008C4FA9">
        <w:rPr>
          <w:rFonts w:ascii="Verdana" w:hAnsi="Verdana"/>
          <w:sz w:val="20"/>
          <w:szCs w:val="20"/>
          <w:lang w:val="es-CR"/>
        </w:rPr>
        <w:t xml:space="preserve">más, en esos meses los representantes y el Estado acordaron </w:t>
      </w:r>
      <w:r w:rsidRPr="003101AB">
        <w:rPr>
          <w:rFonts w:ascii="Verdana" w:hAnsi="Verdana"/>
          <w:sz w:val="20"/>
          <w:szCs w:val="20"/>
          <w:lang w:val="es-CR"/>
        </w:rPr>
        <w:t>que se tomaría como base para cualquier trabajo en terreno un mapa realizado por las comunidades agrupadas en Lhaka Honhat</w:t>
      </w:r>
      <w:r>
        <w:rPr>
          <w:rStyle w:val="Refdenotaalpie"/>
          <w:lang w:val="es-CR"/>
        </w:rPr>
        <w:footnoteReference w:id="79"/>
      </w:r>
      <w:r w:rsidRPr="003101AB">
        <w:rPr>
          <w:rFonts w:ascii="Verdana" w:hAnsi="Verdana"/>
          <w:sz w:val="20"/>
          <w:szCs w:val="20"/>
          <w:lang w:val="es-CR"/>
        </w:rPr>
        <w:t xml:space="preserve">.  </w:t>
      </w:r>
    </w:p>
    <w:p w14:paraId="75E6B89D" w14:textId="77777777" w:rsidR="009805F2" w:rsidRPr="00A637AA" w:rsidRDefault="009805F2" w:rsidP="009805F2">
      <w:pPr>
        <w:pStyle w:val="Prrafodelista"/>
        <w:spacing w:line="240" w:lineRule="auto"/>
        <w:rPr>
          <w:rFonts w:ascii="Verdana" w:hAnsi="Verdana"/>
          <w:sz w:val="20"/>
          <w:szCs w:val="20"/>
          <w:lang w:val="es-ES"/>
        </w:rPr>
      </w:pPr>
    </w:p>
    <w:p w14:paraId="2F455FC3" w14:textId="77777777" w:rsidR="009805F2" w:rsidRDefault="009805F2" w:rsidP="009805F2">
      <w:pPr>
        <w:pStyle w:val="Prrafodelista"/>
        <w:spacing w:line="240" w:lineRule="auto"/>
        <w:ind w:left="851"/>
        <w:outlineLvl w:val="3"/>
        <w:rPr>
          <w:rFonts w:ascii="Verdana" w:hAnsi="Verdana"/>
          <w:sz w:val="20"/>
          <w:szCs w:val="20"/>
          <w:lang w:val="es-CR"/>
        </w:rPr>
      </w:pPr>
      <w:bookmarkStart w:id="100" w:name="_Toc22224875"/>
      <w:bookmarkStart w:id="101" w:name="_Toc32218836"/>
      <w:bookmarkStart w:id="102" w:name="_Toc32227106"/>
      <w:bookmarkStart w:id="103" w:name="_Toc34337535"/>
      <w:r>
        <w:rPr>
          <w:rFonts w:ascii="Verdana" w:hAnsi="Verdana"/>
          <w:i/>
          <w:sz w:val="20"/>
          <w:szCs w:val="20"/>
          <w:lang w:val="es-CR"/>
        </w:rPr>
        <w:t>C.4</w:t>
      </w:r>
      <w:r w:rsidRPr="00676BD4">
        <w:rPr>
          <w:rFonts w:ascii="Verdana" w:hAnsi="Verdana"/>
          <w:i/>
          <w:sz w:val="20"/>
          <w:szCs w:val="20"/>
          <w:lang w:val="es-CR"/>
        </w:rPr>
        <w:t>.</w:t>
      </w:r>
      <w:r>
        <w:rPr>
          <w:rFonts w:ascii="Verdana" w:hAnsi="Verdana"/>
          <w:i/>
          <w:sz w:val="20"/>
          <w:szCs w:val="20"/>
          <w:lang w:val="es-CR"/>
        </w:rPr>
        <w:t>3</w:t>
      </w:r>
      <w:r w:rsidRPr="00676BD4">
        <w:rPr>
          <w:rFonts w:ascii="Verdana" w:hAnsi="Verdana"/>
          <w:i/>
          <w:sz w:val="20"/>
          <w:szCs w:val="20"/>
          <w:lang w:val="es-CR"/>
        </w:rPr>
        <w:t xml:space="preserve"> </w:t>
      </w:r>
      <w:r w:rsidRPr="002A21F3">
        <w:rPr>
          <w:rFonts w:ascii="Verdana" w:hAnsi="Verdana"/>
          <w:i/>
          <w:sz w:val="20"/>
          <w:szCs w:val="20"/>
          <w:u w:val="single"/>
          <w:lang w:val="es-CR"/>
        </w:rPr>
        <w:t>Decreto 1498 de 2014 y actos posteriores</w:t>
      </w:r>
      <w:bookmarkEnd w:id="100"/>
      <w:bookmarkEnd w:id="101"/>
      <w:bookmarkEnd w:id="102"/>
      <w:bookmarkEnd w:id="103"/>
    </w:p>
    <w:p w14:paraId="13779814" w14:textId="77777777" w:rsidR="009805F2" w:rsidRPr="00D710FC" w:rsidRDefault="009805F2" w:rsidP="009805F2">
      <w:pPr>
        <w:pStyle w:val="Prrafodelista"/>
        <w:spacing w:line="240" w:lineRule="auto"/>
        <w:rPr>
          <w:rFonts w:ascii="Verdana" w:hAnsi="Verdana"/>
          <w:sz w:val="20"/>
          <w:szCs w:val="20"/>
          <w:lang w:val="es-CR"/>
        </w:rPr>
      </w:pPr>
    </w:p>
    <w:p w14:paraId="6E1201BE" w14:textId="77777777" w:rsidR="009805F2" w:rsidRPr="00E73CDA" w:rsidRDefault="009805F2" w:rsidP="009805F2">
      <w:pPr>
        <w:pStyle w:val="Prrafodelista"/>
        <w:numPr>
          <w:ilvl w:val="0"/>
          <w:numId w:val="1"/>
        </w:numPr>
        <w:spacing w:after="0" w:line="240" w:lineRule="auto"/>
        <w:ind w:left="0" w:hanging="11"/>
        <w:jc w:val="both"/>
        <w:rPr>
          <w:rFonts w:ascii="Verdana" w:hAnsi="Verdana"/>
          <w:sz w:val="20"/>
          <w:szCs w:val="20"/>
          <w:lang w:val="es-ES"/>
        </w:rPr>
      </w:pPr>
      <w:r w:rsidRPr="00B475B7">
        <w:rPr>
          <w:rFonts w:ascii="Verdana" w:hAnsi="Verdana"/>
          <w:sz w:val="20"/>
          <w:szCs w:val="20"/>
          <w:lang w:val="es-CR"/>
        </w:rPr>
        <w:t xml:space="preserve">El 29 de mayo de 2014 Salta emitió el </w:t>
      </w:r>
      <w:r w:rsidRPr="00D710FC">
        <w:rPr>
          <w:rFonts w:ascii="Verdana" w:hAnsi="Verdana"/>
          <w:sz w:val="20"/>
          <w:szCs w:val="20"/>
          <w:lang w:val="es-CR"/>
        </w:rPr>
        <w:t>Decreto 1498/14</w:t>
      </w:r>
      <w:r w:rsidRPr="00B475B7">
        <w:rPr>
          <w:rFonts w:ascii="Verdana" w:hAnsi="Verdana"/>
          <w:sz w:val="20"/>
          <w:szCs w:val="20"/>
          <w:lang w:val="es-CR"/>
        </w:rPr>
        <w:t>,</w:t>
      </w:r>
      <w:r w:rsidRPr="00B475B7">
        <w:rPr>
          <w:rFonts w:ascii="Verdana" w:hAnsi="Verdana"/>
          <w:b/>
          <w:sz w:val="20"/>
          <w:szCs w:val="20"/>
          <w:lang w:val="es-CR"/>
        </w:rPr>
        <w:t xml:space="preserve"> </w:t>
      </w:r>
      <w:r w:rsidRPr="00B475B7">
        <w:rPr>
          <w:rFonts w:ascii="Verdana" w:hAnsi="Verdana"/>
          <w:sz w:val="20"/>
          <w:szCs w:val="20"/>
          <w:lang w:val="es-CR"/>
        </w:rPr>
        <w:t>que estableció: a) “recono[cer] y transf[erir]”: i.- la “propiedad comunitaria”, a favor de 71 comunidades indígenas, de aproximadamente 400</w:t>
      </w:r>
      <w:r>
        <w:rPr>
          <w:rFonts w:ascii="Verdana" w:hAnsi="Verdana"/>
          <w:sz w:val="20"/>
          <w:szCs w:val="20"/>
          <w:lang w:val="es-CR"/>
        </w:rPr>
        <w:t>.</w:t>
      </w:r>
      <w:r w:rsidRPr="00B475B7">
        <w:rPr>
          <w:rFonts w:ascii="Verdana" w:hAnsi="Verdana"/>
          <w:sz w:val="20"/>
          <w:szCs w:val="20"/>
          <w:lang w:val="es-CR"/>
        </w:rPr>
        <w:t xml:space="preserve">000 </w:t>
      </w:r>
      <w:r>
        <w:rPr>
          <w:rFonts w:ascii="Verdana" w:hAnsi="Verdana"/>
          <w:sz w:val="20"/>
          <w:szCs w:val="20"/>
          <w:lang w:val="es-CR"/>
        </w:rPr>
        <w:t>ha</w:t>
      </w:r>
      <w:r w:rsidRPr="00B475B7">
        <w:rPr>
          <w:rFonts w:ascii="Verdana" w:hAnsi="Verdana"/>
          <w:sz w:val="20"/>
          <w:szCs w:val="20"/>
          <w:lang w:val="es-CR"/>
        </w:rPr>
        <w:t xml:space="preserve"> de los </w:t>
      </w:r>
      <w:r w:rsidRPr="00E73CDA">
        <w:rPr>
          <w:rFonts w:ascii="Verdana" w:hAnsi="Verdana"/>
          <w:sz w:val="20"/>
          <w:szCs w:val="20"/>
          <w:lang w:val="es-CR"/>
        </w:rPr>
        <w:t>“</w:t>
      </w:r>
      <w:r w:rsidRPr="008B2157">
        <w:rPr>
          <w:rFonts w:ascii="Verdana" w:hAnsi="Verdana"/>
          <w:sz w:val="20"/>
          <w:szCs w:val="20"/>
          <w:lang w:val="es-CR"/>
        </w:rPr>
        <w:t>inmuebles nomenclatura catastral Matrículas N° 175 y 5557 del Departamento Rivadavia”, de la Provincia de Salta</w:t>
      </w:r>
      <w:r>
        <w:rPr>
          <w:rFonts w:ascii="Verdana" w:hAnsi="Verdana"/>
          <w:sz w:val="20"/>
          <w:szCs w:val="20"/>
          <w:lang w:val="es-CR"/>
        </w:rPr>
        <w:t xml:space="preserve">” (antes </w:t>
      </w:r>
    </w:p>
    <w:p w14:paraId="43D9C4FE" w14:textId="77777777" w:rsidR="009805F2" w:rsidRPr="002E07B4" w:rsidRDefault="009805F2" w:rsidP="009805F2">
      <w:pPr>
        <w:pStyle w:val="Prrafodelista"/>
        <w:spacing w:after="0" w:line="240" w:lineRule="auto"/>
        <w:ind w:left="0" w:hanging="11"/>
        <w:jc w:val="both"/>
        <w:rPr>
          <w:rFonts w:ascii="Verdana" w:hAnsi="Verdana"/>
          <w:sz w:val="20"/>
          <w:szCs w:val="20"/>
          <w:lang w:val="es-ES"/>
        </w:rPr>
      </w:pPr>
      <w:r>
        <w:rPr>
          <w:rFonts w:ascii="Verdana" w:hAnsi="Verdana"/>
          <w:sz w:val="20"/>
          <w:szCs w:val="20"/>
          <w:lang w:val="es-ES"/>
        </w:rPr>
        <w:lastRenderedPageBreak/>
        <w:t>i</w:t>
      </w:r>
      <w:r>
        <w:rPr>
          <w:rFonts w:ascii="Verdana" w:hAnsi="Verdana"/>
          <w:sz w:val="20"/>
          <w:szCs w:val="20"/>
          <w:lang w:val="es-CR"/>
        </w:rPr>
        <w:t xml:space="preserve">dentificados como </w:t>
      </w:r>
      <w:r w:rsidRPr="00B475B7">
        <w:rPr>
          <w:rFonts w:ascii="Verdana" w:hAnsi="Verdana"/>
          <w:sz w:val="20"/>
          <w:szCs w:val="20"/>
          <w:lang w:val="es-CR"/>
        </w:rPr>
        <w:t>lotes fiscales 55 y 14</w:t>
      </w:r>
      <w:r>
        <w:rPr>
          <w:rFonts w:ascii="Verdana" w:hAnsi="Verdana"/>
          <w:sz w:val="20"/>
          <w:szCs w:val="20"/>
          <w:lang w:val="es-CR"/>
        </w:rPr>
        <w:t>)</w:t>
      </w:r>
      <w:r w:rsidRPr="00B475B7">
        <w:rPr>
          <w:rStyle w:val="Refdenotaalpie"/>
          <w:lang w:val="es-CR"/>
        </w:rPr>
        <w:footnoteReference w:id="80"/>
      </w:r>
      <w:r w:rsidRPr="00B475B7">
        <w:rPr>
          <w:rFonts w:ascii="Verdana" w:hAnsi="Verdana"/>
          <w:sz w:val="20"/>
          <w:szCs w:val="20"/>
          <w:lang w:val="es-CR"/>
        </w:rPr>
        <w:t>, y ii.- la “propiedad en condominio” de los mismo</w:t>
      </w:r>
      <w:r>
        <w:rPr>
          <w:rFonts w:ascii="Verdana" w:hAnsi="Verdana"/>
          <w:sz w:val="20"/>
          <w:szCs w:val="20"/>
          <w:lang w:val="es-CR"/>
        </w:rPr>
        <w:t>s</w:t>
      </w:r>
      <w:r w:rsidRPr="00B475B7">
        <w:rPr>
          <w:rFonts w:ascii="Verdana" w:hAnsi="Verdana"/>
          <w:sz w:val="20"/>
          <w:szCs w:val="20"/>
          <w:lang w:val="es-CR"/>
        </w:rPr>
        <w:t xml:space="preserve"> inmuebles a favor de múltiples familias criollas</w:t>
      </w:r>
      <w:r w:rsidRPr="00B475B7">
        <w:rPr>
          <w:rStyle w:val="Refdenotaalpie"/>
          <w:lang w:val="es-CR"/>
        </w:rPr>
        <w:footnoteReference w:id="81"/>
      </w:r>
      <w:r w:rsidRPr="00B475B7">
        <w:rPr>
          <w:rFonts w:ascii="Verdana" w:hAnsi="Verdana"/>
          <w:sz w:val="20"/>
          <w:szCs w:val="20"/>
          <w:lang w:val="es-CR"/>
        </w:rPr>
        <w:t>; b) reservar a favor del Estado provincial el 6,34% de los inmuebles para “uso institucional”; c) disponer que la “determinación específica” de los territorios y lotes que correspondan a comunidades criollas y familias indígenas “y todos los actos y trámites necesarios hasta la adjudicación y obtención de la matrícula correspondiente” se hagan a través de la UEP.</w:t>
      </w:r>
      <w:r>
        <w:rPr>
          <w:rFonts w:ascii="Verdana" w:hAnsi="Verdana"/>
          <w:sz w:val="20"/>
          <w:szCs w:val="20"/>
          <w:lang w:val="es-CR"/>
        </w:rPr>
        <w:t xml:space="preserve">  </w:t>
      </w:r>
    </w:p>
    <w:p w14:paraId="14671E91" w14:textId="77777777" w:rsidR="009805F2" w:rsidRDefault="009805F2" w:rsidP="009805F2">
      <w:pPr>
        <w:pStyle w:val="Prrafodelista"/>
        <w:spacing w:after="0" w:line="240" w:lineRule="auto"/>
        <w:ind w:left="0"/>
        <w:jc w:val="both"/>
        <w:rPr>
          <w:rFonts w:ascii="Verdana" w:hAnsi="Verdana"/>
          <w:sz w:val="20"/>
          <w:szCs w:val="20"/>
          <w:lang w:val="es-ES"/>
        </w:rPr>
      </w:pPr>
    </w:p>
    <w:p w14:paraId="530C4F6E" w14:textId="77777777" w:rsidR="009805F2" w:rsidRPr="009560D3" w:rsidRDefault="009805F2" w:rsidP="009805F2">
      <w:pPr>
        <w:pStyle w:val="Prrafodelista"/>
        <w:numPr>
          <w:ilvl w:val="0"/>
          <w:numId w:val="1"/>
        </w:numPr>
        <w:spacing w:after="0" w:line="240" w:lineRule="auto"/>
        <w:ind w:left="0" w:firstLine="0"/>
        <w:jc w:val="both"/>
        <w:rPr>
          <w:rFonts w:ascii="Verdana" w:hAnsi="Verdana"/>
          <w:sz w:val="20"/>
          <w:szCs w:val="20"/>
          <w:lang w:val="es-ES"/>
        </w:rPr>
      </w:pPr>
      <w:r w:rsidRPr="00A95802">
        <w:rPr>
          <w:rFonts w:ascii="Verdana" w:hAnsi="Verdana"/>
          <w:sz w:val="20"/>
          <w:szCs w:val="20"/>
          <w:lang w:val="es-CR"/>
        </w:rPr>
        <w:t>En sus consideraciones, el Decreto 1498/14 señaló que para la localización específica de territorios de las comunidades y lotes de familias criollas se tendría en cuenta, “como referencia”, el mapa entregado por Lhaka Honhat a la Provincia</w:t>
      </w:r>
      <w:r w:rsidRPr="00B475B7">
        <w:rPr>
          <w:rStyle w:val="Refdenotaalpie"/>
          <w:lang w:val="es-CR"/>
        </w:rPr>
        <w:footnoteReference w:id="82"/>
      </w:r>
      <w:r w:rsidRPr="00A95802">
        <w:rPr>
          <w:rFonts w:ascii="Verdana" w:hAnsi="Verdana"/>
          <w:sz w:val="20"/>
          <w:szCs w:val="20"/>
          <w:lang w:val="es-CR"/>
        </w:rPr>
        <w:t xml:space="preserve">. </w:t>
      </w:r>
      <w:r>
        <w:rPr>
          <w:rFonts w:ascii="Verdana" w:hAnsi="Verdana"/>
          <w:sz w:val="20"/>
          <w:szCs w:val="20"/>
          <w:lang w:val="es-CR"/>
        </w:rPr>
        <w:t>Una versión de d</w:t>
      </w:r>
      <w:r w:rsidRPr="009560D3">
        <w:rPr>
          <w:rFonts w:ascii="Verdana" w:hAnsi="Verdana"/>
          <w:sz w:val="20"/>
          <w:szCs w:val="20"/>
          <w:lang w:val="es-CR"/>
        </w:rPr>
        <w:t>icho mapa</w:t>
      </w:r>
      <w:r>
        <w:rPr>
          <w:rFonts w:ascii="Verdana" w:hAnsi="Verdana"/>
          <w:sz w:val="20"/>
          <w:szCs w:val="20"/>
          <w:lang w:val="es-CR"/>
        </w:rPr>
        <w:t>, que se copia a continuación, fue remitida por los representantes a la Corte</w:t>
      </w:r>
      <w:r>
        <w:rPr>
          <w:rStyle w:val="Refdenotaalpie"/>
          <w:rFonts w:ascii="Verdana" w:hAnsi="Verdana"/>
          <w:sz w:val="20"/>
          <w:lang w:val="es-CR"/>
        </w:rPr>
        <w:footnoteReference w:id="83"/>
      </w:r>
      <w:r w:rsidRPr="009560D3">
        <w:rPr>
          <w:rFonts w:ascii="Verdana" w:hAnsi="Verdana"/>
          <w:sz w:val="20"/>
          <w:szCs w:val="20"/>
          <w:lang w:val="es-CR"/>
        </w:rPr>
        <w:t>:</w:t>
      </w:r>
      <w:r w:rsidRPr="009560D3">
        <w:rPr>
          <w:rFonts w:ascii="Verdana" w:hAnsi="Verdana"/>
          <w:sz w:val="16"/>
          <w:szCs w:val="16"/>
          <w:lang w:val="es-CR"/>
        </w:rPr>
        <w:t xml:space="preserve"> </w:t>
      </w:r>
    </w:p>
    <w:p w14:paraId="1A5015FD" w14:textId="77777777" w:rsidR="009805F2" w:rsidRDefault="009805F2" w:rsidP="009805F2">
      <w:pPr>
        <w:pStyle w:val="Prrafodelista"/>
        <w:spacing w:line="240" w:lineRule="auto"/>
        <w:ind w:left="0"/>
        <w:jc w:val="both"/>
        <w:rPr>
          <w:rFonts w:ascii="Verdana" w:hAnsi="Verdana"/>
          <w:sz w:val="20"/>
          <w:szCs w:val="20"/>
          <w:lang w:val="es-CR"/>
        </w:rPr>
      </w:pPr>
    </w:p>
    <w:p w14:paraId="0D685B63" w14:textId="77777777" w:rsidR="009805F2" w:rsidRPr="00A70063" w:rsidRDefault="009805F2" w:rsidP="009805F2">
      <w:pPr>
        <w:spacing w:after="0" w:line="240" w:lineRule="auto"/>
        <w:jc w:val="both"/>
        <w:rPr>
          <w:rFonts w:ascii="Verdana" w:hAnsi="Verdana"/>
          <w:sz w:val="20"/>
          <w:szCs w:val="20"/>
          <w:lang w:val="es-ES"/>
        </w:rPr>
      </w:pPr>
    </w:p>
    <w:p w14:paraId="77869B96" w14:textId="77777777" w:rsidR="009805F2" w:rsidRDefault="009805F2" w:rsidP="009805F2">
      <w:pPr>
        <w:spacing w:line="240" w:lineRule="auto"/>
        <w:jc w:val="center"/>
      </w:pPr>
      <w:r>
        <w:rPr>
          <w:noProof/>
          <w:lang w:eastAsia="es-ES_tradnl"/>
        </w:rPr>
        <w:lastRenderedPageBreak/>
        <w:drawing>
          <wp:inline distT="0" distB="0" distL="0" distR="0" wp14:anchorId="133F1322" wp14:editId="75CDB479">
            <wp:extent cx="4779010" cy="6766560"/>
            <wp:effectExtent l="0" t="0" r="2540" b="0"/>
            <wp:docPr id="2" name="Imagen 2" descr="map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a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79010" cy="6766560"/>
                    </a:xfrm>
                    <a:prstGeom prst="rect">
                      <a:avLst/>
                    </a:prstGeom>
                    <a:noFill/>
                    <a:ln>
                      <a:noFill/>
                    </a:ln>
                  </pic:spPr>
                </pic:pic>
              </a:graphicData>
            </a:graphic>
          </wp:inline>
        </w:drawing>
      </w:r>
    </w:p>
    <w:p w14:paraId="020BB34C" w14:textId="77777777" w:rsidR="009805F2" w:rsidRDefault="009805F2" w:rsidP="009805F2">
      <w:pPr>
        <w:pStyle w:val="Prrafodelista"/>
        <w:spacing w:line="240" w:lineRule="auto"/>
        <w:ind w:left="0"/>
        <w:jc w:val="both"/>
        <w:rPr>
          <w:rFonts w:ascii="Verdana" w:hAnsi="Verdana"/>
          <w:sz w:val="20"/>
          <w:szCs w:val="20"/>
          <w:lang w:val="es-CR"/>
        </w:rPr>
      </w:pPr>
    </w:p>
    <w:p w14:paraId="15EA0A02" w14:textId="77777777" w:rsidR="009805F2" w:rsidRPr="00D710FC" w:rsidRDefault="009805F2" w:rsidP="009805F2">
      <w:pPr>
        <w:pStyle w:val="Prrafodelista"/>
        <w:numPr>
          <w:ilvl w:val="0"/>
          <w:numId w:val="1"/>
        </w:numPr>
        <w:spacing w:after="0" w:line="240" w:lineRule="auto"/>
        <w:ind w:left="0" w:firstLine="0"/>
        <w:jc w:val="both"/>
        <w:rPr>
          <w:rFonts w:ascii="Verdana" w:hAnsi="Verdana"/>
          <w:sz w:val="20"/>
          <w:szCs w:val="20"/>
          <w:lang w:val="es-ES"/>
        </w:rPr>
      </w:pPr>
      <w:r>
        <w:rPr>
          <w:rFonts w:ascii="Verdana" w:hAnsi="Verdana"/>
          <w:sz w:val="20"/>
          <w:szCs w:val="20"/>
          <w:lang w:val="es-CR"/>
        </w:rPr>
        <w:t>El 28 de julio de 2014 Salta</w:t>
      </w:r>
      <w:r w:rsidRPr="00B475B7">
        <w:rPr>
          <w:rFonts w:ascii="Verdana" w:hAnsi="Verdana"/>
          <w:sz w:val="20"/>
          <w:szCs w:val="20"/>
          <w:lang w:val="es-CR"/>
        </w:rPr>
        <w:t xml:space="preserve"> emitió la Resolución 654, por la que se aprobaron convenios de cooperación para el “plan de trabajo” respecto de los lotes 14</w:t>
      </w:r>
      <w:r>
        <w:rPr>
          <w:rFonts w:ascii="Verdana" w:hAnsi="Verdana"/>
          <w:sz w:val="20"/>
          <w:szCs w:val="20"/>
          <w:lang w:val="es-CR"/>
        </w:rPr>
        <w:t xml:space="preserve"> y 55</w:t>
      </w:r>
      <w:r w:rsidRPr="00B475B7">
        <w:rPr>
          <w:rFonts w:ascii="Verdana" w:hAnsi="Verdana"/>
          <w:sz w:val="20"/>
          <w:szCs w:val="20"/>
          <w:lang w:val="es-CR"/>
        </w:rPr>
        <w:t xml:space="preserve">. Dichos convenios habían sido firmados por la Secretaría de Derechos Humanos </w:t>
      </w:r>
      <w:r>
        <w:rPr>
          <w:rFonts w:ascii="Verdana" w:hAnsi="Verdana"/>
          <w:sz w:val="20"/>
          <w:szCs w:val="20"/>
          <w:lang w:val="es-CR"/>
        </w:rPr>
        <w:t xml:space="preserve">de Salta </w:t>
      </w:r>
      <w:r w:rsidRPr="00B475B7">
        <w:rPr>
          <w:rFonts w:ascii="Verdana" w:hAnsi="Verdana"/>
          <w:sz w:val="20"/>
          <w:szCs w:val="20"/>
          <w:lang w:val="es-CR"/>
        </w:rPr>
        <w:t>y la UEP con Lhaka Honhat y la OFC, y establecían que ambas organizaciones designaran cinco personas para que se integraran como “técnicos de campo” a la UEP</w:t>
      </w:r>
      <w:r w:rsidRPr="00B475B7">
        <w:rPr>
          <w:rStyle w:val="Refdenotaalpie"/>
          <w:lang w:val="es-CR"/>
        </w:rPr>
        <w:footnoteReference w:id="84"/>
      </w:r>
      <w:r w:rsidRPr="00B475B7">
        <w:rPr>
          <w:rFonts w:ascii="Verdana" w:hAnsi="Verdana"/>
          <w:sz w:val="20"/>
          <w:szCs w:val="20"/>
          <w:lang w:val="es-CR"/>
        </w:rPr>
        <w:t>.</w:t>
      </w:r>
    </w:p>
    <w:p w14:paraId="4E8EA653" w14:textId="77777777" w:rsidR="009805F2" w:rsidRPr="00D710FC" w:rsidRDefault="009805F2" w:rsidP="009805F2">
      <w:pPr>
        <w:pStyle w:val="Prrafodelista"/>
        <w:spacing w:line="240" w:lineRule="auto"/>
        <w:ind w:left="0"/>
        <w:rPr>
          <w:rFonts w:ascii="Verdana" w:hAnsi="Verdana"/>
          <w:sz w:val="20"/>
          <w:szCs w:val="20"/>
          <w:lang w:val="es-ES"/>
        </w:rPr>
      </w:pPr>
    </w:p>
    <w:p w14:paraId="518FA674" w14:textId="0D53DB53" w:rsidR="009805F2" w:rsidRPr="00D710FC" w:rsidRDefault="009805F2" w:rsidP="009805F2">
      <w:pPr>
        <w:pStyle w:val="Prrafodelista"/>
        <w:numPr>
          <w:ilvl w:val="0"/>
          <w:numId w:val="1"/>
        </w:numPr>
        <w:spacing w:after="0" w:line="240" w:lineRule="auto"/>
        <w:ind w:left="0" w:firstLine="0"/>
        <w:jc w:val="both"/>
        <w:rPr>
          <w:rFonts w:ascii="Verdana" w:hAnsi="Verdana"/>
          <w:sz w:val="20"/>
          <w:szCs w:val="20"/>
          <w:lang w:val="es-ES"/>
        </w:rPr>
      </w:pPr>
      <w:r>
        <w:rPr>
          <w:rFonts w:ascii="Verdana" w:hAnsi="Verdana"/>
          <w:sz w:val="20"/>
          <w:szCs w:val="20"/>
          <w:lang w:val="es-ES"/>
        </w:rPr>
        <w:t>E</w:t>
      </w:r>
      <w:r w:rsidR="00560F37">
        <w:rPr>
          <w:rFonts w:ascii="Verdana" w:hAnsi="Verdana"/>
          <w:sz w:val="20"/>
          <w:szCs w:val="20"/>
          <w:lang w:val="es-ES"/>
        </w:rPr>
        <w:t>l</w:t>
      </w:r>
      <w:r>
        <w:rPr>
          <w:rFonts w:ascii="Verdana" w:hAnsi="Verdana"/>
          <w:sz w:val="20"/>
          <w:szCs w:val="20"/>
          <w:lang w:val="es-ES"/>
        </w:rPr>
        <w:t xml:space="preserve"> 27 de noviembre de 2014 y durante los primeros meses de 2015, las comunidades indígenas señalaron a la Comisión que persistían los retrasos de trabajo en el terreno, respecto a la demarcación y titulación</w:t>
      </w:r>
      <w:r>
        <w:rPr>
          <w:rStyle w:val="Refdenotaalpie"/>
          <w:lang w:val="es-ES"/>
        </w:rPr>
        <w:footnoteReference w:id="85"/>
      </w:r>
      <w:r>
        <w:rPr>
          <w:rFonts w:ascii="Verdana" w:hAnsi="Verdana"/>
          <w:sz w:val="20"/>
          <w:szCs w:val="20"/>
          <w:lang w:val="es-ES"/>
        </w:rPr>
        <w:t>.</w:t>
      </w:r>
    </w:p>
    <w:p w14:paraId="0EF183FD" w14:textId="77777777" w:rsidR="009805F2" w:rsidRPr="00D710FC" w:rsidRDefault="009805F2" w:rsidP="009805F2">
      <w:pPr>
        <w:pStyle w:val="Prrafodelista"/>
        <w:spacing w:line="240" w:lineRule="auto"/>
        <w:ind w:left="0"/>
        <w:rPr>
          <w:rFonts w:ascii="Verdana" w:hAnsi="Verdana"/>
          <w:sz w:val="20"/>
          <w:szCs w:val="20"/>
          <w:lang w:val="es-ES"/>
        </w:rPr>
      </w:pPr>
    </w:p>
    <w:p w14:paraId="62613E33" w14:textId="6511C476" w:rsidR="009805F2" w:rsidRPr="0010544E" w:rsidRDefault="009805F2" w:rsidP="009805F2">
      <w:pPr>
        <w:pStyle w:val="Prrafodelista"/>
        <w:numPr>
          <w:ilvl w:val="0"/>
          <w:numId w:val="1"/>
        </w:numPr>
        <w:spacing w:after="0" w:line="240" w:lineRule="auto"/>
        <w:ind w:left="0" w:firstLine="0"/>
        <w:jc w:val="both"/>
        <w:rPr>
          <w:rFonts w:ascii="Verdana" w:hAnsi="Verdana"/>
          <w:sz w:val="20"/>
          <w:szCs w:val="20"/>
          <w:lang w:val="es-ES"/>
        </w:rPr>
      </w:pPr>
      <w:r>
        <w:rPr>
          <w:rFonts w:ascii="Verdana" w:hAnsi="Verdana"/>
          <w:sz w:val="20"/>
          <w:szCs w:val="20"/>
          <w:lang w:val="es-ES"/>
        </w:rPr>
        <w:t>Desde septiembre de 2015 y hasta fines de junio de 2016, según información presentada por los representantes, no hubo recursos presupuestarios para el proceso y las obras de infraestructura necesarias para los traslados</w:t>
      </w:r>
      <w:r>
        <w:rPr>
          <w:rStyle w:val="Refdenotaalpie"/>
          <w:lang w:val="es-ES"/>
        </w:rPr>
        <w:footnoteReference w:id="86"/>
      </w:r>
      <w:r>
        <w:rPr>
          <w:rFonts w:ascii="Verdana" w:hAnsi="Verdana"/>
          <w:sz w:val="20"/>
          <w:szCs w:val="20"/>
          <w:lang w:val="es-ES"/>
        </w:rPr>
        <w:t xml:space="preserve">, ni información sobre la coordinación de tareas entre el Estado Nacional y la UEP. </w:t>
      </w:r>
      <w:r>
        <w:rPr>
          <w:rFonts w:ascii="Verdana" w:hAnsi="Verdana"/>
          <w:sz w:val="20"/>
          <w:szCs w:val="20"/>
          <w:lang w:val="es-CR"/>
        </w:rPr>
        <w:t>E</w:t>
      </w:r>
      <w:r w:rsidRPr="00B475B7">
        <w:rPr>
          <w:rFonts w:ascii="Verdana" w:hAnsi="Verdana"/>
          <w:sz w:val="20"/>
          <w:szCs w:val="20"/>
          <w:lang w:val="es-CR"/>
        </w:rPr>
        <w:t xml:space="preserve">l 19 de julio de ese año el Estado informó a la Comisión </w:t>
      </w:r>
      <w:r>
        <w:rPr>
          <w:rFonts w:ascii="Verdana" w:hAnsi="Verdana"/>
          <w:sz w:val="20"/>
          <w:szCs w:val="20"/>
          <w:lang w:val="es-CR"/>
        </w:rPr>
        <w:t xml:space="preserve">Interamericana </w:t>
      </w:r>
      <w:r w:rsidRPr="00B475B7">
        <w:rPr>
          <w:rFonts w:ascii="Verdana" w:hAnsi="Verdana"/>
          <w:sz w:val="20"/>
          <w:szCs w:val="20"/>
          <w:lang w:val="es-CR"/>
        </w:rPr>
        <w:t>la suscripción de una serie de convenios para avanzar en la formalización de la propiedad comunitaria indígena</w:t>
      </w:r>
      <w:r w:rsidRPr="00B475B7">
        <w:rPr>
          <w:rStyle w:val="Refdenotaalpie"/>
          <w:lang w:val="es-CR"/>
        </w:rPr>
        <w:footnoteReference w:id="87"/>
      </w:r>
      <w:r>
        <w:rPr>
          <w:rFonts w:ascii="Verdana" w:hAnsi="Verdana"/>
          <w:sz w:val="20"/>
          <w:szCs w:val="20"/>
          <w:lang w:val="es-CR"/>
        </w:rPr>
        <w:t>.</w:t>
      </w:r>
    </w:p>
    <w:p w14:paraId="479C1AB2" w14:textId="77777777" w:rsidR="009805F2" w:rsidRPr="00B475B7" w:rsidRDefault="009805F2" w:rsidP="009805F2">
      <w:pPr>
        <w:pStyle w:val="Prrafodelista"/>
        <w:spacing w:line="240" w:lineRule="auto"/>
        <w:ind w:left="0"/>
        <w:jc w:val="both"/>
        <w:rPr>
          <w:rFonts w:ascii="Verdana" w:hAnsi="Verdana"/>
          <w:sz w:val="20"/>
          <w:szCs w:val="20"/>
          <w:lang w:val="es-CR"/>
        </w:rPr>
      </w:pPr>
    </w:p>
    <w:p w14:paraId="4AB8F548" w14:textId="226F201B" w:rsidR="009805F2" w:rsidRPr="00B475B7" w:rsidRDefault="009805F2" w:rsidP="009805F2">
      <w:pPr>
        <w:pStyle w:val="Prrafodelista"/>
        <w:numPr>
          <w:ilvl w:val="0"/>
          <w:numId w:val="1"/>
        </w:numPr>
        <w:spacing w:after="0" w:line="240" w:lineRule="auto"/>
        <w:ind w:left="0" w:firstLine="0"/>
        <w:jc w:val="both"/>
        <w:rPr>
          <w:rFonts w:ascii="Verdana" w:hAnsi="Verdana"/>
          <w:sz w:val="20"/>
          <w:szCs w:val="20"/>
          <w:lang w:val="es-ES"/>
        </w:rPr>
      </w:pPr>
      <w:r w:rsidRPr="00B475B7">
        <w:rPr>
          <w:rFonts w:ascii="Verdana" w:hAnsi="Verdana"/>
          <w:sz w:val="20"/>
          <w:szCs w:val="20"/>
          <w:lang w:val="es-CR"/>
        </w:rPr>
        <w:t>El 25 de octubre de 2017, en el marco de una reunión de trabajo ante</w:t>
      </w:r>
      <w:r w:rsidR="00C35D82">
        <w:rPr>
          <w:rFonts w:ascii="Verdana" w:hAnsi="Verdana"/>
          <w:sz w:val="20"/>
          <w:szCs w:val="20"/>
          <w:lang w:val="es-CR"/>
        </w:rPr>
        <w:t xml:space="preserve"> la Comisión, el Estado anunció</w:t>
      </w:r>
      <w:r w:rsidRPr="00B475B7">
        <w:rPr>
          <w:rFonts w:ascii="Verdana" w:hAnsi="Verdana"/>
          <w:sz w:val="20"/>
          <w:szCs w:val="20"/>
          <w:lang w:val="es-CR"/>
        </w:rPr>
        <w:t xml:space="preserve"> un “Plan Integral de Trabajo para el Cumplimiento de las Recomendaciones [del Informe de Fondo]”. El mismo prev</w:t>
      </w:r>
      <w:r>
        <w:rPr>
          <w:rFonts w:ascii="Verdana" w:hAnsi="Verdana"/>
          <w:sz w:val="20"/>
          <w:szCs w:val="20"/>
          <w:lang w:val="es-CR"/>
        </w:rPr>
        <w:t>ió</w:t>
      </w:r>
      <w:r w:rsidRPr="00B475B7">
        <w:rPr>
          <w:rFonts w:ascii="Verdana" w:hAnsi="Verdana"/>
          <w:sz w:val="20"/>
          <w:szCs w:val="20"/>
          <w:lang w:val="es-CR"/>
        </w:rPr>
        <w:t xml:space="preserve"> un plazo de ejecución total de 8 años</w:t>
      </w:r>
      <w:r w:rsidRPr="00B475B7">
        <w:rPr>
          <w:rStyle w:val="Refdenotaalpie"/>
          <w:lang w:val="es-CR"/>
        </w:rPr>
        <w:footnoteReference w:id="88"/>
      </w:r>
      <w:r w:rsidRPr="00B475B7">
        <w:rPr>
          <w:rFonts w:ascii="Verdana" w:hAnsi="Verdana"/>
          <w:sz w:val="20"/>
          <w:szCs w:val="20"/>
          <w:lang w:val="es-CR"/>
        </w:rPr>
        <w:t>.</w:t>
      </w:r>
      <w:r>
        <w:rPr>
          <w:rFonts w:ascii="Verdana" w:hAnsi="Verdana"/>
          <w:sz w:val="20"/>
          <w:szCs w:val="20"/>
          <w:lang w:val="es-CR"/>
        </w:rPr>
        <w:t xml:space="preserve"> </w:t>
      </w:r>
    </w:p>
    <w:p w14:paraId="34A6A419" w14:textId="77777777" w:rsidR="009805F2" w:rsidRPr="00B336F6" w:rsidRDefault="009805F2" w:rsidP="009805F2">
      <w:pPr>
        <w:pStyle w:val="Prrafodelista"/>
        <w:spacing w:line="240" w:lineRule="auto"/>
        <w:ind w:left="0"/>
        <w:jc w:val="both"/>
        <w:rPr>
          <w:rFonts w:ascii="Verdana" w:hAnsi="Verdana"/>
          <w:b/>
          <w:sz w:val="20"/>
          <w:szCs w:val="20"/>
          <w:lang w:val="es-CR"/>
        </w:rPr>
      </w:pPr>
    </w:p>
    <w:p w14:paraId="77F21DDB" w14:textId="77777777" w:rsidR="009805F2" w:rsidRDefault="009805F2" w:rsidP="009805F2">
      <w:pPr>
        <w:pStyle w:val="Prrafodelista"/>
        <w:spacing w:line="240" w:lineRule="auto"/>
        <w:ind w:left="284"/>
        <w:jc w:val="both"/>
        <w:outlineLvl w:val="1"/>
        <w:rPr>
          <w:rFonts w:ascii="Verdana" w:hAnsi="Verdana"/>
          <w:b/>
          <w:i/>
          <w:sz w:val="20"/>
          <w:szCs w:val="20"/>
        </w:rPr>
      </w:pPr>
      <w:bookmarkStart w:id="104" w:name="_Toc22224876"/>
      <w:bookmarkStart w:id="105" w:name="_Toc32218837"/>
      <w:bookmarkStart w:id="106" w:name="_Toc32227107"/>
      <w:bookmarkStart w:id="107" w:name="_Toc34337536"/>
      <w:r>
        <w:rPr>
          <w:rFonts w:ascii="Verdana" w:hAnsi="Verdana"/>
          <w:b/>
          <w:i/>
          <w:sz w:val="20"/>
          <w:szCs w:val="20"/>
        </w:rPr>
        <w:t>D)</w:t>
      </w:r>
      <w:r w:rsidRPr="00B336F6">
        <w:rPr>
          <w:rFonts w:ascii="Verdana" w:hAnsi="Verdana"/>
          <w:b/>
          <w:i/>
          <w:sz w:val="20"/>
          <w:szCs w:val="20"/>
        </w:rPr>
        <w:t xml:space="preserve"> </w:t>
      </w:r>
      <w:r w:rsidRPr="00AA551F">
        <w:rPr>
          <w:rFonts w:ascii="Verdana" w:hAnsi="Verdana"/>
          <w:b/>
          <w:i/>
          <w:sz w:val="20"/>
          <w:szCs w:val="20"/>
          <w:u w:val="single"/>
        </w:rPr>
        <w:t>Obras, actividades y proyectos sobre el territorio reclamado</w:t>
      </w:r>
      <w:bookmarkEnd w:id="104"/>
      <w:bookmarkEnd w:id="105"/>
      <w:bookmarkEnd w:id="106"/>
      <w:bookmarkEnd w:id="107"/>
      <w:r>
        <w:rPr>
          <w:rFonts w:ascii="Verdana" w:hAnsi="Verdana"/>
          <w:b/>
          <w:i/>
          <w:sz w:val="20"/>
          <w:szCs w:val="20"/>
        </w:rPr>
        <w:t xml:space="preserve"> </w:t>
      </w:r>
    </w:p>
    <w:p w14:paraId="1E706567" w14:textId="77777777" w:rsidR="009805F2" w:rsidRPr="00B336F6" w:rsidRDefault="009805F2" w:rsidP="009805F2">
      <w:pPr>
        <w:pStyle w:val="Prrafodelista"/>
        <w:spacing w:line="240" w:lineRule="auto"/>
        <w:ind w:left="0"/>
        <w:jc w:val="both"/>
        <w:rPr>
          <w:rFonts w:ascii="Verdana" w:hAnsi="Verdana"/>
          <w:sz w:val="20"/>
          <w:szCs w:val="20"/>
          <w:lang w:val="es-CR"/>
        </w:rPr>
      </w:pPr>
    </w:p>
    <w:p w14:paraId="58EEEA39" w14:textId="77777777" w:rsidR="009805F2" w:rsidRDefault="009805F2" w:rsidP="009805F2">
      <w:pPr>
        <w:pStyle w:val="Prrafodelista"/>
        <w:numPr>
          <w:ilvl w:val="0"/>
          <w:numId w:val="1"/>
        </w:numPr>
        <w:spacing w:after="0" w:line="240" w:lineRule="auto"/>
        <w:ind w:left="0" w:firstLine="0"/>
        <w:jc w:val="both"/>
        <w:rPr>
          <w:rFonts w:ascii="Verdana" w:hAnsi="Verdana"/>
          <w:sz w:val="20"/>
          <w:szCs w:val="20"/>
          <w:lang w:val="es-CR"/>
        </w:rPr>
      </w:pPr>
      <w:r>
        <w:rPr>
          <w:rFonts w:ascii="Verdana" w:hAnsi="Verdana"/>
          <w:sz w:val="20"/>
          <w:szCs w:val="20"/>
          <w:lang w:val="es-CR"/>
        </w:rPr>
        <w:t>Se ha presentado información que indica que en la zona de los lotes 14 y 55 se presentan actos de tala ilegal. Además, se ha indicado que la población criolla cría ganado y ha instalado alambrados. Esta información se detalla más adelante (</w:t>
      </w:r>
      <w:r>
        <w:rPr>
          <w:rFonts w:ascii="Verdana" w:hAnsi="Verdana"/>
          <w:i/>
          <w:sz w:val="20"/>
          <w:szCs w:val="20"/>
          <w:lang w:val="es-CR"/>
        </w:rPr>
        <w:t xml:space="preserve">infra </w:t>
      </w:r>
      <w:r>
        <w:rPr>
          <w:rFonts w:ascii="Verdana" w:hAnsi="Verdana"/>
          <w:sz w:val="20"/>
          <w:szCs w:val="20"/>
          <w:lang w:val="es-CR"/>
        </w:rPr>
        <w:t>párrs. 257 a 266</w:t>
      </w:r>
      <w:r w:rsidRPr="009452A2">
        <w:rPr>
          <w:rFonts w:ascii="Verdana" w:hAnsi="Verdana"/>
          <w:sz w:val="20"/>
          <w:szCs w:val="20"/>
          <w:lang w:val="es-CR"/>
        </w:rPr>
        <w:t>)</w:t>
      </w:r>
      <w:r>
        <w:rPr>
          <w:rFonts w:ascii="Verdana" w:hAnsi="Verdana"/>
          <w:sz w:val="20"/>
          <w:szCs w:val="20"/>
          <w:lang w:val="es-CR"/>
        </w:rPr>
        <w:t>.</w:t>
      </w:r>
    </w:p>
    <w:p w14:paraId="609C6353" w14:textId="77777777" w:rsidR="009805F2" w:rsidRDefault="009805F2" w:rsidP="009805F2">
      <w:pPr>
        <w:pStyle w:val="Prrafodelista"/>
        <w:tabs>
          <w:tab w:val="left" w:pos="1725"/>
        </w:tabs>
        <w:spacing w:line="240" w:lineRule="auto"/>
        <w:ind w:left="0"/>
        <w:jc w:val="both"/>
        <w:rPr>
          <w:rFonts w:ascii="Verdana" w:hAnsi="Verdana"/>
          <w:sz w:val="20"/>
          <w:szCs w:val="20"/>
          <w:lang w:val="es-CR"/>
        </w:rPr>
      </w:pPr>
      <w:r>
        <w:rPr>
          <w:rFonts w:ascii="Verdana" w:hAnsi="Verdana"/>
          <w:sz w:val="20"/>
          <w:szCs w:val="20"/>
          <w:lang w:val="es-CR"/>
        </w:rPr>
        <w:lastRenderedPageBreak/>
        <w:tab/>
      </w:r>
    </w:p>
    <w:p w14:paraId="6A9B4017" w14:textId="77777777" w:rsidR="009805F2" w:rsidRDefault="009805F2" w:rsidP="009805F2">
      <w:pPr>
        <w:pStyle w:val="Prrafodelista"/>
        <w:numPr>
          <w:ilvl w:val="0"/>
          <w:numId w:val="1"/>
        </w:numPr>
        <w:spacing w:after="0" w:line="240" w:lineRule="auto"/>
        <w:ind w:left="0" w:firstLine="0"/>
        <w:jc w:val="both"/>
        <w:rPr>
          <w:rFonts w:ascii="Verdana" w:hAnsi="Verdana"/>
          <w:sz w:val="20"/>
          <w:szCs w:val="20"/>
          <w:lang w:val="es-CR"/>
        </w:rPr>
      </w:pPr>
      <w:r w:rsidRPr="009452A2">
        <w:rPr>
          <w:rFonts w:ascii="Verdana" w:hAnsi="Verdana"/>
          <w:sz w:val="20"/>
          <w:szCs w:val="20"/>
          <w:lang w:val="es-CR"/>
        </w:rPr>
        <w:t>También se expone</w:t>
      </w:r>
      <w:r>
        <w:rPr>
          <w:rFonts w:ascii="Verdana" w:hAnsi="Verdana"/>
          <w:sz w:val="20"/>
          <w:szCs w:val="20"/>
          <w:lang w:val="es-CR"/>
        </w:rPr>
        <w:t>n</w:t>
      </w:r>
      <w:r w:rsidRPr="009452A2">
        <w:rPr>
          <w:rFonts w:ascii="Verdana" w:hAnsi="Verdana"/>
          <w:sz w:val="20"/>
          <w:szCs w:val="20"/>
          <w:lang w:val="es-CR"/>
        </w:rPr>
        <w:t xml:space="preserve"> más adelante (</w:t>
      </w:r>
      <w:r w:rsidRPr="006A3C98">
        <w:rPr>
          <w:rFonts w:ascii="Verdana" w:hAnsi="Verdana"/>
          <w:i/>
          <w:sz w:val="20"/>
          <w:szCs w:val="20"/>
          <w:lang w:val="es-CR"/>
        </w:rPr>
        <w:t>infra</w:t>
      </w:r>
      <w:r w:rsidRPr="009452A2">
        <w:rPr>
          <w:rFonts w:ascii="Verdana" w:hAnsi="Verdana"/>
          <w:sz w:val="20"/>
          <w:szCs w:val="20"/>
          <w:lang w:val="es-CR"/>
        </w:rPr>
        <w:t xml:space="preserve"> párrs.</w:t>
      </w:r>
      <w:r>
        <w:rPr>
          <w:rFonts w:ascii="Verdana" w:hAnsi="Verdana"/>
          <w:sz w:val="20"/>
          <w:szCs w:val="20"/>
          <w:lang w:val="es-CR"/>
        </w:rPr>
        <w:t xml:space="preserve"> 177, 178 y 180, y </w:t>
      </w:r>
      <w:r w:rsidRPr="004003A7">
        <w:rPr>
          <w:rFonts w:ascii="Verdana" w:hAnsi="Verdana"/>
          <w:sz w:val="20"/>
          <w:szCs w:val="20"/>
          <w:lang w:val="es-CR"/>
        </w:rPr>
        <w:t>notas a pie de página 1</w:t>
      </w:r>
      <w:r w:rsidR="004003A7" w:rsidRPr="004003A7">
        <w:rPr>
          <w:rFonts w:ascii="Verdana" w:hAnsi="Verdana"/>
          <w:sz w:val="20"/>
          <w:szCs w:val="20"/>
          <w:lang w:val="es-CR"/>
        </w:rPr>
        <w:t>6</w:t>
      </w:r>
      <w:r w:rsidRPr="004003A7">
        <w:rPr>
          <w:rFonts w:ascii="Verdana" w:hAnsi="Verdana"/>
          <w:sz w:val="20"/>
          <w:szCs w:val="20"/>
          <w:lang w:val="es-CR"/>
        </w:rPr>
        <w:t>5 y 16</w:t>
      </w:r>
      <w:r w:rsidR="004003A7" w:rsidRPr="004003A7">
        <w:rPr>
          <w:rFonts w:ascii="Verdana" w:hAnsi="Verdana"/>
          <w:sz w:val="20"/>
          <w:szCs w:val="20"/>
          <w:lang w:val="es-CR"/>
        </w:rPr>
        <w:t>6</w:t>
      </w:r>
      <w:r w:rsidRPr="009452A2">
        <w:rPr>
          <w:rFonts w:ascii="Verdana" w:hAnsi="Verdana"/>
          <w:sz w:val="20"/>
          <w:szCs w:val="20"/>
          <w:lang w:val="es-CR"/>
        </w:rPr>
        <w:t xml:space="preserve">) hechos </w:t>
      </w:r>
      <w:r>
        <w:rPr>
          <w:rFonts w:ascii="Verdana" w:hAnsi="Verdana"/>
          <w:sz w:val="20"/>
          <w:szCs w:val="20"/>
          <w:lang w:val="es-CR"/>
        </w:rPr>
        <w:t xml:space="preserve">y señalamientos </w:t>
      </w:r>
      <w:r w:rsidRPr="009452A2">
        <w:rPr>
          <w:rFonts w:ascii="Verdana" w:hAnsi="Verdana"/>
          <w:sz w:val="20"/>
          <w:szCs w:val="20"/>
          <w:lang w:val="es-CR"/>
        </w:rPr>
        <w:t xml:space="preserve">relacionados con obras realizadas </w:t>
      </w:r>
      <w:r>
        <w:rPr>
          <w:rFonts w:ascii="Verdana" w:hAnsi="Verdana"/>
          <w:sz w:val="20"/>
          <w:szCs w:val="20"/>
          <w:lang w:val="es-CR"/>
        </w:rPr>
        <w:t xml:space="preserve">o proyectadas </w:t>
      </w:r>
      <w:r w:rsidRPr="009452A2">
        <w:rPr>
          <w:rFonts w:ascii="Verdana" w:hAnsi="Verdana"/>
          <w:sz w:val="20"/>
          <w:szCs w:val="20"/>
          <w:lang w:val="es-CR"/>
        </w:rPr>
        <w:t>sobre el territorio</w:t>
      </w:r>
      <w:r>
        <w:rPr>
          <w:rFonts w:ascii="Verdana" w:hAnsi="Verdana"/>
          <w:sz w:val="20"/>
          <w:szCs w:val="20"/>
          <w:lang w:val="es-CR"/>
        </w:rPr>
        <w:t>, referidos a</w:t>
      </w:r>
      <w:r w:rsidRPr="009452A2">
        <w:rPr>
          <w:rFonts w:ascii="Verdana" w:hAnsi="Verdana"/>
          <w:sz w:val="20"/>
          <w:szCs w:val="20"/>
          <w:lang w:val="es-CR"/>
        </w:rPr>
        <w:t xml:space="preserve">: a) la </w:t>
      </w:r>
      <w:r w:rsidRPr="009452A2">
        <w:rPr>
          <w:rFonts w:ascii="Verdana" w:hAnsi="Verdana"/>
          <w:sz w:val="20"/>
          <w:szCs w:val="20"/>
        </w:rPr>
        <w:t xml:space="preserve">construcción de un puente internacional; b) </w:t>
      </w:r>
      <w:r w:rsidRPr="009452A2">
        <w:rPr>
          <w:rFonts w:ascii="Verdana" w:hAnsi="Verdana" w:cs="Arial Narrow,Bold"/>
          <w:bCs/>
          <w:sz w:val="20"/>
          <w:szCs w:val="20"/>
          <w:lang w:val="es-CR"/>
        </w:rPr>
        <w:t>la ruta nacional 86</w:t>
      </w:r>
      <w:r w:rsidRPr="009452A2">
        <w:rPr>
          <w:rFonts w:ascii="Verdana" w:hAnsi="Verdana"/>
          <w:sz w:val="20"/>
          <w:szCs w:val="20"/>
        </w:rPr>
        <w:t xml:space="preserve">; c) </w:t>
      </w:r>
      <w:r w:rsidRPr="009452A2">
        <w:rPr>
          <w:rFonts w:ascii="Verdana" w:hAnsi="Verdana" w:cs="Arial Narrow,Bold"/>
          <w:bCs/>
          <w:sz w:val="20"/>
          <w:szCs w:val="20"/>
          <w:lang w:val="es-CR"/>
        </w:rPr>
        <w:t>la ruta provincial 54</w:t>
      </w:r>
      <w:r>
        <w:rPr>
          <w:rFonts w:ascii="Verdana" w:hAnsi="Verdana" w:cs="Arial Narrow,Bold"/>
          <w:bCs/>
          <w:sz w:val="20"/>
          <w:szCs w:val="20"/>
          <w:lang w:val="es-CR"/>
        </w:rPr>
        <w:t>, y</w:t>
      </w:r>
      <w:r w:rsidRPr="009452A2">
        <w:rPr>
          <w:rFonts w:ascii="Verdana" w:hAnsi="Verdana" w:cs="Arial Narrow,Bold"/>
          <w:bCs/>
          <w:sz w:val="20"/>
          <w:szCs w:val="20"/>
          <w:lang w:val="es-CR"/>
        </w:rPr>
        <w:t xml:space="preserve"> </w:t>
      </w:r>
      <w:r w:rsidRPr="009452A2">
        <w:rPr>
          <w:rFonts w:ascii="Verdana" w:hAnsi="Verdana"/>
          <w:sz w:val="20"/>
          <w:szCs w:val="20"/>
          <w:lang w:val="es-CR"/>
        </w:rPr>
        <w:t xml:space="preserve">d) la </w:t>
      </w:r>
      <w:r w:rsidRPr="009452A2">
        <w:rPr>
          <w:rFonts w:ascii="Verdana" w:hAnsi="Verdana"/>
          <w:sz w:val="20"/>
          <w:szCs w:val="20"/>
        </w:rPr>
        <w:t>exploración de hidrocarburos</w:t>
      </w:r>
      <w:r>
        <w:rPr>
          <w:rFonts w:ascii="Verdana" w:hAnsi="Verdana"/>
          <w:sz w:val="20"/>
          <w:szCs w:val="20"/>
        </w:rPr>
        <w:t>.</w:t>
      </w:r>
      <w:r w:rsidRPr="009452A2">
        <w:rPr>
          <w:rFonts w:ascii="Verdana" w:hAnsi="Verdana" w:cs="Arial Narrow,Bold"/>
          <w:bCs/>
          <w:sz w:val="20"/>
          <w:szCs w:val="20"/>
          <w:lang w:val="es-CR"/>
        </w:rPr>
        <w:t xml:space="preserve"> </w:t>
      </w:r>
    </w:p>
    <w:p w14:paraId="60F6A37F" w14:textId="77777777" w:rsidR="009805F2" w:rsidRDefault="009805F2" w:rsidP="009805F2">
      <w:pPr>
        <w:pStyle w:val="Prrafodelista"/>
        <w:spacing w:line="240" w:lineRule="auto"/>
        <w:rPr>
          <w:rFonts w:ascii="Verdana" w:hAnsi="Verdana"/>
          <w:sz w:val="20"/>
          <w:szCs w:val="20"/>
        </w:rPr>
      </w:pPr>
    </w:p>
    <w:p w14:paraId="70EB239D" w14:textId="77777777" w:rsidR="009805F2" w:rsidRDefault="009805F2" w:rsidP="009805F2">
      <w:pPr>
        <w:pStyle w:val="Prrafodelista"/>
        <w:spacing w:line="240" w:lineRule="auto"/>
        <w:ind w:left="284"/>
        <w:outlineLvl w:val="1"/>
        <w:rPr>
          <w:rFonts w:ascii="Verdana" w:hAnsi="Verdana"/>
          <w:sz w:val="20"/>
          <w:szCs w:val="20"/>
          <w:lang w:val="es-ES"/>
        </w:rPr>
      </w:pPr>
      <w:bookmarkStart w:id="108" w:name="_Toc22224877"/>
      <w:bookmarkStart w:id="109" w:name="_Toc32218838"/>
      <w:bookmarkStart w:id="110" w:name="_Toc32227108"/>
      <w:bookmarkStart w:id="111" w:name="_Toc34337537"/>
      <w:r>
        <w:rPr>
          <w:rFonts w:ascii="Verdana" w:hAnsi="Verdana"/>
          <w:b/>
          <w:i/>
          <w:sz w:val="20"/>
          <w:szCs w:val="20"/>
        </w:rPr>
        <w:t xml:space="preserve">E) </w:t>
      </w:r>
      <w:r w:rsidRPr="00AA551F">
        <w:rPr>
          <w:rFonts w:ascii="Verdana" w:hAnsi="Verdana"/>
          <w:b/>
          <w:i/>
          <w:sz w:val="20"/>
          <w:szCs w:val="20"/>
          <w:u w:val="single"/>
        </w:rPr>
        <w:t xml:space="preserve">Acciones administrativas </w:t>
      </w:r>
      <w:r>
        <w:rPr>
          <w:rFonts w:ascii="Verdana" w:hAnsi="Verdana"/>
          <w:b/>
          <w:i/>
          <w:sz w:val="20"/>
          <w:szCs w:val="20"/>
          <w:u w:val="single"/>
        </w:rPr>
        <w:t>y</w:t>
      </w:r>
      <w:r w:rsidRPr="00AA551F">
        <w:rPr>
          <w:rFonts w:ascii="Verdana" w:hAnsi="Verdana"/>
          <w:b/>
          <w:i/>
          <w:sz w:val="20"/>
          <w:szCs w:val="20"/>
          <w:u w:val="single"/>
        </w:rPr>
        <w:t xml:space="preserve"> judiciales iniciadas en el caso</w:t>
      </w:r>
      <w:bookmarkEnd w:id="108"/>
      <w:bookmarkEnd w:id="109"/>
      <w:bookmarkEnd w:id="110"/>
      <w:bookmarkEnd w:id="111"/>
    </w:p>
    <w:p w14:paraId="07C22E22" w14:textId="77777777" w:rsidR="009805F2" w:rsidRPr="00BD5343" w:rsidRDefault="009805F2" w:rsidP="009805F2">
      <w:pPr>
        <w:pStyle w:val="Prrafodelista"/>
        <w:spacing w:line="240" w:lineRule="auto"/>
        <w:rPr>
          <w:rFonts w:ascii="Verdana" w:hAnsi="Verdana"/>
          <w:sz w:val="20"/>
          <w:szCs w:val="20"/>
        </w:rPr>
      </w:pPr>
    </w:p>
    <w:p w14:paraId="3F7077A3" w14:textId="0AE2A800" w:rsidR="009805F2" w:rsidRPr="009C6E78" w:rsidRDefault="009805F2" w:rsidP="009805F2">
      <w:pPr>
        <w:pStyle w:val="Prrafodelista"/>
        <w:numPr>
          <w:ilvl w:val="0"/>
          <w:numId w:val="1"/>
        </w:numPr>
        <w:spacing w:after="0" w:line="240" w:lineRule="auto"/>
        <w:ind w:left="0" w:firstLine="0"/>
        <w:jc w:val="both"/>
        <w:rPr>
          <w:rFonts w:ascii="Verdana" w:hAnsi="Verdana"/>
          <w:sz w:val="20"/>
          <w:szCs w:val="20"/>
          <w:lang w:val="es-CR"/>
        </w:rPr>
      </w:pPr>
      <w:r w:rsidRPr="009C6E78">
        <w:rPr>
          <w:rFonts w:ascii="Verdana" w:hAnsi="Verdana"/>
          <w:sz w:val="20"/>
          <w:szCs w:val="20"/>
        </w:rPr>
        <w:t xml:space="preserve">Lhaka Honhat presentó acciones judiciales relacionadas con hechos del caso: a) el 11 de septiembre de 1995, una acción de amparo ante la Corte de Justicia de Salta </w:t>
      </w:r>
      <w:r>
        <w:rPr>
          <w:rFonts w:ascii="Verdana" w:hAnsi="Verdana"/>
          <w:sz w:val="20"/>
          <w:szCs w:val="20"/>
        </w:rPr>
        <w:t>(</w:t>
      </w:r>
      <w:r w:rsidR="00560F37">
        <w:rPr>
          <w:rFonts w:ascii="Verdana" w:hAnsi="Verdana"/>
          <w:sz w:val="20"/>
          <w:szCs w:val="20"/>
        </w:rPr>
        <w:t>en adelante también “</w:t>
      </w:r>
      <w:r>
        <w:rPr>
          <w:rFonts w:ascii="Verdana" w:hAnsi="Verdana"/>
          <w:sz w:val="20"/>
          <w:szCs w:val="20"/>
        </w:rPr>
        <w:t>CJS</w:t>
      </w:r>
      <w:r w:rsidR="00560F37">
        <w:rPr>
          <w:rFonts w:ascii="Verdana" w:hAnsi="Verdana"/>
          <w:sz w:val="20"/>
          <w:szCs w:val="20"/>
        </w:rPr>
        <w:t>”</w:t>
      </w:r>
      <w:r>
        <w:rPr>
          <w:rFonts w:ascii="Verdana" w:hAnsi="Verdana"/>
          <w:sz w:val="20"/>
          <w:szCs w:val="20"/>
        </w:rPr>
        <w:t xml:space="preserve">) </w:t>
      </w:r>
      <w:r w:rsidRPr="009C6E78">
        <w:rPr>
          <w:rFonts w:ascii="Verdana" w:hAnsi="Verdana"/>
          <w:sz w:val="20"/>
          <w:szCs w:val="20"/>
        </w:rPr>
        <w:t>solicitando la suspensión inmediata de las obras relativas al puente internacional (</w:t>
      </w:r>
      <w:r w:rsidRPr="009C6E78">
        <w:rPr>
          <w:rFonts w:ascii="Verdana" w:hAnsi="Verdana"/>
          <w:i/>
          <w:sz w:val="20"/>
          <w:szCs w:val="20"/>
        </w:rPr>
        <w:t>supra</w:t>
      </w:r>
      <w:r w:rsidRPr="009C6E78">
        <w:rPr>
          <w:rFonts w:ascii="Verdana" w:hAnsi="Verdana"/>
          <w:sz w:val="20"/>
          <w:szCs w:val="20"/>
        </w:rPr>
        <w:t xml:space="preserve"> párr. </w:t>
      </w:r>
      <w:r>
        <w:rPr>
          <w:rFonts w:ascii="Verdana" w:hAnsi="Verdana"/>
          <w:sz w:val="20"/>
          <w:szCs w:val="20"/>
        </w:rPr>
        <w:t xml:space="preserve">87 e </w:t>
      </w:r>
      <w:r w:rsidRPr="00BB1B9F">
        <w:rPr>
          <w:rFonts w:ascii="Verdana" w:hAnsi="Verdana"/>
          <w:i/>
          <w:sz w:val="20"/>
          <w:szCs w:val="20"/>
        </w:rPr>
        <w:t>infra</w:t>
      </w:r>
      <w:r>
        <w:rPr>
          <w:rFonts w:ascii="Verdana" w:hAnsi="Verdana"/>
          <w:sz w:val="20"/>
          <w:szCs w:val="20"/>
        </w:rPr>
        <w:t xml:space="preserve"> párr 180</w:t>
      </w:r>
      <w:r w:rsidRPr="009C6E78">
        <w:rPr>
          <w:rFonts w:ascii="Verdana" w:hAnsi="Verdana"/>
          <w:sz w:val="20"/>
          <w:szCs w:val="20"/>
        </w:rPr>
        <w:t xml:space="preserve">); b) </w:t>
      </w:r>
      <w:r w:rsidRPr="009C6E78">
        <w:rPr>
          <w:rFonts w:ascii="Verdana" w:hAnsi="Verdana"/>
          <w:sz w:val="20"/>
          <w:szCs w:val="20"/>
          <w:lang w:val="es-CR"/>
        </w:rPr>
        <w:t>e</w:t>
      </w:r>
      <w:r w:rsidRPr="009C6E78">
        <w:rPr>
          <w:rFonts w:ascii="Verdana" w:hAnsi="Verdana"/>
          <w:sz w:val="20"/>
          <w:szCs w:val="20"/>
          <w:lang w:val="es-ES"/>
        </w:rPr>
        <w:t>l 8 de marzo de 2000, una acción de amparo contra el Decreto 461/99 y la Resolución 423/99 (</w:t>
      </w:r>
      <w:r w:rsidRPr="009C6E78">
        <w:rPr>
          <w:rFonts w:ascii="Verdana" w:hAnsi="Verdana"/>
          <w:i/>
          <w:sz w:val="20"/>
          <w:szCs w:val="20"/>
          <w:lang w:val="es-ES"/>
        </w:rPr>
        <w:t>supra</w:t>
      </w:r>
      <w:r w:rsidRPr="009C6E78">
        <w:rPr>
          <w:rFonts w:ascii="Verdana" w:hAnsi="Verdana"/>
          <w:sz w:val="20"/>
          <w:szCs w:val="20"/>
          <w:lang w:val="es-ES"/>
        </w:rPr>
        <w:t xml:space="preserve"> párr. </w:t>
      </w:r>
      <w:r>
        <w:rPr>
          <w:rFonts w:ascii="Verdana" w:hAnsi="Verdana"/>
          <w:sz w:val="20"/>
          <w:szCs w:val="20"/>
          <w:lang w:val="es-ES"/>
        </w:rPr>
        <w:t>65</w:t>
      </w:r>
      <w:r w:rsidRPr="009C6E78">
        <w:rPr>
          <w:rFonts w:ascii="Verdana" w:hAnsi="Verdana"/>
          <w:sz w:val="20"/>
          <w:szCs w:val="20"/>
          <w:lang w:val="es-ES"/>
        </w:rPr>
        <w:t xml:space="preserve">), y c) el 11 de agosto de 2005, una acción declarativa de certeza ante la Corte Suprema de Justicia de la Nación </w:t>
      </w:r>
      <w:r>
        <w:rPr>
          <w:rFonts w:ascii="Verdana" w:hAnsi="Verdana"/>
          <w:sz w:val="20"/>
          <w:szCs w:val="20"/>
          <w:lang w:val="es-ES"/>
        </w:rPr>
        <w:t>(</w:t>
      </w:r>
      <w:r w:rsidR="00560F37">
        <w:rPr>
          <w:rFonts w:ascii="Verdana" w:hAnsi="Verdana"/>
          <w:sz w:val="20"/>
          <w:szCs w:val="20"/>
          <w:lang w:val="es-ES"/>
        </w:rPr>
        <w:t>en adelante también “</w:t>
      </w:r>
      <w:r>
        <w:rPr>
          <w:rFonts w:ascii="Verdana" w:hAnsi="Verdana"/>
          <w:sz w:val="20"/>
          <w:szCs w:val="20"/>
          <w:lang w:val="es-ES"/>
        </w:rPr>
        <w:t>CSJN</w:t>
      </w:r>
      <w:r w:rsidR="00560F37">
        <w:rPr>
          <w:rFonts w:ascii="Verdana" w:hAnsi="Verdana"/>
          <w:sz w:val="20"/>
          <w:szCs w:val="20"/>
          <w:lang w:val="es-ES"/>
        </w:rPr>
        <w:t>”</w:t>
      </w:r>
      <w:r>
        <w:rPr>
          <w:rFonts w:ascii="Verdana" w:hAnsi="Verdana"/>
          <w:sz w:val="20"/>
          <w:szCs w:val="20"/>
          <w:lang w:val="es-ES"/>
        </w:rPr>
        <w:t xml:space="preserve">) </w:t>
      </w:r>
      <w:r w:rsidRPr="009C6E78">
        <w:rPr>
          <w:rFonts w:ascii="Verdana" w:hAnsi="Verdana"/>
          <w:sz w:val="20"/>
          <w:szCs w:val="20"/>
          <w:lang w:val="es-ES"/>
        </w:rPr>
        <w:t>en contra de la ley de referéndum (</w:t>
      </w:r>
      <w:r w:rsidRPr="009C6E78">
        <w:rPr>
          <w:rFonts w:ascii="Verdana" w:hAnsi="Verdana"/>
          <w:i/>
          <w:sz w:val="20"/>
          <w:szCs w:val="20"/>
          <w:lang w:val="es-ES"/>
        </w:rPr>
        <w:t>supra</w:t>
      </w:r>
      <w:r w:rsidRPr="009C6E78">
        <w:rPr>
          <w:rFonts w:ascii="Verdana" w:hAnsi="Verdana"/>
          <w:sz w:val="20"/>
          <w:szCs w:val="20"/>
          <w:lang w:val="es-ES"/>
        </w:rPr>
        <w:t xml:space="preserve"> párr. </w:t>
      </w:r>
      <w:r>
        <w:rPr>
          <w:rFonts w:ascii="Verdana" w:hAnsi="Verdana"/>
          <w:sz w:val="20"/>
          <w:szCs w:val="20"/>
          <w:lang w:val="es-ES"/>
        </w:rPr>
        <w:t>71</w:t>
      </w:r>
      <w:r w:rsidRPr="009C6E78">
        <w:rPr>
          <w:rFonts w:ascii="Verdana" w:hAnsi="Verdana"/>
          <w:sz w:val="20"/>
          <w:szCs w:val="20"/>
          <w:lang w:val="es-ES"/>
        </w:rPr>
        <w:t>).</w:t>
      </w:r>
      <w:r w:rsidRPr="009C6E78">
        <w:rPr>
          <w:rFonts w:ascii="Verdana" w:hAnsi="Verdana" w:cs="Arial Narrow"/>
          <w:sz w:val="20"/>
          <w:szCs w:val="20"/>
          <w:lang w:val="es-CR"/>
        </w:rPr>
        <w:t xml:space="preserve"> </w:t>
      </w:r>
      <w:r>
        <w:rPr>
          <w:rFonts w:ascii="Verdana" w:hAnsi="Verdana" w:cs="Arial Narrow"/>
          <w:sz w:val="20"/>
          <w:szCs w:val="20"/>
          <w:lang w:val="es-CR"/>
        </w:rPr>
        <w:t>La</w:t>
      </w:r>
      <w:r w:rsidRPr="00BD5343">
        <w:rPr>
          <w:rFonts w:ascii="Verdana" w:hAnsi="Verdana" w:cs="Arial Narrow"/>
          <w:sz w:val="20"/>
          <w:szCs w:val="20"/>
          <w:lang w:val="es-CR"/>
        </w:rPr>
        <w:t xml:space="preserve">s </w:t>
      </w:r>
      <w:r>
        <w:rPr>
          <w:rFonts w:ascii="Verdana" w:hAnsi="Verdana" w:cs="Arial Narrow"/>
          <w:sz w:val="20"/>
          <w:szCs w:val="20"/>
          <w:lang w:val="es-CR"/>
        </w:rPr>
        <w:t>actuaciones señaladas se narran</w:t>
      </w:r>
      <w:r w:rsidRPr="00BD5343">
        <w:rPr>
          <w:rFonts w:ascii="Verdana" w:hAnsi="Verdana" w:cs="Arial Narrow"/>
          <w:sz w:val="20"/>
          <w:szCs w:val="20"/>
          <w:lang w:val="es-CR"/>
        </w:rPr>
        <w:t xml:space="preserve"> más adelante</w:t>
      </w:r>
      <w:r>
        <w:rPr>
          <w:rFonts w:ascii="Verdana" w:hAnsi="Verdana" w:cs="Arial Narrow"/>
          <w:sz w:val="20"/>
          <w:szCs w:val="20"/>
          <w:lang w:val="es-CR"/>
        </w:rPr>
        <w:t xml:space="preserve"> (</w:t>
      </w:r>
      <w:r>
        <w:rPr>
          <w:rFonts w:ascii="Verdana" w:hAnsi="Verdana" w:cs="Arial Narrow"/>
          <w:i/>
          <w:sz w:val="20"/>
          <w:szCs w:val="20"/>
          <w:lang w:val="es-CR"/>
        </w:rPr>
        <w:t xml:space="preserve">infra </w:t>
      </w:r>
      <w:r>
        <w:rPr>
          <w:rFonts w:ascii="Verdana" w:hAnsi="Verdana" w:cs="Arial Narrow"/>
          <w:sz w:val="20"/>
          <w:szCs w:val="20"/>
          <w:lang w:val="es-CR"/>
        </w:rPr>
        <w:t>párrs. 297, 300 y 303).</w:t>
      </w:r>
      <w:r w:rsidRPr="009C6E78">
        <w:rPr>
          <w:rFonts w:ascii="Verdana" w:hAnsi="Verdana"/>
          <w:sz w:val="20"/>
          <w:szCs w:val="20"/>
          <w:lang w:val="es-ES"/>
        </w:rPr>
        <w:t xml:space="preserve"> </w:t>
      </w:r>
      <w:r w:rsidRPr="009C6E78">
        <w:rPr>
          <w:rFonts w:ascii="Verdana" w:hAnsi="Verdana" w:cs="Arial Narrow"/>
          <w:sz w:val="20"/>
          <w:szCs w:val="20"/>
          <w:lang w:val="es-CR"/>
        </w:rPr>
        <w:t xml:space="preserve">Por otra parte, en 2017 Lhaka Honhat </w:t>
      </w:r>
      <w:r w:rsidR="00560F37">
        <w:rPr>
          <w:rFonts w:ascii="Verdana" w:hAnsi="Verdana" w:cs="Arial Narrow"/>
          <w:sz w:val="20"/>
          <w:szCs w:val="20"/>
          <w:lang w:val="es-CR"/>
        </w:rPr>
        <w:t>solicitó</w:t>
      </w:r>
      <w:r w:rsidRPr="009C6E78">
        <w:rPr>
          <w:rFonts w:ascii="Verdana" w:hAnsi="Verdana" w:cs="Arial Narrow"/>
          <w:sz w:val="20"/>
          <w:szCs w:val="20"/>
          <w:lang w:val="es-CR"/>
        </w:rPr>
        <w:t xml:space="preserve"> </w:t>
      </w:r>
      <w:r>
        <w:rPr>
          <w:rFonts w:ascii="Verdana" w:hAnsi="Verdana" w:cs="Arial Narrow"/>
          <w:sz w:val="20"/>
          <w:szCs w:val="20"/>
          <w:lang w:val="es-CR"/>
        </w:rPr>
        <w:t xml:space="preserve">en sede administrativa </w:t>
      </w:r>
      <w:r w:rsidRPr="009C6E78">
        <w:rPr>
          <w:rFonts w:ascii="Verdana" w:hAnsi="Verdana" w:cs="Arial Narrow"/>
          <w:sz w:val="20"/>
          <w:szCs w:val="20"/>
          <w:lang w:val="es-CR"/>
        </w:rPr>
        <w:t>su reconocimiento como organización indígena</w:t>
      </w:r>
      <w:r w:rsidR="00192DFA">
        <w:rPr>
          <w:rFonts w:ascii="Verdana" w:hAnsi="Verdana" w:cs="Arial Narrow"/>
          <w:sz w:val="20"/>
          <w:szCs w:val="20"/>
          <w:lang w:val="es-CR"/>
        </w:rPr>
        <w:t xml:space="preserve"> (</w:t>
      </w:r>
      <w:r w:rsidR="00192DFA" w:rsidRPr="00192DFA">
        <w:rPr>
          <w:rFonts w:ascii="Verdana" w:hAnsi="Verdana" w:cs="Arial Narrow"/>
          <w:i/>
          <w:sz w:val="20"/>
          <w:szCs w:val="20"/>
          <w:lang w:val="es-CR"/>
        </w:rPr>
        <w:t>infra</w:t>
      </w:r>
      <w:r w:rsidR="00192DFA">
        <w:rPr>
          <w:rFonts w:ascii="Verdana" w:hAnsi="Verdana" w:cs="Arial Narrow"/>
          <w:sz w:val="20"/>
          <w:szCs w:val="20"/>
          <w:lang w:val="es-CR"/>
        </w:rPr>
        <w:t>, nota a pie de página 148)</w:t>
      </w:r>
      <w:r>
        <w:rPr>
          <w:rFonts w:ascii="Verdana" w:hAnsi="Verdana" w:cs="Arial Narrow"/>
          <w:sz w:val="20"/>
          <w:szCs w:val="20"/>
          <w:lang w:val="es-CR"/>
        </w:rPr>
        <w:t>. No consta que esa solicitud fuera resuelta</w:t>
      </w:r>
      <w:r w:rsidRPr="009C6E78">
        <w:rPr>
          <w:rFonts w:ascii="Verdana" w:hAnsi="Verdana" w:cs="Arial Narrow"/>
          <w:sz w:val="20"/>
          <w:szCs w:val="20"/>
          <w:lang w:val="es-CR"/>
        </w:rPr>
        <w:t xml:space="preserve">. </w:t>
      </w:r>
    </w:p>
    <w:p w14:paraId="58AA8546" w14:textId="77777777" w:rsidR="009805F2" w:rsidRPr="009C6E78" w:rsidRDefault="009805F2" w:rsidP="009805F2">
      <w:pPr>
        <w:pStyle w:val="Prrafodelista"/>
        <w:spacing w:after="0" w:line="240" w:lineRule="auto"/>
        <w:ind w:left="0"/>
        <w:jc w:val="both"/>
        <w:rPr>
          <w:rFonts w:ascii="Verdana" w:hAnsi="Verdana"/>
          <w:sz w:val="20"/>
          <w:szCs w:val="20"/>
          <w:lang w:val="es-CR"/>
        </w:rPr>
      </w:pPr>
    </w:p>
    <w:p w14:paraId="20C7BF33" w14:textId="77777777" w:rsidR="009805F2" w:rsidRPr="00DD537B" w:rsidRDefault="009805F2" w:rsidP="009805F2">
      <w:pPr>
        <w:pStyle w:val="Prrafodelista"/>
        <w:spacing w:after="0" w:line="240" w:lineRule="auto"/>
        <w:ind w:right="6"/>
        <w:jc w:val="center"/>
        <w:outlineLvl w:val="0"/>
        <w:rPr>
          <w:rFonts w:ascii="Verdana" w:eastAsia="Batang" w:hAnsi="Verdana" w:cs="Times"/>
          <w:b/>
          <w:sz w:val="20"/>
          <w:szCs w:val="20"/>
          <w:lang w:val="es-CR" w:eastAsia="es-CR"/>
        </w:rPr>
      </w:pPr>
      <w:bookmarkStart w:id="112" w:name="_Toc22224878"/>
      <w:bookmarkStart w:id="113" w:name="_Toc32218839"/>
      <w:bookmarkStart w:id="114" w:name="_Toc32227109"/>
      <w:bookmarkStart w:id="115" w:name="_Toc34337538"/>
      <w:r w:rsidRPr="00DD537B">
        <w:rPr>
          <w:rFonts w:ascii="Verdana" w:eastAsia="Batang" w:hAnsi="Verdana" w:cs="Times"/>
          <w:b/>
          <w:sz w:val="20"/>
          <w:szCs w:val="20"/>
          <w:lang w:val="es-CR" w:eastAsia="es-CR"/>
        </w:rPr>
        <w:t>VII</w:t>
      </w:r>
      <w:bookmarkEnd w:id="112"/>
      <w:bookmarkEnd w:id="113"/>
      <w:bookmarkEnd w:id="114"/>
      <w:bookmarkEnd w:id="115"/>
    </w:p>
    <w:p w14:paraId="29FEC92B" w14:textId="77777777" w:rsidR="009805F2" w:rsidRPr="009C6E78" w:rsidRDefault="009805F2" w:rsidP="009805F2">
      <w:pPr>
        <w:pStyle w:val="Prrafodelista"/>
        <w:spacing w:after="0" w:line="240" w:lineRule="auto"/>
        <w:ind w:right="6"/>
        <w:jc w:val="center"/>
        <w:outlineLvl w:val="0"/>
        <w:rPr>
          <w:rFonts w:ascii="Verdana" w:eastAsia="Batang" w:hAnsi="Verdana" w:cs="Times"/>
          <w:b/>
          <w:sz w:val="20"/>
          <w:szCs w:val="20"/>
          <w:lang w:val="es-CR" w:eastAsia="es-CR"/>
        </w:rPr>
      </w:pPr>
      <w:bookmarkStart w:id="116" w:name="_Toc22224879"/>
      <w:bookmarkStart w:id="117" w:name="_Toc32218840"/>
      <w:bookmarkStart w:id="118" w:name="_Toc32227110"/>
      <w:bookmarkStart w:id="119" w:name="_Toc34337539"/>
      <w:r w:rsidRPr="009C6E78">
        <w:rPr>
          <w:rFonts w:ascii="Verdana" w:eastAsia="Batang" w:hAnsi="Verdana" w:cs="Times"/>
          <w:b/>
          <w:sz w:val="20"/>
          <w:szCs w:val="20"/>
          <w:lang w:val="es-CR" w:eastAsia="es-CR"/>
        </w:rPr>
        <w:t>FONDO</w:t>
      </w:r>
      <w:bookmarkEnd w:id="116"/>
      <w:bookmarkEnd w:id="117"/>
      <w:bookmarkEnd w:id="118"/>
      <w:bookmarkEnd w:id="119"/>
    </w:p>
    <w:p w14:paraId="2E782E98" w14:textId="77777777" w:rsidR="009805F2" w:rsidRPr="009C6E78" w:rsidRDefault="009805F2" w:rsidP="009805F2">
      <w:pPr>
        <w:pStyle w:val="Prrafodelista"/>
        <w:tabs>
          <w:tab w:val="left" w:pos="2415"/>
        </w:tabs>
        <w:spacing w:after="0" w:line="240" w:lineRule="auto"/>
        <w:ind w:right="6"/>
        <w:jc w:val="both"/>
        <w:rPr>
          <w:rFonts w:ascii="Verdana" w:eastAsia="Batang" w:hAnsi="Verdana" w:cs="Times"/>
          <w:sz w:val="20"/>
          <w:szCs w:val="20"/>
          <w:lang w:val="es-CR" w:eastAsia="es-CR"/>
        </w:rPr>
      </w:pPr>
      <w:r w:rsidRPr="009C6E78">
        <w:rPr>
          <w:rFonts w:ascii="Verdana" w:eastAsia="Batang" w:hAnsi="Verdana" w:cs="Times"/>
          <w:sz w:val="20"/>
          <w:szCs w:val="20"/>
          <w:lang w:val="es-CR" w:eastAsia="es-CR"/>
        </w:rPr>
        <w:tab/>
      </w:r>
    </w:p>
    <w:p w14:paraId="53A04AFE" w14:textId="6540CDC5" w:rsidR="009805F2" w:rsidRPr="000350C2" w:rsidRDefault="009805F2" w:rsidP="009805F2">
      <w:pPr>
        <w:pStyle w:val="Prrafodelista"/>
        <w:numPr>
          <w:ilvl w:val="0"/>
          <w:numId w:val="1"/>
        </w:numPr>
        <w:spacing w:after="0" w:line="240" w:lineRule="auto"/>
        <w:ind w:left="0" w:right="6" w:firstLine="0"/>
        <w:jc w:val="both"/>
        <w:rPr>
          <w:rFonts w:ascii="Verdana" w:eastAsia="Batang" w:hAnsi="Verdana" w:cs="Times"/>
          <w:sz w:val="20"/>
          <w:szCs w:val="20"/>
          <w:lang w:val="es-CR" w:eastAsia="es-CR"/>
        </w:rPr>
      </w:pPr>
      <w:r w:rsidRPr="00080856">
        <w:rPr>
          <w:rFonts w:ascii="Verdana" w:hAnsi="Verdana"/>
          <w:sz w:val="20"/>
          <w:szCs w:val="20"/>
        </w:rPr>
        <w:t>En el presente caso</w:t>
      </w:r>
      <w:r w:rsidRPr="00A0245C">
        <w:rPr>
          <w:rFonts w:ascii="Verdana" w:hAnsi="Verdana"/>
          <w:b/>
          <w:sz w:val="20"/>
          <w:szCs w:val="20"/>
        </w:rPr>
        <w:t xml:space="preserve"> </w:t>
      </w:r>
      <w:r w:rsidRPr="009C6E78">
        <w:rPr>
          <w:rFonts w:ascii="Verdana" w:hAnsi="Verdana"/>
          <w:sz w:val="20"/>
          <w:szCs w:val="20"/>
        </w:rPr>
        <w:t xml:space="preserve">no está en </w:t>
      </w:r>
      <w:r>
        <w:rPr>
          <w:rFonts w:ascii="Verdana" w:hAnsi="Verdana"/>
          <w:sz w:val="20"/>
          <w:szCs w:val="20"/>
        </w:rPr>
        <w:t xml:space="preserve">debate </w:t>
      </w:r>
      <w:r w:rsidRPr="009C6E78">
        <w:rPr>
          <w:rFonts w:ascii="Verdana" w:hAnsi="Verdana"/>
          <w:sz w:val="20"/>
          <w:szCs w:val="20"/>
        </w:rPr>
        <w:t xml:space="preserve">que las comunidades indígenas </w:t>
      </w:r>
      <w:r w:rsidRPr="00080856">
        <w:rPr>
          <w:rFonts w:ascii="Verdana" w:hAnsi="Verdana"/>
          <w:sz w:val="20"/>
          <w:szCs w:val="20"/>
        </w:rPr>
        <w:t>ha</w:t>
      </w:r>
      <w:r w:rsidR="00E41756">
        <w:rPr>
          <w:rFonts w:ascii="Verdana" w:hAnsi="Verdana"/>
          <w:sz w:val="20"/>
          <w:szCs w:val="20"/>
        </w:rPr>
        <w:t>ya</w:t>
      </w:r>
      <w:r w:rsidRPr="00080856">
        <w:rPr>
          <w:rFonts w:ascii="Verdana" w:hAnsi="Verdana"/>
          <w:sz w:val="20"/>
          <w:szCs w:val="20"/>
        </w:rPr>
        <w:t>n</w:t>
      </w:r>
      <w:r w:rsidRPr="00080856">
        <w:rPr>
          <w:rFonts w:ascii="Verdana" w:hAnsi="Verdana"/>
          <w:strike/>
          <w:sz w:val="20"/>
          <w:szCs w:val="20"/>
        </w:rPr>
        <w:t xml:space="preserve"> </w:t>
      </w:r>
      <w:r w:rsidRPr="009C6E78">
        <w:rPr>
          <w:rFonts w:ascii="Verdana" w:hAnsi="Verdana"/>
          <w:sz w:val="20"/>
          <w:szCs w:val="20"/>
        </w:rPr>
        <w:t>mantenido un vínculo ancestral con el territorio</w:t>
      </w:r>
      <w:r w:rsidRPr="00A0245C">
        <w:rPr>
          <w:rFonts w:ascii="Verdana" w:hAnsi="Verdana"/>
          <w:b/>
          <w:sz w:val="20"/>
          <w:szCs w:val="20"/>
        </w:rPr>
        <w:t xml:space="preserve"> </w:t>
      </w:r>
      <w:r w:rsidRPr="00080856">
        <w:rPr>
          <w:rFonts w:ascii="Verdana" w:hAnsi="Verdana"/>
          <w:sz w:val="20"/>
          <w:szCs w:val="20"/>
        </w:rPr>
        <w:t>ni su derecho de propiedad sobre el mismo</w:t>
      </w:r>
      <w:r w:rsidRPr="00080856">
        <w:rPr>
          <w:rStyle w:val="Refdenotaalpie"/>
          <w:rFonts w:ascii="Verdana" w:hAnsi="Verdana"/>
          <w:sz w:val="20"/>
        </w:rPr>
        <w:footnoteReference w:id="89"/>
      </w:r>
      <w:r w:rsidRPr="00080856">
        <w:rPr>
          <w:rFonts w:ascii="Verdana" w:hAnsi="Verdana"/>
          <w:sz w:val="20"/>
          <w:szCs w:val="20"/>
        </w:rPr>
        <w:t>,</w:t>
      </w:r>
      <w:r>
        <w:rPr>
          <w:rFonts w:ascii="Verdana" w:hAnsi="Verdana"/>
          <w:b/>
          <w:sz w:val="20"/>
          <w:szCs w:val="20"/>
        </w:rPr>
        <w:t xml:space="preserve"> </w:t>
      </w:r>
      <w:r w:rsidRPr="009C6E78">
        <w:rPr>
          <w:rFonts w:ascii="Verdana" w:hAnsi="Verdana"/>
          <w:sz w:val="20"/>
          <w:szCs w:val="20"/>
        </w:rPr>
        <w:t>reconocido en dist</w:t>
      </w:r>
      <w:r>
        <w:rPr>
          <w:rFonts w:ascii="Verdana" w:hAnsi="Verdana"/>
          <w:sz w:val="20"/>
          <w:szCs w:val="20"/>
        </w:rPr>
        <w:t xml:space="preserve">intos actos normativos internos. </w:t>
      </w:r>
      <w:r w:rsidRPr="00080856">
        <w:rPr>
          <w:rFonts w:ascii="Verdana" w:hAnsi="Verdana"/>
          <w:sz w:val="20"/>
          <w:szCs w:val="20"/>
        </w:rPr>
        <w:t>La controversia refiere a si la conducta estatal ha permitido brindar seguridad jurídica al derecho de propiedad y su pleno ejercicio</w:t>
      </w:r>
      <w:r>
        <w:rPr>
          <w:rFonts w:ascii="Verdana" w:hAnsi="Verdana"/>
          <w:sz w:val="20"/>
          <w:szCs w:val="20"/>
        </w:rPr>
        <w:t xml:space="preserve">. </w:t>
      </w:r>
      <w:r w:rsidRPr="009C6E78">
        <w:rPr>
          <w:rFonts w:ascii="Verdana" w:hAnsi="Verdana"/>
          <w:sz w:val="20"/>
          <w:szCs w:val="20"/>
        </w:rPr>
        <w:t>Así, mientras Argentina ha indicado que ha obrado en forma diligente para garantizarlo, la Comisión y los representantes sostienen lo contrario.</w:t>
      </w:r>
      <w:r>
        <w:rPr>
          <w:rFonts w:ascii="Verdana" w:hAnsi="Verdana"/>
          <w:sz w:val="20"/>
          <w:szCs w:val="20"/>
        </w:rPr>
        <w:t xml:space="preserve"> Asimismo, se ha señalado que actividades sobre el territorio han generado afectaciones al ambiente, a la alimentación y a la identidad cultural. </w:t>
      </w:r>
      <w:r w:rsidRPr="009C6E78">
        <w:rPr>
          <w:rFonts w:ascii="Verdana" w:hAnsi="Verdana"/>
          <w:sz w:val="20"/>
          <w:szCs w:val="20"/>
        </w:rPr>
        <w:t>En relación con esto, se han argüido violaciones a distintos derechos</w:t>
      </w:r>
      <w:r w:rsidRPr="009C6E78">
        <w:rPr>
          <w:rStyle w:val="Refdenotaalpie"/>
          <w:rFonts w:ascii="Verdana" w:hAnsi="Verdana"/>
          <w:sz w:val="20"/>
        </w:rPr>
        <w:footnoteReference w:id="90"/>
      </w:r>
      <w:r w:rsidRPr="009C6E78">
        <w:rPr>
          <w:rFonts w:ascii="Verdana" w:hAnsi="Verdana"/>
          <w:sz w:val="20"/>
          <w:szCs w:val="20"/>
        </w:rPr>
        <w:t xml:space="preserve"> y di</w:t>
      </w:r>
      <w:r w:rsidR="008145CA">
        <w:rPr>
          <w:rFonts w:ascii="Verdana" w:hAnsi="Verdana"/>
          <w:sz w:val="20"/>
          <w:szCs w:val="20"/>
        </w:rPr>
        <w:t>versas</w:t>
      </w:r>
      <w:r w:rsidRPr="009C6E78">
        <w:rPr>
          <w:rFonts w:ascii="Verdana" w:hAnsi="Verdana"/>
          <w:sz w:val="20"/>
          <w:szCs w:val="20"/>
        </w:rPr>
        <w:t xml:space="preserve"> situaciones a considerar</w:t>
      </w:r>
      <w:r>
        <w:rPr>
          <w:rFonts w:ascii="Verdana" w:hAnsi="Verdana"/>
          <w:sz w:val="20"/>
          <w:szCs w:val="20"/>
        </w:rPr>
        <w:t>, inclusive procesos judiciales</w:t>
      </w:r>
      <w:r w:rsidRPr="009C6E78">
        <w:rPr>
          <w:rFonts w:ascii="Verdana" w:hAnsi="Verdana"/>
          <w:sz w:val="20"/>
          <w:szCs w:val="20"/>
        </w:rPr>
        <w:t xml:space="preserve">. </w:t>
      </w:r>
    </w:p>
    <w:p w14:paraId="4769E0F1" w14:textId="77777777" w:rsidR="009805F2" w:rsidRDefault="009805F2" w:rsidP="009805F2">
      <w:pPr>
        <w:pStyle w:val="Prrafodelista"/>
        <w:spacing w:after="0" w:line="240" w:lineRule="auto"/>
        <w:ind w:left="0" w:right="6"/>
        <w:jc w:val="both"/>
        <w:rPr>
          <w:rFonts w:ascii="Verdana" w:eastAsia="Batang" w:hAnsi="Verdana" w:cs="Times"/>
          <w:sz w:val="20"/>
          <w:szCs w:val="20"/>
          <w:lang w:val="es-CR" w:eastAsia="es-CR"/>
        </w:rPr>
      </w:pPr>
    </w:p>
    <w:p w14:paraId="43E76241" w14:textId="77777777" w:rsidR="009805F2" w:rsidRDefault="009805F2" w:rsidP="009805F2">
      <w:pPr>
        <w:pStyle w:val="Prrafodelista"/>
        <w:numPr>
          <w:ilvl w:val="0"/>
          <w:numId w:val="1"/>
        </w:numPr>
        <w:spacing w:after="0" w:line="240" w:lineRule="auto"/>
        <w:ind w:left="0" w:right="6" w:firstLine="0"/>
        <w:jc w:val="both"/>
        <w:rPr>
          <w:rFonts w:ascii="Verdana" w:eastAsia="Batang" w:hAnsi="Verdana" w:cs="Times"/>
          <w:sz w:val="20"/>
          <w:szCs w:val="20"/>
          <w:lang w:val="es-CR" w:eastAsia="es-CR"/>
        </w:rPr>
      </w:pPr>
      <w:r w:rsidRPr="000350C2">
        <w:rPr>
          <w:rFonts w:ascii="Verdana" w:hAnsi="Verdana"/>
          <w:sz w:val="20"/>
          <w:szCs w:val="20"/>
        </w:rPr>
        <w:t>Surge de los hechos ya narrados</w:t>
      </w:r>
      <w:r>
        <w:rPr>
          <w:rFonts w:ascii="Verdana" w:hAnsi="Verdana"/>
          <w:sz w:val="20"/>
          <w:szCs w:val="20"/>
        </w:rPr>
        <w:t>,</w:t>
      </w:r>
      <w:r w:rsidRPr="000350C2">
        <w:rPr>
          <w:rFonts w:ascii="Verdana" w:hAnsi="Verdana"/>
          <w:sz w:val="20"/>
          <w:szCs w:val="20"/>
        </w:rPr>
        <w:t xml:space="preserve"> y se señala también más adelante, que la conducta estatal ha implicado actos normativos, pero también diversas acciones y procedimientos tendientes a determinar la propiedad y la posible relocalización de </w:t>
      </w:r>
      <w:r w:rsidRPr="000350C2">
        <w:rPr>
          <w:rFonts w:ascii="Verdana" w:hAnsi="Verdana"/>
          <w:sz w:val="20"/>
          <w:szCs w:val="20"/>
        </w:rPr>
        <w:lastRenderedPageBreak/>
        <w:t>pobladores “criollos”, es decir, no indígenas, que habitan la zona, y concretar su traslado. A su vez, han existido actuaciones tendientes a controlar actos de tala ilegal e instalación de alambrados. Todo lo anterior se ha presentado a lo largo de varios años, en una extensión muy amplia de tierra, habitada por una población numerosa, conformada por criollos y múltiples comunidades indígenas pertenecientes a diversos pueblos, cuyo número, además, es variable. La actuación estatal respecto a tales circunstancias ha requerido la intervención de diversas entidades gubernamentales, provinciales y nacionales, así como la asignación de personal y de recursos presupuestarios. La Corte advierte y tiene en</w:t>
      </w:r>
      <w:r w:rsidRPr="000350C2">
        <w:rPr>
          <w:rFonts w:ascii="Verdana" w:hAnsi="Verdana"/>
          <w:b/>
          <w:sz w:val="20"/>
          <w:szCs w:val="20"/>
        </w:rPr>
        <w:t xml:space="preserve"> </w:t>
      </w:r>
      <w:r w:rsidRPr="000350C2">
        <w:rPr>
          <w:rFonts w:ascii="Verdana" w:hAnsi="Verdana"/>
          <w:sz w:val="20"/>
          <w:szCs w:val="20"/>
        </w:rPr>
        <w:t xml:space="preserve">cuenta estas circunstancias y la importante complejidad que representan.  </w:t>
      </w:r>
    </w:p>
    <w:p w14:paraId="1EB13640" w14:textId="77777777" w:rsidR="009805F2" w:rsidRPr="000350C2" w:rsidRDefault="009805F2" w:rsidP="009805F2">
      <w:pPr>
        <w:pStyle w:val="Prrafodelista"/>
        <w:spacing w:line="240" w:lineRule="auto"/>
        <w:rPr>
          <w:rFonts w:ascii="Verdana" w:hAnsi="Verdana"/>
          <w:sz w:val="20"/>
          <w:szCs w:val="20"/>
        </w:rPr>
      </w:pPr>
    </w:p>
    <w:p w14:paraId="0F7AF88A" w14:textId="340C5C15" w:rsidR="009805F2" w:rsidRDefault="009805F2" w:rsidP="00614034">
      <w:pPr>
        <w:pStyle w:val="Prrafodelista"/>
        <w:numPr>
          <w:ilvl w:val="0"/>
          <w:numId w:val="1"/>
        </w:numPr>
        <w:spacing w:after="0" w:line="240" w:lineRule="auto"/>
        <w:ind w:left="0" w:right="6" w:firstLine="0"/>
        <w:jc w:val="both"/>
        <w:rPr>
          <w:rFonts w:ascii="Verdana" w:eastAsia="Batang" w:hAnsi="Verdana" w:cs="Times"/>
          <w:sz w:val="20"/>
          <w:szCs w:val="20"/>
          <w:lang w:val="es-CR" w:eastAsia="es-CR"/>
        </w:rPr>
      </w:pPr>
      <w:r w:rsidRPr="000350C2">
        <w:rPr>
          <w:rFonts w:ascii="Verdana" w:hAnsi="Verdana"/>
          <w:sz w:val="20"/>
          <w:szCs w:val="20"/>
        </w:rPr>
        <w:t>La Corte efectuará su examen del siguiente modo: 1) en primer término, se referirá al derecho de propiedad comunitaria, analizando también otros derechos que, conforme se ha aducido, han presentado relación con la propiedad en el caso: a.- expondrá algunas consideraciones generales sobre la propiedad comunitaria indígena y luego dará cuenta de los argumentos respectivos de la Comisión y la partes y del análisis del Tribunal sobre: b</w:t>
      </w:r>
      <w:r w:rsidR="00192DFA">
        <w:rPr>
          <w:rFonts w:ascii="Verdana" w:hAnsi="Verdana"/>
          <w:sz w:val="20"/>
          <w:szCs w:val="20"/>
        </w:rPr>
        <w:t>.-</w:t>
      </w:r>
      <w:r w:rsidRPr="000350C2">
        <w:rPr>
          <w:rFonts w:ascii="Verdana" w:hAnsi="Verdana"/>
          <w:sz w:val="20"/>
          <w:szCs w:val="20"/>
        </w:rPr>
        <w:t xml:space="preserve"> el reconocimiento y </w:t>
      </w:r>
      <w:r w:rsidR="00C35D82">
        <w:rPr>
          <w:rFonts w:ascii="Verdana" w:hAnsi="Verdana"/>
          <w:sz w:val="20"/>
          <w:szCs w:val="20"/>
        </w:rPr>
        <w:t>determinación</w:t>
      </w:r>
      <w:r w:rsidR="00192DFA">
        <w:rPr>
          <w:rFonts w:ascii="Verdana" w:hAnsi="Verdana"/>
          <w:sz w:val="20"/>
          <w:szCs w:val="20"/>
        </w:rPr>
        <w:t xml:space="preserve"> de la propiedad, y c.-</w:t>
      </w:r>
      <w:r w:rsidRPr="000350C2">
        <w:rPr>
          <w:rFonts w:ascii="Verdana" w:hAnsi="Verdana"/>
          <w:sz w:val="20"/>
          <w:szCs w:val="20"/>
        </w:rPr>
        <w:t xml:space="preserve"> proyectos y obras ejecutadas sobre el territorio reclamado. Más adelante, abordará: 2) los alegatos sobre violaciones a los derechos </w:t>
      </w:r>
      <w:r>
        <w:rPr>
          <w:rFonts w:ascii="Verdana" w:hAnsi="Verdana"/>
          <w:sz w:val="20"/>
          <w:szCs w:val="20"/>
        </w:rPr>
        <w:t xml:space="preserve">de circulación y de residencia, </w:t>
      </w:r>
      <w:r w:rsidRPr="000350C2">
        <w:rPr>
          <w:rFonts w:ascii="Verdana" w:hAnsi="Verdana"/>
          <w:sz w:val="20"/>
          <w:szCs w:val="20"/>
        </w:rPr>
        <w:t xml:space="preserve">al medio ambiente sano, a la alimentación y a la identidad cultural, considerando también el derecho al agua, y 3) las aducidas vulneraciones a los derechos a las garantías judiciales y a la protección judicial en relación con acciones judiciales iniciadas en el caso. </w:t>
      </w:r>
    </w:p>
    <w:p w14:paraId="7B9D7DF3" w14:textId="77777777" w:rsidR="009805F2" w:rsidRPr="009A0759" w:rsidRDefault="009805F2" w:rsidP="00614034">
      <w:pPr>
        <w:spacing w:after="0" w:line="240" w:lineRule="auto"/>
      </w:pPr>
    </w:p>
    <w:p w14:paraId="63F5DFD7" w14:textId="77777777" w:rsidR="009805F2" w:rsidRPr="004E289D" w:rsidRDefault="009805F2" w:rsidP="00614034">
      <w:pPr>
        <w:pStyle w:val="Ttulo1"/>
        <w:spacing w:before="0" w:line="240" w:lineRule="auto"/>
        <w:jc w:val="center"/>
        <w:rPr>
          <w:rFonts w:ascii="Verdana" w:hAnsi="Verdana" w:cs="Times New Roman"/>
          <w:color w:val="auto"/>
          <w:sz w:val="20"/>
          <w:szCs w:val="20"/>
        </w:rPr>
      </w:pPr>
      <w:bookmarkStart w:id="120" w:name="_Toc32218841"/>
      <w:bookmarkStart w:id="121" w:name="_Toc32227111"/>
      <w:bookmarkStart w:id="122" w:name="_Toc34337540"/>
      <w:r w:rsidRPr="004E289D">
        <w:rPr>
          <w:rFonts w:ascii="Verdana" w:hAnsi="Verdana" w:cs="Times New Roman"/>
          <w:color w:val="auto"/>
          <w:sz w:val="20"/>
          <w:szCs w:val="20"/>
        </w:rPr>
        <w:t>VII.1</w:t>
      </w:r>
      <w:bookmarkEnd w:id="120"/>
      <w:bookmarkEnd w:id="121"/>
      <w:bookmarkEnd w:id="122"/>
    </w:p>
    <w:p w14:paraId="6A993204" w14:textId="77777777" w:rsidR="009805F2" w:rsidRPr="00744A22" w:rsidRDefault="009805F2" w:rsidP="009805F2">
      <w:pPr>
        <w:pStyle w:val="Ttulo1"/>
        <w:spacing w:before="0" w:line="240" w:lineRule="auto"/>
        <w:jc w:val="center"/>
        <w:rPr>
          <w:rFonts w:ascii="Verdana" w:hAnsi="Verdana" w:cs="Times New Roman"/>
          <w:b w:val="0"/>
          <w:color w:val="auto"/>
          <w:sz w:val="20"/>
          <w:szCs w:val="20"/>
        </w:rPr>
      </w:pPr>
      <w:bookmarkStart w:id="123" w:name="_Toc32227112"/>
      <w:bookmarkStart w:id="124" w:name="_Toc34337541"/>
      <w:r w:rsidRPr="00637E7F">
        <w:rPr>
          <w:rFonts w:ascii="Verdana" w:hAnsi="Verdana" w:cs="Times New Roman"/>
          <w:color w:val="auto"/>
          <w:sz w:val="20"/>
          <w:szCs w:val="20"/>
        </w:rPr>
        <w:t>DERECHO DE PROPIEDAD COMUNITARIA INDÍGENA</w:t>
      </w:r>
      <w:bookmarkEnd w:id="123"/>
      <w:r w:rsidRPr="00744A22">
        <w:rPr>
          <w:rStyle w:val="Refdenotaalpie"/>
          <w:rFonts w:ascii="Verdana" w:hAnsi="Verdana"/>
          <w:b w:val="0"/>
          <w:color w:val="auto"/>
          <w:sz w:val="20"/>
        </w:rPr>
        <w:footnoteReference w:id="91"/>
      </w:r>
      <w:bookmarkEnd w:id="124"/>
    </w:p>
    <w:p w14:paraId="1220A769" w14:textId="77777777" w:rsidR="009805F2" w:rsidRDefault="009805F2" w:rsidP="009805F2">
      <w:pPr>
        <w:spacing w:after="0" w:line="240" w:lineRule="auto"/>
        <w:rPr>
          <w:rFonts w:ascii="Verdana" w:hAnsi="Verdana"/>
          <w:sz w:val="20"/>
          <w:szCs w:val="20"/>
        </w:rPr>
      </w:pPr>
    </w:p>
    <w:p w14:paraId="09C32676" w14:textId="77777777" w:rsidR="009805F2" w:rsidRPr="00223D59" w:rsidRDefault="009805F2" w:rsidP="009805F2">
      <w:pPr>
        <w:pStyle w:val="Prrafodelista"/>
        <w:numPr>
          <w:ilvl w:val="0"/>
          <w:numId w:val="28"/>
        </w:numPr>
        <w:spacing w:after="0" w:line="240" w:lineRule="auto"/>
        <w:ind w:left="284" w:firstLine="0"/>
        <w:outlineLvl w:val="1"/>
        <w:rPr>
          <w:rFonts w:ascii="Verdana" w:hAnsi="Verdana"/>
          <w:b/>
          <w:i/>
          <w:sz w:val="20"/>
          <w:szCs w:val="20"/>
          <w:u w:val="single"/>
        </w:rPr>
      </w:pPr>
      <w:bookmarkStart w:id="125" w:name="_Toc32227113"/>
      <w:bookmarkStart w:id="126" w:name="_Toc34337542"/>
      <w:r w:rsidRPr="00223D59">
        <w:rPr>
          <w:rFonts w:ascii="Verdana" w:hAnsi="Verdana"/>
          <w:b/>
          <w:i/>
          <w:sz w:val="20"/>
          <w:szCs w:val="20"/>
          <w:u w:val="single"/>
        </w:rPr>
        <w:t>Consideraciones generales sobre la propiedad comunitaria</w:t>
      </w:r>
      <w:bookmarkEnd w:id="125"/>
      <w:bookmarkEnd w:id="126"/>
    </w:p>
    <w:p w14:paraId="1EA74301" w14:textId="77777777" w:rsidR="009805F2" w:rsidRPr="004E289D" w:rsidRDefault="009805F2" w:rsidP="009805F2">
      <w:pPr>
        <w:pStyle w:val="Prrafodelista"/>
        <w:spacing w:line="240" w:lineRule="auto"/>
        <w:rPr>
          <w:rFonts w:ascii="Verdana" w:hAnsi="Verdana"/>
          <w:sz w:val="20"/>
          <w:szCs w:val="20"/>
        </w:rPr>
      </w:pPr>
    </w:p>
    <w:p w14:paraId="11C23171" w14:textId="77777777" w:rsidR="009805F2" w:rsidRPr="004E289D" w:rsidRDefault="009805F2" w:rsidP="009805F2">
      <w:pPr>
        <w:pStyle w:val="Prrafodelista"/>
        <w:numPr>
          <w:ilvl w:val="0"/>
          <w:numId w:val="44"/>
        </w:numPr>
        <w:spacing w:after="0" w:line="240" w:lineRule="auto"/>
        <w:ind w:left="0" w:right="6" w:hanging="11"/>
        <w:jc w:val="both"/>
        <w:rPr>
          <w:rFonts w:ascii="Verdana" w:eastAsia="Batang" w:hAnsi="Verdana" w:cs="Times"/>
          <w:sz w:val="20"/>
          <w:szCs w:val="20"/>
          <w:lang w:val="es-CR" w:eastAsia="es-CR"/>
        </w:rPr>
      </w:pPr>
      <w:r w:rsidRPr="004E289D">
        <w:rPr>
          <w:rFonts w:ascii="Verdana" w:hAnsi="Verdana"/>
          <w:sz w:val="20"/>
          <w:szCs w:val="20"/>
        </w:rPr>
        <w:t>La Corte se referirá a diversos aspectos relacionados con el derecho de propiedad</w:t>
      </w:r>
      <w:r>
        <w:rPr>
          <w:rFonts w:ascii="Verdana" w:hAnsi="Verdana"/>
          <w:sz w:val="20"/>
          <w:szCs w:val="20"/>
        </w:rPr>
        <w:t xml:space="preserve"> comunitaria o comunal</w:t>
      </w:r>
      <w:r w:rsidRPr="004E289D">
        <w:rPr>
          <w:rFonts w:ascii="Verdana" w:hAnsi="Verdana"/>
          <w:sz w:val="20"/>
          <w:szCs w:val="20"/>
        </w:rPr>
        <w:t>. Por eso, considera útil dejar sentadas algunas c</w:t>
      </w:r>
      <w:r>
        <w:rPr>
          <w:rFonts w:ascii="Verdana" w:hAnsi="Verdana"/>
          <w:sz w:val="20"/>
          <w:szCs w:val="20"/>
        </w:rPr>
        <w:t>onsideraciones generales sobre dicho</w:t>
      </w:r>
      <w:r w:rsidRPr="004E289D">
        <w:rPr>
          <w:rFonts w:ascii="Verdana" w:hAnsi="Verdana"/>
          <w:sz w:val="20"/>
          <w:szCs w:val="20"/>
        </w:rPr>
        <w:t xml:space="preserve"> derecho. Para ello, dará cuenta de algunos aspectos en los que se ha ido desarrollando su jurisprudencia. </w:t>
      </w:r>
    </w:p>
    <w:p w14:paraId="61EF78BE" w14:textId="77777777" w:rsidR="009805F2" w:rsidRDefault="009805F2" w:rsidP="009805F2">
      <w:pPr>
        <w:pStyle w:val="Prrafodelista"/>
        <w:spacing w:after="0" w:line="240" w:lineRule="auto"/>
        <w:ind w:left="0" w:right="6"/>
        <w:jc w:val="both"/>
        <w:rPr>
          <w:rFonts w:ascii="Verdana" w:eastAsia="Batang" w:hAnsi="Verdana" w:cs="Times"/>
          <w:sz w:val="20"/>
          <w:szCs w:val="20"/>
          <w:lang w:val="es-CR" w:eastAsia="es-CR"/>
        </w:rPr>
      </w:pPr>
    </w:p>
    <w:p w14:paraId="3AF7EFCF" w14:textId="5E3F5343" w:rsidR="009805F2" w:rsidRPr="004E289D" w:rsidRDefault="009805F2" w:rsidP="009805F2">
      <w:pPr>
        <w:pStyle w:val="Prrafodelista"/>
        <w:numPr>
          <w:ilvl w:val="0"/>
          <w:numId w:val="44"/>
        </w:numPr>
        <w:spacing w:after="0" w:line="240" w:lineRule="auto"/>
        <w:ind w:left="0" w:right="6" w:firstLine="0"/>
        <w:jc w:val="both"/>
        <w:rPr>
          <w:rFonts w:ascii="Verdana" w:eastAsia="Batang" w:hAnsi="Verdana" w:cs="Times"/>
          <w:sz w:val="16"/>
          <w:szCs w:val="16"/>
          <w:lang w:val="es-CR" w:eastAsia="es-CR"/>
        </w:rPr>
      </w:pPr>
      <w:r w:rsidRPr="004E289D">
        <w:rPr>
          <w:rFonts w:ascii="Verdana" w:hAnsi="Verdana"/>
          <w:sz w:val="20"/>
          <w:szCs w:val="20"/>
        </w:rPr>
        <w:t xml:space="preserve">La Corte se ha referido al contenido del derecho de propiedad comunitaria indígena y sus implicancias. Así, en 2001, respecto del caso </w:t>
      </w:r>
      <w:r w:rsidRPr="004E289D">
        <w:rPr>
          <w:rFonts w:ascii="Verdana" w:hAnsi="Verdana"/>
          <w:i/>
          <w:sz w:val="20"/>
          <w:szCs w:val="20"/>
        </w:rPr>
        <w:t>Comuni</w:t>
      </w:r>
      <w:r>
        <w:rPr>
          <w:rFonts w:ascii="Verdana" w:hAnsi="Verdana"/>
          <w:i/>
          <w:sz w:val="20"/>
          <w:szCs w:val="20"/>
        </w:rPr>
        <w:t>dad Mayagna (Sumo) Awas Tingni V</w:t>
      </w:r>
      <w:r w:rsidRPr="004E289D">
        <w:rPr>
          <w:rFonts w:ascii="Verdana" w:hAnsi="Verdana"/>
          <w:i/>
          <w:sz w:val="20"/>
          <w:szCs w:val="20"/>
        </w:rPr>
        <w:t>s</w:t>
      </w:r>
      <w:r>
        <w:rPr>
          <w:rFonts w:ascii="Verdana" w:hAnsi="Verdana"/>
          <w:i/>
          <w:sz w:val="20"/>
          <w:szCs w:val="20"/>
        </w:rPr>
        <w:t>.</w:t>
      </w:r>
      <w:r w:rsidRPr="004E289D">
        <w:rPr>
          <w:rFonts w:ascii="Verdana" w:hAnsi="Verdana"/>
          <w:i/>
          <w:sz w:val="20"/>
          <w:szCs w:val="20"/>
        </w:rPr>
        <w:t xml:space="preserve"> Nicaragua, </w:t>
      </w:r>
      <w:r w:rsidRPr="004E289D">
        <w:rPr>
          <w:rFonts w:ascii="Verdana" w:hAnsi="Verdana"/>
          <w:sz w:val="20"/>
          <w:szCs w:val="20"/>
        </w:rPr>
        <w:t>tomando en cuenta diversas pautas de interpretación</w:t>
      </w:r>
      <w:r w:rsidRPr="003776CB">
        <w:rPr>
          <w:rStyle w:val="Refdenotaalpie"/>
          <w:rFonts w:ascii="Verdana" w:hAnsi="Verdana"/>
          <w:sz w:val="20"/>
        </w:rPr>
        <w:footnoteReference w:id="92"/>
      </w:r>
      <w:r w:rsidRPr="004E289D">
        <w:rPr>
          <w:rFonts w:ascii="Verdana" w:hAnsi="Verdana"/>
          <w:sz w:val="20"/>
          <w:szCs w:val="20"/>
        </w:rPr>
        <w:t xml:space="preserve">, </w:t>
      </w:r>
      <w:r w:rsidRPr="004E289D">
        <w:rPr>
          <w:rFonts w:ascii="Verdana" w:hAnsi="Verdana"/>
          <w:sz w:val="20"/>
          <w:szCs w:val="20"/>
        </w:rPr>
        <w:lastRenderedPageBreak/>
        <w:t>estableció que el derecho de propiedad privada plasmado en el artículo 21 de la Convención comprende, en relación con pueblos indígenas, la propiedad comunal de sus tierras</w:t>
      </w:r>
      <w:r w:rsidRPr="003776CB">
        <w:rPr>
          <w:rStyle w:val="Refdenotaalpie"/>
          <w:rFonts w:ascii="Verdana" w:hAnsi="Verdana"/>
          <w:sz w:val="20"/>
        </w:rPr>
        <w:footnoteReference w:id="93"/>
      </w:r>
      <w:r>
        <w:rPr>
          <w:rFonts w:ascii="Verdana" w:hAnsi="Verdana"/>
          <w:sz w:val="20"/>
          <w:szCs w:val="20"/>
        </w:rPr>
        <w:t>.</w:t>
      </w:r>
      <w:r w:rsidRPr="004E289D">
        <w:rPr>
          <w:rFonts w:ascii="Verdana" w:hAnsi="Verdana"/>
          <w:sz w:val="20"/>
          <w:szCs w:val="20"/>
        </w:rPr>
        <w:t xml:space="preserve"> Explic</w:t>
      </w:r>
      <w:r>
        <w:rPr>
          <w:rFonts w:ascii="Verdana" w:hAnsi="Verdana"/>
          <w:sz w:val="20"/>
          <w:szCs w:val="20"/>
        </w:rPr>
        <w:t>ó</w:t>
      </w:r>
      <w:r w:rsidRPr="004E289D">
        <w:rPr>
          <w:rFonts w:ascii="Verdana" w:hAnsi="Verdana"/>
          <w:sz w:val="16"/>
          <w:szCs w:val="16"/>
        </w:rPr>
        <w:t xml:space="preserve"> </w:t>
      </w:r>
      <w:r w:rsidRPr="004E289D">
        <w:rPr>
          <w:rFonts w:ascii="Verdana" w:hAnsi="Verdana"/>
          <w:sz w:val="20"/>
          <w:szCs w:val="20"/>
        </w:rPr>
        <w:t>entonces que</w:t>
      </w:r>
      <w:r w:rsidR="00AF0065">
        <w:rPr>
          <w:rFonts w:ascii="Verdana" w:hAnsi="Verdana"/>
          <w:sz w:val="20"/>
          <w:szCs w:val="20"/>
        </w:rPr>
        <w:t>:</w:t>
      </w:r>
      <w:r w:rsidRPr="004E289D">
        <w:rPr>
          <w:rFonts w:ascii="Verdana" w:hAnsi="Verdana"/>
          <w:sz w:val="16"/>
          <w:szCs w:val="16"/>
        </w:rPr>
        <w:t xml:space="preserve"> </w:t>
      </w:r>
    </w:p>
    <w:p w14:paraId="54B7A96C" w14:textId="77777777" w:rsidR="009805F2" w:rsidRPr="004E289D" w:rsidRDefault="009805F2" w:rsidP="009805F2">
      <w:pPr>
        <w:pStyle w:val="Prrafodelista"/>
        <w:spacing w:after="0" w:line="240" w:lineRule="auto"/>
        <w:rPr>
          <w:rFonts w:ascii="Verdana" w:hAnsi="Verdana"/>
          <w:sz w:val="16"/>
          <w:szCs w:val="16"/>
        </w:rPr>
      </w:pPr>
    </w:p>
    <w:p w14:paraId="24EB6A2E" w14:textId="77777777" w:rsidR="009805F2" w:rsidRPr="003776CB" w:rsidRDefault="009805F2" w:rsidP="009805F2">
      <w:pPr>
        <w:spacing w:after="0" w:line="240" w:lineRule="auto"/>
        <w:ind w:left="142" w:right="191"/>
        <w:jc w:val="both"/>
        <w:rPr>
          <w:rFonts w:ascii="Verdana" w:hAnsi="Verdana"/>
          <w:sz w:val="16"/>
          <w:szCs w:val="16"/>
        </w:rPr>
      </w:pPr>
      <w:r w:rsidRPr="004E289D">
        <w:rPr>
          <w:rFonts w:ascii="Verdana" w:hAnsi="Verdana"/>
          <w:sz w:val="16"/>
          <w:szCs w:val="16"/>
        </w:rPr>
        <w:t>[e]ntre l[a]s [personas] indígenas existe una tradición comunitaria sobre una forma comunal de la propiedad colectiva</w:t>
      </w:r>
      <w:r w:rsidRPr="003776CB">
        <w:rPr>
          <w:rFonts w:ascii="Verdana" w:hAnsi="Verdana"/>
          <w:sz w:val="16"/>
          <w:szCs w:val="16"/>
        </w:rPr>
        <w:t xml:space="preserve"> de la tierra, en el sentido de que la pertenencia de ésta no se centra en un individuo sino en el grupo y su comunidad. Los indígenas por el hecho de su propia existencia tienen derecho a vivir libremente en sus propios territorios; la estrecha relación que los indígenas mantienen con la tierra debe de ser reconocida y comprendida como la base fundamental de sus culturas, su vida espiritual, su integridad y su supervivencia económica</w:t>
      </w:r>
      <w:r w:rsidRPr="003776CB">
        <w:rPr>
          <w:rStyle w:val="Refdenotaalpie"/>
          <w:rFonts w:ascii="Verdana" w:hAnsi="Verdana"/>
          <w:sz w:val="16"/>
          <w:szCs w:val="16"/>
        </w:rPr>
        <w:footnoteReference w:id="94"/>
      </w:r>
      <w:r w:rsidRPr="003776CB">
        <w:rPr>
          <w:rFonts w:ascii="Verdana" w:hAnsi="Verdana"/>
          <w:sz w:val="16"/>
          <w:szCs w:val="16"/>
        </w:rPr>
        <w:t>.</w:t>
      </w:r>
    </w:p>
    <w:p w14:paraId="7655274C" w14:textId="77777777" w:rsidR="009805F2" w:rsidRPr="004E289D" w:rsidRDefault="009805F2" w:rsidP="009805F2">
      <w:pPr>
        <w:pStyle w:val="Prrafodelista"/>
        <w:spacing w:line="240" w:lineRule="auto"/>
        <w:rPr>
          <w:rFonts w:ascii="Verdana" w:hAnsi="Verdana"/>
          <w:sz w:val="20"/>
          <w:szCs w:val="20"/>
        </w:rPr>
      </w:pPr>
    </w:p>
    <w:p w14:paraId="3BD17E7A" w14:textId="71F9A940" w:rsidR="009805F2" w:rsidRPr="004E289D"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4E289D">
        <w:rPr>
          <w:rFonts w:ascii="Verdana" w:hAnsi="Verdana"/>
          <w:sz w:val="20"/>
          <w:szCs w:val="20"/>
        </w:rPr>
        <w:t>Al decidir</w:t>
      </w:r>
      <w:r>
        <w:rPr>
          <w:rFonts w:ascii="Verdana" w:hAnsi="Verdana"/>
          <w:sz w:val="20"/>
          <w:szCs w:val="20"/>
        </w:rPr>
        <w:t>,</w:t>
      </w:r>
      <w:r w:rsidRPr="004E289D">
        <w:rPr>
          <w:rFonts w:ascii="Verdana" w:hAnsi="Verdana"/>
          <w:sz w:val="20"/>
          <w:szCs w:val="20"/>
        </w:rPr>
        <w:t xml:space="preserve"> en 2005</w:t>
      </w:r>
      <w:r>
        <w:rPr>
          <w:rFonts w:ascii="Verdana" w:hAnsi="Verdana"/>
          <w:sz w:val="20"/>
          <w:szCs w:val="20"/>
        </w:rPr>
        <w:t>,</w:t>
      </w:r>
      <w:r w:rsidRPr="004E289D">
        <w:rPr>
          <w:rFonts w:ascii="Verdana" w:hAnsi="Verdana"/>
          <w:sz w:val="20"/>
          <w:szCs w:val="20"/>
        </w:rPr>
        <w:t xml:space="preserve"> sobre el caso </w:t>
      </w:r>
      <w:r w:rsidRPr="004E289D">
        <w:rPr>
          <w:rFonts w:ascii="Verdana" w:hAnsi="Verdana"/>
          <w:i/>
          <w:sz w:val="20"/>
          <w:szCs w:val="20"/>
        </w:rPr>
        <w:t>Comunidad Indígena Yakye Axa Vs. Paraguay</w:t>
      </w:r>
      <w:r w:rsidRPr="004E289D">
        <w:rPr>
          <w:rFonts w:ascii="Verdana" w:hAnsi="Verdana"/>
          <w:sz w:val="20"/>
          <w:szCs w:val="20"/>
        </w:rPr>
        <w:t>, la Corte entendió que el de</w:t>
      </w:r>
      <w:r w:rsidR="00AF0065">
        <w:rPr>
          <w:rFonts w:ascii="Verdana" w:hAnsi="Verdana"/>
          <w:sz w:val="20"/>
          <w:szCs w:val="20"/>
        </w:rPr>
        <w:t>recho de propiedad protege no só</w:t>
      </w:r>
      <w:r w:rsidRPr="004E289D">
        <w:rPr>
          <w:rFonts w:ascii="Verdana" w:hAnsi="Verdana"/>
          <w:sz w:val="20"/>
          <w:szCs w:val="20"/>
        </w:rPr>
        <w:t>lo el vínculo de las comunidades indígenas con sus territorios, sino también “los recursos naturales ligados a su cultura que ahí se encuentren, así como los elementos incorporales que se desprendan de ellos”</w:t>
      </w:r>
      <w:r w:rsidRPr="003776CB">
        <w:rPr>
          <w:rStyle w:val="Refdenotaalpie"/>
          <w:rFonts w:ascii="Verdana" w:hAnsi="Verdana"/>
          <w:sz w:val="20"/>
        </w:rPr>
        <w:footnoteReference w:id="95"/>
      </w:r>
      <w:r w:rsidRPr="004E289D">
        <w:rPr>
          <w:rFonts w:ascii="Verdana" w:hAnsi="Verdana"/>
          <w:sz w:val="20"/>
          <w:szCs w:val="20"/>
        </w:rPr>
        <w:t>.</w:t>
      </w:r>
      <w:r w:rsidR="00E41756">
        <w:rPr>
          <w:rFonts w:ascii="Verdana" w:hAnsi="Verdana"/>
          <w:sz w:val="20"/>
          <w:szCs w:val="20"/>
        </w:rPr>
        <w:t xml:space="preserve"> E</w:t>
      </w:r>
      <w:r w:rsidRPr="004E289D">
        <w:rPr>
          <w:rFonts w:ascii="Verdana" w:hAnsi="Verdana"/>
          <w:sz w:val="20"/>
          <w:szCs w:val="20"/>
        </w:rPr>
        <w:t xml:space="preserve">xplicó después, respecto del caso </w:t>
      </w:r>
      <w:r w:rsidRPr="004E289D">
        <w:rPr>
          <w:rFonts w:ascii="Verdana" w:hAnsi="Verdana"/>
          <w:i/>
          <w:sz w:val="20"/>
          <w:szCs w:val="20"/>
        </w:rPr>
        <w:t xml:space="preserve">Pueblo Saramaka Vs. </w:t>
      </w:r>
      <w:r w:rsidRPr="004E289D">
        <w:rPr>
          <w:rFonts w:ascii="Verdana" w:hAnsi="Verdana"/>
          <w:i/>
          <w:sz w:val="20"/>
          <w:szCs w:val="20"/>
        </w:rPr>
        <w:lastRenderedPageBreak/>
        <w:t>Surinam</w:t>
      </w:r>
      <w:r w:rsidR="00E41756">
        <w:rPr>
          <w:rFonts w:ascii="Verdana" w:hAnsi="Verdana"/>
          <w:i/>
          <w:sz w:val="20"/>
          <w:szCs w:val="20"/>
        </w:rPr>
        <w:t>,</w:t>
      </w:r>
      <w:r w:rsidRPr="004E289D">
        <w:rPr>
          <w:rFonts w:ascii="Verdana" w:hAnsi="Verdana"/>
          <w:sz w:val="20"/>
          <w:szCs w:val="20"/>
        </w:rPr>
        <w:t xml:space="preserve"> que “el derecho a usar y gozar del territorio carecería de sentido [si no] estuviera conectado con los recursos naturales que se encuentran dentro del territorio”. Por ello, la titularidad de la tierra está unida a la “necesidad de garantizar la seguridad y la permanencia del control y uso de los recursos naturales […], lo que a su vez, mantiene [el] estilo de vida” de las comunidades. Los recursos que están protegidos por el derecho de propiedad comunitaria son los que las comunidades “han usado tradicionalmente y que son necesarios para la propia supervivencia, desarrollo y continuidad de [su] estilo de vida”</w:t>
      </w:r>
      <w:r w:rsidRPr="004E289D">
        <w:rPr>
          <w:rStyle w:val="Refdenotaalpie"/>
          <w:rFonts w:ascii="Verdana" w:hAnsi="Verdana"/>
          <w:sz w:val="20"/>
        </w:rPr>
        <w:t xml:space="preserve"> </w:t>
      </w:r>
      <w:r w:rsidRPr="003776CB">
        <w:rPr>
          <w:rStyle w:val="Refdenotaalpie"/>
          <w:rFonts w:ascii="Verdana" w:hAnsi="Verdana"/>
          <w:sz w:val="20"/>
        </w:rPr>
        <w:footnoteReference w:id="96"/>
      </w:r>
      <w:r w:rsidRPr="004E289D">
        <w:rPr>
          <w:rFonts w:ascii="Verdana" w:hAnsi="Verdana"/>
          <w:sz w:val="20"/>
          <w:szCs w:val="20"/>
        </w:rPr>
        <w:t>. Por eso, la realización, por el Estado o terceros, de actividades que puedan “afectar la integridad de las tierras y recursos naturales” deben seguir ciertas pautas que el Estado debe garantizar: la participación efectiva de las comunidades afectadas; su beneficio en términos razonables y la previa realización de estudios de impactos sociales y ambientales</w:t>
      </w:r>
      <w:r w:rsidRPr="003776CB">
        <w:rPr>
          <w:rStyle w:val="Refdenotaalpie"/>
          <w:rFonts w:ascii="Verdana" w:hAnsi="Verdana"/>
          <w:sz w:val="20"/>
        </w:rPr>
        <w:footnoteReference w:id="97"/>
      </w:r>
      <w:r w:rsidRPr="004E289D">
        <w:rPr>
          <w:rFonts w:ascii="Verdana" w:hAnsi="Verdana"/>
          <w:sz w:val="20"/>
          <w:szCs w:val="20"/>
        </w:rPr>
        <w:t xml:space="preserve">. </w:t>
      </w:r>
    </w:p>
    <w:p w14:paraId="6EEDEF80" w14:textId="77777777" w:rsidR="009805F2" w:rsidRDefault="009805F2" w:rsidP="009805F2">
      <w:pPr>
        <w:pStyle w:val="Prrafodelista"/>
        <w:spacing w:after="0" w:line="240" w:lineRule="auto"/>
        <w:ind w:left="0" w:right="6"/>
        <w:jc w:val="both"/>
        <w:rPr>
          <w:rFonts w:ascii="Verdana" w:eastAsia="Batang" w:hAnsi="Verdana" w:cs="Times"/>
          <w:sz w:val="20"/>
          <w:szCs w:val="20"/>
          <w:lang w:val="es-CR" w:eastAsia="es-CR"/>
        </w:rPr>
      </w:pPr>
    </w:p>
    <w:p w14:paraId="3909F1E5" w14:textId="77777777" w:rsidR="009805F2"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4E289D">
        <w:rPr>
          <w:rFonts w:ascii="Verdana" w:hAnsi="Verdana"/>
          <w:sz w:val="20"/>
          <w:szCs w:val="20"/>
        </w:rPr>
        <w:t xml:space="preserve">Por otra parte, la sentencia del caso </w:t>
      </w:r>
      <w:r w:rsidRPr="004E289D">
        <w:rPr>
          <w:rFonts w:ascii="Verdana" w:hAnsi="Verdana"/>
          <w:i/>
          <w:sz w:val="20"/>
          <w:szCs w:val="20"/>
        </w:rPr>
        <w:t>Awas Tingni</w:t>
      </w:r>
      <w:r>
        <w:rPr>
          <w:rFonts w:ascii="Verdana" w:hAnsi="Verdana"/>
          <w:i/>
          <w:sz w:val="20"/>
          <w:szCs w:val="20"/>
        </w:rPr>
        <w:t xml:space="preserve"> Vs. Nicaragua</w:t>
      </w:r>
      <w:r w:rsidRPr="004E289D">
        <w:rPr>
          <w:rFonts w:ascii="Verdana" w:hAnsi="Verdana"/>
          <w:sz w:val="20"/>
          <w:szCs w:val="20"/>
        </w:rPr>
        <w:t>, de 2001,</w:t>
      </w:r>
      <w:r w:rsidRPr="004E289D">
        <w:rPr>
          <w:rFonts w:ascii="Verdana" w:hAnsi="Verdana"/>
          <w:i/>
          <w:sz w:val="20"/>
          <w:szCs w:val="20"/>
        </w:rPr>
        <w:t xml:space="preserve"> </w:t>
      </w:r>
      <w:r w:rsidRPr="004E289D">
        <w:rPr>
          <w:rFonts w:ascii="Verdana" w:hAnsi="Verdana"/>
          <w:sz w:val="20"/>
          <w:szCs w:val="20"/>
        </w:rPr>
        <w:t>señaló que “la posesión de la tierra debería bastar para que las comunidades indígenas […] obtengan el reconocimiento oficial</w:t>
      </w:r>
      <w:r>
        <w:rPr>
          <w:rFonts w:ascii="Verdana" w:hAnsi="Verdana"/>
          <w:sz w:val="20"/>
          <w:szCs w:val="20"/>
        </w:rPr>
        <w:t xml:space="preserve"> [de</w:t>
      </w:r>
      <w:r w:rsidRPr="004E289D">
        <w:rPr>
          <w:rFonts w:ascii="Verdana" w:hAnsi="Verdana"/>
          <w:sz w:val="20"/>
          <w:szCs w:val="20"/>
        </w:rPr>
        <w:t xml:space="preserve"> la] propiedad y el consiguiente registro”</w:t>
      </w:r>
      <w:r w:rsidRPr="003776CB">
        <w:rPr>
          <w:rStyle w:val="Refdenotaalpie"/>
          <w:rFonts w:ascii="Verdana" w:hAnsi="Verdana"/>
          <w:sz w:val="20"/>
        </w:rPr>
        <w:footnoteReference w:id="98"/>
      </w:r>
      <w:r w:rsidRPr="004E289D">
        <w:rPr>
          <w:rFonts w:ascii="Verdana" w:hAnsi="Verdana"/>
          <w:sz w:val="20"/>
          <w:szCs w:val="20"/>
        </w:rPr>
        <w:t>. Tal acto declara el derecho preexistente, no lo constituye</w:t>
      </w:r>
      <w:r>
        <w:rPr>
          <w:rStyle w:val="Refdenotaalpie"/>
        </w:rPr>
        <w:footnoteReference w:id="99"/>
      </w:r>
      <w:r w:rsidRPr="004E289D">
        <w:rPr>
          <w:rFonts w:ascii="Verdana" w:hAnsi="Verdana"/>
          <w:sz w:val="20"/>
          <w:szCs w:val="20"/>
        </w:rPr>
        <w:t xml:space="preserve">. Conforme surge de su decisión de 2005 sobre el caso </w:t>
      </w:r>
      <w:r w:rsidRPr="004E289D">
        <w:rPr>
          <w:rFonts w:ascii="Verdana" w:hAnsi="Verdana"/>
          <w:i/>
          <w:sz w:val="20"/>
          <w:szCs w:val="20"/>
        </w:rPr>
        <w:t>Yake Axa</w:t>
      </w:r>
      <w:r>
        <w:rPr>
          <w:rFonts w:ascii="Verdana" w:hAnsi="Verdana"/>
          <w:i/>
          <w:sz w:val="20"/>
          <w:szCs w:val="20"/>
        </w:rPr>
        <w:t xml:space="preserve"> Vs. Paraguay</w:t>
      </w:r>
      <w:r w:rsidRPr="004E289D">
        <w:rPr>
          <w:rFonts w:ascii="Verdana" w:hAnsi="Verdana"/>
          <w:sz w:val="20"/>
          <w:szCs w:val="20"/>
        </w:rPr>
        <w:t>, la Corte resaltó que el Estado no solo debe reconocer el derecho de propiedad comunitaria, sino también hacerlo “efectivo en la realidad y en la práctica”</w:t>
      </w:r>
      <w:r w:rsidRPr="003776CB">
        <w:rPr>
          <w:rStyle w:val="Refdenotaalpie"/>
          <w:rFonts w:ascii="Verdana" w:hAnsi="Verdana"/>
          <w:sz w:val="20"/>
        </w:rPr>
        <w:footnoteReference w:id="100"/>
      </w:r>
      <w:r w:rsidRPr="004E289D">
        <w:rPr>
          <w:rFonts w:ascii="Verdana" w:hAnsi="Verdana"/>
          <w:sz w:val="20"/>
          <w:szCs w:val="20"/>
        </w:rPr>
        <w:t xml:space="preserve">. La Corte ha explicado que la relación de los pueblos indígenas con el territorio “no se trata de un privilegio para usar la tierra, el cual puede ser despojado por el Estado u opacado por derechos a la propiedad de terceros, sino de un derecho […] para obtener la titulación de su territorio a fin de garantizar el uso y goce </w:t>
      </w:r>
      <w:r w:rsidRPr="004E289D">
        <w:rPr>
          <w:rFonts w:ascii="Verdana" w:hAnsi="Verdana" w:cs="ArialNarrow"/>
          <w:sz w:val="20"/>
          <w:szCs w:val="20"/>
        </w:rPr>
        <w:t>permanente</w:t>
      </w:r>
      <w:r w:rsidRPr="004E289D">
        <w:rPr>
          <w:rFonts w:ascii="Verdana" w:hAnsi="Verdana"/>
          <w:sz w:val="20"/>
          <w:szCs w:val="20"/>
        </w:rPr>
        <w:t xml:space="preserve"> de dicha tierra”</w:t>
      </w:r>
      <w:r w:rsidRPr="003776CB">
        <w:rPr>
          <w:rStyle w:val="Refdenotaalpie"/>
          <w:rFonts w:ascii="Verdana" w:hAnsi="Verdana"/>
          <w:sz w:val="20"/>
        </w:rPr>
        <w:footnoteReference w:id="101"/>
      </w:r>
      <w:r w:rsidRPr="004E289D">
        <w:rPr>
          <w:rFonts w:ascii="Verdana" w:hAnsi="Verdana"/>
          <w:sz w:val="20"/>
          <w:szCs w:val="20"/>
        </w:rPr>
        <w:t xml:space="preserve">. Al pronunciarse en 2006 sobre el caso </w:t>
      </w:r>
      <w:r w:rsidRPr="004E289D">
        <w:rPr>
          <w:rFonts w:ascii="Verdana" w:hAnsi="Verdana"/>
          <w:i/>
          <w:sz w:val="20"/>
          <w:szCs w:val="20"/>
        </w:rPr>
        <w:t>Comunidad Indígena Sawhoyamaxa Vs. Paraguay</w:t>
      </w:r>
      <w:r w:rsidRPr="004E289D">
        <w:rPr>
          <w:rFonts w:ascii="Verdana" w:hAnsi="Verdana"/>
          <w:sz w:val="20"/>
          <w:szCs w:val="20"/>
        </w:rPr>
        <w:t xml:space="preserve">, este Tribunal precisó que: </w:t>
      </w:r>
    </w:p>
    <w:p w14:paraId="4D91A35A" w14:textId="77777777" w:rsidR="009805F2" w:rsidRDefault="009805F2" w:rsidP="009805F2">
      <w:pPr>
        <w:pStyle w:val="Prrafodelista"/>
        <w:spacing w:line="240" w:lineRule="auto"/>
        <w:rPr>
          <w:rFonts w:ascii="Verdana" w:hAnsi="Verdana"/>
          <w:sz w:val="20"/>
          <w:szCs w:val="20"/>
        </w:rPr>
      </w:pPr>
    </w:p>
    <w:p w14:paraId="67348045" w14:textId="77777777" w:rsidR="009805F2" w:rsidRPr="003776CB" w:rsidRDefault="009805F2" w:rsidP="009805F2">
      <w:pPr>
        <w:pStyle w:val="Prrafodelista"/>
        <w:spacing w:after="0" w:line="240" w:lineRule="auto"/>
        <w:ind w:left="142" w:right="191"/>
        <w:jc w:val="both"/>
        <w:rPr>
          <w:rFonts w:ascii="Verdana" w:hAnsi="Verdana"/>
          <w:sz w:val="16"/>
          <w:szCs w:val="16"/>
        </w:rPr>
      </w:pPr>
      <w:r w:rsidRPr="003776CB">
        <w:rPr>
          <w:rFonts w:ascii="Verdana" w:hAnsi="Verdana"/>
          <w:sz w:val="16"/>
          <w:szCs w:val="16"/>
        </w:rPr>
        <w:t>la posesión tradicional de los indígenas sobre sus tierras tiene efectos equivalentes al título de pleno dominio que otorga el Estado; 2) la posesión tradicional otorga a los indígenas el derecho a exigir el reconocimiento oficial de propiedad y su registro; 3) los miembros de los pueblos indígenas que por causas ajenas a su voluntad han salido o perdido la posesión de sus tierras tradicionales mantienen el derecho de propiedad sobre las mismas</w:t>
      </w:r>
      <w:r>
        <w:rPr>
          <w:rStyle w:val="Refdenotaalpie"/>
          <w:rFonts w:ascii="Verdana" w:hAnsi="Verdana"/>
          <w:sz w:val="16"/>
        </w:rPr>
        <w:footnoteReference w:id="102"/>
      </w:r>
      <w:r w:rsidRPr="003776CB">
        <w:rPr>
          <w:rFonts w:ascii="Verdana" w:hAnsi="Verdana"/>
          <w:sz w:val="16"/>
          <w:szCs w:val="16"/>
        </w:rPr>
        <w:t xml:space="preserve">, aún a falta de título legal, salvo cuando las tierras hayan sido legítimamente </w:t>
      </w:r>
      <w:r w:rsidRPr="003776CB">
        <w:rPr>
          <w:rFonts w:ascii="Verdana" w:hAnsi="Verdana"/>
          <w:sz w:val="16"/>
          <w:szCs w:val="16"/>
        </w:rPr>
        <w:lastRenderedPageBreak/>
        <w:t>trasladas a terceros de buena fe; y 4) los miembros de los pueblos indígenas que involuntariamente han perdido la posesión de sus tierras, y estas han sido trasladas legítimamente a terceros inocentes, tienen el derecho de recuperarlas o a obtener otras tierras de igual extensión y calidad.”</w:t>
      </w:r>
      <w:r w:rsidRPr="003776CB">
        <w:rPr>
          <w:rStyle w:val="Refdenotaalpie"/>
          <w:rFonts w:ascii="Verdana" w:hAnsi="Verdana"/>
          <w:sz w:val="16"/>
          <w:szCs w:val="16"/>
        </w:rPr>
        <w:footnoteReference w:id="103"/>
      </w:r>
    </w:p>
    <w:p w14:paraId="6429C955" w14:textId="77777777" w:rsidR="009805F2" w:rsidRPr="004E289D" w:rsidRDefault="009805F2" w:rsidP="009805F2">
      <w:pPr>
        <w:pStyle w:val="Prrafodelista"/>
        <w:spacing w:line="240" w:lineRule="auto"/>
        <w:rPr>
          <w:rFonts w:ascii="Verdana" w:hAnsi="Verdana"/>
          <w:sz w:val="20"/>
          <w:szCs w:val="20"/>
        </w:rPr>
      </w:pPr>
    </w:p>
    <w:p w14:paraId="321D9BCB" w14:textId="2ADC6D16" w:rsidR="009805F2" w:rsidRPr="004E289D"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4E289D">
        <w:rPr>
          <w:rFonts w:ascii="Verdana" w:hAnsi="Verdana"/>
          <w:sz w:val="20"/>
          <w:szCs w:val="20"/>
        </w:rPr>
        <w:t>El Estado tiene el deber de dar “certeza geográfica” a</w:t>
      </w:r>
      <w:r>
        <w:rPr>
          <w:rFonts w:ascii="Verdana" w:hAnsi="Verdana"/>
          <w:sz w:val="20"/>
          <w:szCs w:val="20"/>
        </w:rPr>
        <w:t xml:space="preserve"> </w:t>
      </w:r>
      <w:r w:rsidRPr="004E289D">
        <w:rPr>
          <w:rFonts w:ascii="Verdana" w:hAnsi="Verdana"/>
          <w:sz w:val="20"/>
          <w:szCs w:val="20"/>
        </w:rPr>
        <w:t>la propiedad comunitaria, como señal</w:t>
      </w:r>
      <w:r w:rsidR="00E41756">
        <w:rPr>
          <w:rFonts w:ascii="Verdana" w:hAnsi="Verdana"/>
          <w:sz w:val="20"/>
          <w:szCs w:val="20"/>
        </w:rPr>
        <w:t>ó</w:t>
      </w:r>
      <w:r w:rsidRPr="004E289D">
        <w:rPr>
          <w:rFonts w:ascii="Verdana" w:hAnsi="Verdana"/>
          <w:sz w:val="20"/>
          <w:szCs w:val="20"/>
        </w:rPr>
        <w:t xml:space="preserve"> este Tribunal al decidir el caso </w:t>
      </w:r>
      <w:r w:rsidRPr="004E289D">
        <w:rPr>
          <w:rFonts w:ascii="Verdana" w:hAnsi="Verdana"/>
          <w:i/>
          <w:sz w:val="20"/>
          <w:szCs w:val="20"/>
        </w:rPr>
        <w:t>Awas Tingni</w:t>
      </w:r>
      <w:r>
        <w:rPr>
          <w:rFonts w:ascii="Verdana" w:hAnsi="Verdana"/>
          <w:i/>
          <w:sz w:val="20"/>
          <w:szCs w:val="20"/>
        </w:rPr>
        <w:t xml:space="preserve"> Vs. Nicaragua</w:t>
      </w:r>
      <w:r w:rsidRPr="004E289D">
        <w:rPr>
          <w:rFonts w:ascii="Verdana" w:hAnsi="Verdana"/>
          <w:i/>
          <w:sz w:val="20"/>
          <w:szCs w:val="20"/>
        </w:rPr>
        <w:t xml:space="preserve">. </w:t>
      </w:r>
      <w:r w:rsidRPr="004E289D">
        <w:rPr>
          <w:rFonts w:ascii="Verdana" w:hAnsi="Verdana"/>
          <w:sz w:val="20"/>
          <w:szCs w:val="20"/>
        </w:rPr>
        <w:t>En esa oportunidad, y en decisiones posteriores, la Corte se refirió a los deberes de “delimitar” y “demarcar” el territorio, además de la obligación de “titularlo”</w:t>
      </w:r>
      <w:r w:rsidRPr="003776CB">
        <w:rPr>
          <w:rStyle w:val="Refdenotaalpie"/>
          <w:rFonts w:ascii="Verdana" w:hAnsi="Verdana"/>
          <w:sz w:val="20"/>
        </w:rPr>
        <w:footnoteReference w:id="104"/>
      </w:r>
      <w:r w:rsidRPr="004E289D">
        <w:rPr>
          <w:rFonts w:ascii="Verdana" w:hAnsi="Verdana"/>
          <w:sz w:val="20"/>
          <w:szCs w:val="20"/>
        </w:rPr>
        <w:t xml:space="preserve">. Así, por ejemplo, en 2014, en relación con el caso de los </w:t>
      </w:r>
      <w:r w:rsidRPr="004E289D">
        <w:rPr>
          <w:rFonts w:ascii="Verdana" w:hAnsi="Verdana"/>
          <w:i/>
          <w:sz w:val="20"/>
          <w:szCs w:val="20"/>
        </w:rPr>
        <w:t>Pueblos Indígenas Kuna de Madungandí y Emberá de Bayano y sus Miembros Vs. Panamá</w:t>
      </w:r>
      <w:r w:rsidRPr="004E289D">
        <w:rPr>
          <w:rFonts w:ascii="Verdana" w:hAnsi="Verdana"/>
          <w:sz w:val="20"/>
          <w:szCs w:val="20"/>
        </w:rPr>
        <w:t xml:space="preserve">, la Corte expresó que “el deber de los Estados de adoptar medidas para asegurar a los pueblos indígenas su derecho a la propiedad </w:t>
      </w:r>
      <w:r w:rsidRPr="004E289D">
        <w:rPr>
          <w:rFonts w:ascii="Verdana" w:hAnsi="Verdana"/>
          <w:sz w:val="20"/>
          <w:szCs w:val="20"/>
        </w:rPr>
        <w:lastRenderedPageBreak/>
        <w:t xml:space="preserve">implica necesariamente, en atención al principio de seguridad jurídica, que el Estado debe demarcar, delimitar y titular los territorios de las comunidades indígenas </w:t>
      </w:r>
      <w:r>
        <w:rPr>
          <w:rFonts w:ascii="Verdana" w:hAnsi="Verdana"/>
          <w:sz w:val="20"/>
          <w:szCs w:val="20"/>
        </w:rPr>
        <w:t>[…]</w:t>
      </w:r>
      <w:r w:rsidRPr="004E289D">
        <w:rPr>
          <w:rFonts w:ascii="Verdana" w:hAnsi="Verdana"/>
          <w:sz w:val="20"/>
          <w:szCs w:val="20"/>
        </w:rPr>
        <w:t>. Por tanto, el incumplimiento de dichas obligaciones constituye una violación al uso y goce de los bienes de los miembros de dichas comunidades”</w:t>
      </w:r>
      <w:r w:rsidRPr="003776CB">
        <w:rPr>
          <w:rStyle w:val="Refdenotaalpie"/>
          <w:rFonts w:ascii="Verdana" w:hAnsi="Verdana"/>
          <w:sz w:val="20"/>
        </w:rPr>
        <w:footnoteReference w:id="105"/>
      </w:r>
      <w:r w:rsidRPr="004E289D">
        <w:rPr>
          <w:rFonts w:ascii="Verdana" w:hAnsi="Verdana"/>
          <w:sz w:val="20"/>
          <w:szCs w:val="20"/>
        </w:rPr>
        <w:t>. La titulación y demarcación deben implicar el uso y goce pacífico de la propiedad</w:t>
      </w:r>
      <w:r>
        <w:rPr>
          <w:rStyle w:val="Refdenotaalpie"/>
          <w:rFonts w:ascii="Verdana" w:hAnsi="Verdana"/>
          <w:sz w:val="20"/>
        </w:rPr>
        <w:footnoteReference w:id="106"/>
      </w:r>
      <w:r w:rsidRPr="004E289D">
        <w:rPr>
          <w:rFonts w:ascii="Verdana" w:hAnsi="Verdana"/>
          <w:sz w:val="20"/>
          <w:szCs w:val="20"/>
        </w:rPr>
        <w:t>.</w:t>
      </w:r>
    </w:p>
    <w:p w14:paraId="34EE9363" w14:textId="77777777" w:rsidR="009805F2" w:rsidRDefault="009805F2" w:rsidP="009805F2">
      <w:pPr>
        <w:pStyle w:val="Prrafodelista"/>
        <w:spacing w:after="0" w:line="240" w:lineRule="auto"/>
        <w:ind w:left="0" w:right="6"/>
        <w:jc w:val="both"/>
        <w:rPr>
          <w:rFonts w:ascii="Verdana" w:eastAsia="Batang" w:hAnsi="Verdana" w:cs="Times"/>
          <w:sz w:val="20"/>
          <w:szCs w:val="20"/>
          <w:lang w:val="es-CR" w:eastAsia="es-CR"/>
        </w:rPr>
      </w:pPr>
    </w:p>
    <w:p w14:paraId="3F99123C" w14:textId="1AC5E7BB" w:rsidR="009805F2"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4E289D">
        <w:rPr>
          <w:rFonts w:ascii="Verdana" w:hAnsi="Verdana"/>
          <w:sz w:val="20"/>
          <w:szCs w:val="20"/>
        </w:rPr>
        <w:t>De modo concordante con lo anterior, la Corte destacó en 2015 que “en atención al principio de seguridad jurídica, es necesario materializar los derechos territoriales de los pueblos indígenas a través de la adopción de medidas legislativas y administrativas necesarias para crear un mecanismo efectivo de delimitación, demarcación y titulación, que reconozca tales derechos en la práctica” y los haga oponibles ante las propias autoridades estatales o frente a terceros</w:t>
      </w:r>
      <w:r w:rsidRPr="003776CB">
        <w:rPr>
          <w:rStyle w:val="Refdenotaalpie"/>
          <w:rFonts w:ascii="Verdana" w:hAnsi="Verdana"/>
          <w:sz w:val="20"/>
        </w:rPr>
        <w:footnoteReference w:id="107"/>
      </w:r>
      <w:r w:rsidRPr="004E289D">
        <w:rPr>
          <w:rFonts w:ascii="Verdana" w:hAnsi="Verdana"/>
          <w:sz w:val="20"/>
          <w:szCs w:val="20"/>
        </w:rPr>
        <w:t xml:space="preserve">. Consideraciones equivalentes realizó en 2018, en su decisión sobre el caso </w:t>
      </w:r>
      <w:r w:rsidRPr="004E289D">
        <w:rPr>
          <w:rFonts w:ascii="Verdana" w:hAnsi="Verdana"/>
          <w:i/>
          <w:sz w:val="20"/>
          <w:szCs w:val="20"/>
        </w:rPr>
        <w:t>Pueblo Ind</w:t>
      </w:r>
      <w:r>
        <w:rPr>
          <w:rFonts w:ascii="Verdana" w:hAnsi="Verdana"/>
          <w:i/>
          <w:sz w:val="20"/>
          <w:szCs w:val="20"/>
        </w:rPr>
        <w:t>í</w:t>
      </w:r>
      <w:r w:rsidRPr="004E289D">
        <w:rPr>
          <w:rFonts w:ascii="Verdana" w:hAnsi="Verdana"/>
          <w:i/>
          <w:sz w:val="20"/>
          <w:szCs w:val="20"/>
        </w:rPr>
        <w:t>gena Xucur</w:t>
      </w:r>
      <w:r w:rsidR="00561534">
        <w:rPr>
          <w:rFonts w:ascii="Verdana" w:hAnsi="Verdana"/>
          <w:i/>
          <w:sz w:val="20"/>
          <w:szCs w:val="20"/>
        </w:rPr>
        <w:t>u</w:t>
      </w:r>
      <w:r w:rsidRPr="004E289D">
        <w:rPr>
          <w:rFonts w:ascii="Verdana" w:hAnsi="Verdana"/>
          <w:i/>
          <w:sz w:val="20"/>
          <w:szCs w:val="20"/>
        </w:rPr>
        <w:t xml:space="preserve"> y sus miembros vs. Brasil</w:t>
      </w:r>
      <w:r w:rsidRPr="00192DFA">
        <w:rPr>
          <w:rStyle w:val="Refdenotaalpie"/>
          <w:rFonts w:ascii="Verdana" w:hAnsi="Verdana"/>
          <w:sz w:val="20"/>
        </w:rPr>
        <w:footnoteReference w:id="108"/>
      </w:r>
      <w:r w:rsidRPr="004E289D">
        <w:rPr>
          <w:rFonts w:ascii="Verdana" w:hAnsi="Verdana"/>
          <w:i/>
          <w:sz w:val="20"/>
          <w:szCs w:val="20"/>
        </w:rPr>
        <w:t xml:space="preserve">. </w:t>
      </w:r>
    </w:p>
    <w:p w14:paraId="6E5D5665" w14:textId="77777777" w:rsidR="009805F2" w:rsidRPr="004E289D" w:rsidRDefault="009805F2" w:rsidP="009805F2">
      <w:pPr>
        <w:pStyle w:val="Prrafodelista"/>
        <w:spacing w:line="240" w:lineRule="auto"/>
        <w:rPr>
          <w:rFonts w:ascii="Verdana" w:hAnsi="Verdana"/>
          <w:sz w:val="20"/>
          <w:szCs w:val="20"/>
        </w:rPr>
      </w:pPr>
    </w:p>
    <w:p w14:paraId="0DC84F4A" w14:textId="52402B4A" w:rsidR="009805F2"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4E289D">
        <w:rPr>
          <w:rFonts w:ascii="Verdana" w:hAnsi="Verdana"/>
          <w:sz w:val="20"/>
          <w:szCs w:val="20"/>
        </w:rPr>
        <w:t xml:space="preserve">Con base en lo </w:t>
      </w:r>
      <w:r w:rsidR="00E41756">
        <w:rPr>
          <w:rFonts w:ascii="Verdana" w:hAnsi="Verdana"/>
          <w:sz w:val="20"/>
          <w:szCs w:val="20"/>
        </w:rPr>
        <w:t xml:space="preserve">anteriormente </w:t>
      </w:r>
      <w:r w:rsidRPr="004E289D">
        <w:rPr>
          <w:rFonts w:ascii="Verdana" w:hAnsi="Verdana"/>
          <w:sz w:val="20"/>
          <w:szCs w:val="20"/>
        </w:rPr>
        <w:t>dicho, es relevante recordar que el Estado debe asegurar la propiedad efectiva de los pueblos indígenas y, por tanto, debe: a.-  deslindar las tierras indígenas de otras y otorgar título colectivo de las tierras a las comunidades</w:t>
      </w:r>
      <w:r w:rsidRPr="0023124A">
        <w:rPr>
          <w:rStyle w:val="Refdenotaalpie"/>
          <w:rFonts w:ascii="Verdana" w:hAnsi="Verdana"/>
          <w:sz w:val="20"/>
        </w:rPr>
        <w:footnoteReference w:id="109"/>
      </w:r>
      <w:r w:rsidRPr="004E289D">
        <w:rPr>
          <w:rFonts w:ascii="Verdana" w:hAnsi="Verdana"/>
          <w:sz w:val="20"/>
          <w:szCs w:val="20"/>
        </w:rPr>
        <w:t>; b.-“abstenerse de realizar actos que puedan llevar a que los agentes del propio Estado, o terceros que actúen con su aquiescencia o su tolerancia, afecten la existencia, el valor, el uso o el goce de su territorio”</w:t>
      </w:r>
      <w:r w:rsidRPr="00DD537B">
        <w:rPr>
          <w:vertAlign w:val="superscript"/>
        </w:rPr>
        <w:footnoteReference w:id="110"/>
      </w:r>
      <w:r w:rsidRPr="004E289D">
        <w:rPr>
          <w:rFonts w:ascii="Verdana" w:hAnsi="Verdana"/>
          <w:sz w:val="20"/>
          <w:szCs w:val="20"/>
        </w:rPr>
        <w:t>, y c.- a su vez, garantizar el derecho de los pueblos indígenas de controlar y usar efectivamente su territorio y recursos naturales</w:t>
      </w:r>
      <w:r w:rsidRPr="00DD537B">
        <w:rPr>
          <w:vertAlign w:val="superscript"/>
        </w:rPr>
        <w:footnoteReference w:id="111"/>
      </w:r>
      <w:r w:rsidRPr="004E289D">
        <w:rPr>
          <w:rFonts w:ascii="Verdana" w:hAnsi="Verdana"/>
          <w:sz w:val="20"/>
          <w:szCs w:val="20"/>
        </w:rPr>
        <w:t>, así como de ser propietarios de su territorio sin ningún tipo de interferencia externa de terceros</w:t>
      </w:r>
      <w:r w:rsidRPr="00DD537B">
        <w:rPr>
          <w:vertAlign w:val="superscript"/>
        </w:rPr>
        <w:footnoteReference w:id="112"/>
      </w:r>
      <w:r w:rsidRPr="004E289D">
        <w:rPr>
          <w:rFonts w:ascii="Verdana" w:hAnsi="Verdana"/>
          <w:sz w:val="20"/>
          <w:szCs w:val="20"/>
        </w:rPr>
        <w:t xml:space="preserve">. </w:t>
      </w:r>
    </w:p>
    <w:p w14:paraId="58968141" w14:textId="77777777" w:rsidR="009805F2" w:rsidRDefault="009805F2" w:rsidP="009805F2">
      <w:pPr>
        <w:pStyle w:val="Prrafodelista"/>
        <w:spacing w:line="240" w:lineRule="auto"/>
        <w:rPr>
          <w:rFonts w:ascii="Verdana" w:hAnsi="Verdana" w:cs="Tahoma"/>
          <w:sz w:val="20"/>
          <w:szCs w:val="20"/>
        </w:rPr>
      </w:pPr>
    </w:p>
    <w:p w14:paraId="20E97D5F" w14:textId="77777777" w:rsidR="009805F2" w:rsidRPr="00223D59" w:rsidRDefault="009805F2" w:rsidP="009805F2">
      <w:pPr>
        <w:pStyle w:val="Prrafodelista"/>
        <w:numPr>
          <w:ilvl w:val="0"/>
          <w:numId w:val="29"/>
        </w:numPr>
        <w:spacing w:after="0" w:line="240" w:lineRule="auto"/>
        <w:outlineLvl w:val="1"/>
        <w:rPr>
          <w:rFonts w:ascii="Verdana" w:hAnsi="Verdana"/>
          <w:b/>
          <w:i/>
          <w:sz w:val="20"/>
          <w:szCs w:val="20"/>
          <w:u w:val="single"/>
        </w:rPr>
      </w:pPr>
      <w:bookmarkStart w:id="127" w:name="_Toc32227114"/>
      <w:bookmarkStart w:id="128" w:name="_Toc34337543"/>
      <w:r w:rsidRPr="00223D59">
        <w:rPr>
          <w:rFonts w:ascii="Verdana" w:hAnsi="Verdana"/>
          <w:b/>
          <w:i/>
          <w:sz w:val="20"/>
          <w:szCs w:val="20"/>
          <w:u w:val="single"/>
        </w:rPr>
        <w:t>Reconocimiento y determinación de la propiedad comunitaria</w:t>
      </w:r>
      <w:bookmarkEnd w:id="127"/>
      <w:bookmarkEnd w:id="128"/>
    </w:p>
    <w:p w14:paraId="387B686C" w14:textId="77777777" w:rsidR="009805F2" w:rsidRPr="004E289D" w:rsidRDefault="009805F2" w:rsidP="009805F2">
      <w:pPr>
        <w:pStyle w:val="Prrafodelista"/>
        <w:spacing w:line="240" w:lineRule="auto"/>
        <w:rPr>
          <w:rFonts w:ascii="Verdana" w:hAnsi="Verdana" w:cs="Tahoma"/>
          <w:sz w:val="20"/>
          <w:szCs w:val="20"/>
        </w:rPr>
      </w:pPr>
    </w:p>
    <w:p w14:paraId="7161D8F0" w14:textId="26AA8231" w:rsidR="009805F2" w:rsidRPr="004E289D"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4E289D">
        <w:rPr>
          <w:rFonts w:ascii="Verdana" w:hAnsi="Verdana" w:cs="Tahoma"/>
          <w:sz w:val="20"/>
          <w:szCs w:val="20"/>
        </w:rPr>
        <w:t xml:space="preserve">A continuación, la Corte considerará los argumentos presentados por la Comisión y las partes respecto al reconocimiento y la determinación de la propiedad. Es decir, evaluará los alegatos sobre la aducida falta de procedimientos idóneos para garantizar </w:t>
      </w:r>
      <w:r w:rsidR="00E41756">
        <w:rPr>
          <w:rFonts w:ascii="Verdana" w:hAnsi="Verdana" w:cs="Tahoma"/>
          <w:sz w:val="20"/>
          <w:szCs w:val="20"/>
        </w:rPr>
        <w:lastRenderedPageBreak/>
        <w:t xml:space="preserve">la propiedad y </w:t>
      </w:r>
      <w:r w:rsidRPr="004E289D">
        <w:rPr>
          <w:rFonts w:ascii="Verdana" w:hAnsi="Verdana" w:cs="Tahoma"/>
          <w:sz w:val="20"/>
          <w:szCs w:val="20"/>
        </w:rPr>
        <w:t>e</w:t>
      </w:r>
      <w:r w:rsidR="00E41756">
        <w:rPr>
          <w:rFonts w:ascii="Verdana" w:hAnsi="Verdana" w:cs="Tahoma"/>
          <w:sz w:val="20"/>
          <w:szCs w:val="20"/>
        </w:rPr>
        <w:t>l</w:t>
      </w:r>
      <w:r w:rsidRPr="004E289D">
        <w:rPr>
          <w:rFonts w:ascii="Verdana" w:hAnsi="Verdana" w:cs="Tahoma"/>
          <w:sz w:val="20"/>
          <w:szCs w:val="20"/>
        </w:rPr>
        <w:t xml:space="preserve"> otorgamiento de un título de propiedad adecuado</w:t>
      </w:r>
      <w:r w:rsidRPr="004E289D">
        <w:rPr>
          <w:rFonts w:ascii="Verdana" w:hAnsi="Verdana" w:cs="Tahoma"/>
          <w:b/>
          <w:sz w:val="20"/>
          <w:szCs w:val="20"/>
        </w:rPr>
        <w:t xml:space="preserve"> </w:t>
      </w:r>
      <w:r w:rsidRPr="004E289D">
        <w:rPr>
          <w:rFonts w:ascii="Verdana" w:hAnsi="Verdana" w:cs="Tahoma"/>
          <w:sz w:val="20"/>
          <w:szCs w:val="20"/>
        </w:rPr>
        <w:t xml:space="preserve">que brinde seguridad jurídica al derecho. También examinará </w:t>
      </w:r>
      <w:r w:rsidR="00AF0065">
        <w:rPr>
          <w:rFonts w:ascii="Verdana" w:hAnsi="Verdana" w:cs="Tahoma"/>
          <w:sz w:val="20"/>
          <w:szCs w:val="20"/>
        </w:rPr>
        <w:t xml:space="preserve">el deber de </w:t>
      </w:r>
      <w:r w:rsidRPr="004E289D">
        <w:rPr>
          <w:rFonts w:ascii="Verdana" w:hAnsi="Verdana" w:cs="Tahoma"/>
          <w:sz w:val="20"/>
          <w:szCs w:val="20"/>
        </w:rPr>
        <w:t>garantía de</w:t>
      </w:r>
      <w:r w:rsidR="00192DFA">
        <w:rPr>
          <w:rFonts w:ascii="Verdana" w:hAnsi="Verdana" w:cs="Tahoma"/>
          <w:sz w:val="20"/>
          <w:szCs w:val="20"/>
        </w:rPr>
        <w:t>l</w:t>
      </w:r>
      <w:r w:rsidRPr="004E289D">
        <w:rPr>
          <w:rFonts w:ascii="Verdana" w:hAnsi="Verdana" w:cs="Tahoma"/>
          <w:sz w:val="20"/>
          <w:szCs w:val="20"/>
        </w:rPr>
        <w:t xml:space="preserve"> derecho de propiedad en relación con la presencia </w:t>
      </w:r>
      <w:r>
        <w:rPr>
          <w:rFonts w:ascii="Verdana" w:hAnsi="Verdana" w:cs="Tahoma"/>
          <w:sz w:val="20"/>
          <w:szCs w:val="20"/>
        </w:rPr>
        <w:t>d</w:t>
      </w:r>
      <w:r w:rsidRPr="004E289D">
        <w:rPr>
          <w:rFonts w:ascii="Verdana" w:hAnsi="Verdana" w:cs="Tahoma"/>
          <w:sz w:val="20"/>
          <w:szCs w:val="20"/>
        </w:rPr>
        <w:t xml:space="preserve">e pobladores no indígenas en el territorio reclamado. Los argumentos señalados se vinculan con el derecho de propiedad, recogido en el artículo 21 de la Convención. También se ha aducido la lesión al derecho a contar con procedimientos efectivos para la tutela de la propiedad, al reconocimiento de la personalidad jurídica, a la libertad de asociación y a los derechos políticos, incorporados, respectivamente, en los artículos </w:t>
      </w:r>
      <w:r>
        <w:rPr>
          <w:rFonts w:ascii="Verdana" w:hAnsi="Verdana" w:cs="Tahoma"/>
          <w:sz w:val="20"/>
          <w:szCs w:val="20"/>
        </w:rPr>
        <w:t xml:space="preserve">8 y 25, </w:t>
      </w:r>
      <w:r w:rsidRPr="004E289D">
        <w:rPr>
          <w:rFonts w:ascii="Verdana" w:hAnsi="Verdana" w:cs="Tahoma"/>
          <w:sz w:val="20"/>
          <w:szCs w:val="20"/>
        </w:rPr>
        <w:t>3, 16</w:t>
      </w:r>
      <w:r>
        <w:rPr>
          <w:rFonts w:ascii="Verdana" w:hAnsi="Verdana" w:cs="Tahoma"/>
          <w:sz w:val="20"/>
          <w:szCs w:val="20"/>
        </w:rPr>
        <w:t xml:space="preserve"> y</w:t>
      </w:r>
      <w:r w:rsidRPr="004E289D">
        <w:rPr>
          <w:rFonts w:ascii="Verdana" w:hAnsi="Verdana" w:cs="Tahoma"/>
          <w:sz w:val="20"/>
          <w:szCs w:val="20"/>
        </w:rPr>
        <w:t xml:space="preserve"> 23 del tratado.</w:t>
      </w:r>
    </w:p>
    <w:p w14:paraId="51CC69FF" w14:textId="77777777" w:rsidR="009805F2" w:rsidRDefault="009805F2" w:rsidP="009805F2">
      <w:pPr>
        <w:pStyle w:val="Prrafodelista"/>
        <w:spacing w:after="0" w:line="240" w:lineRule="auto"/>
        <w:ind w:left="0" w:right="6"/>
        <w:jc w:val="both"/>
        <w:rPr>
          <w:rFonts w:ascii="Verdana" w:eastAsia="Batang" w:hAnsi="Verdana" w:cs="Times"/>
          <w:sz w:val="20"/>
          <w:szCs w:val="20"/>
          <w:lang w:val="es-CR" w:eastAsia="es-CR"/>
        </w:rPr>
      </w:pPr>
    </w:p>
    <w:p w14:paraId="2A0B2A63" w14:textId="77777777" w:rsidR="009805F2" w:rsidRPr="002A21F3" w:rsidRDefault="009805F2" w:rsidP="009805F2">
      <w:pPr>
        <w:pStyle w:val="Prrafodelista"/>
        <w:spacing w:after="0" w:line="240" w:lineRule="auto"/>
        <w:ind w:left="567"/>
        <w:jc w:val="both"/>
        <w:outlineLvl w:val="2"/>
        <w:rPr>
          <w:rFonts w:ascii="Verdana" w:hAnsi="Verdana"/>
          <w:b/>
          <w:i/>
          <w:sz w:val="20"/>
          <w:szCs w:val="20"/>
        </w:rPr>
      </w:pPr>
      <w:bookmarkStart w:id="129" w:name="_Toc22224889"/>
      <w:bookmarkStart w:id="130" w:name="_Toc32218842"/>
      <w:bookmarkStart w:id="131" w:name="_Toc32227115"/>
      <w:bookmarkStart w:id="132" w:name="_Toc34337544"/>
      <w:r w:rsidRPr="002A21F3">
        <w:rPr>
          <w:rFonts w:ascii="Verdana" w:hAnsi="Verdana"/>
          <w:b/>
          <w:i/>
          <w:sz w:val="20"/>
          <w:szCs w:val="20"/>
        </w:rPr>
        <w:t>B.1 Argumentos de la Comisión y de las partes</w:t>
      </w:r>
      <w:bookmarkEnd w:id="129"/>
      <w:bookmarkEnd w:id="130"/>
      <w:bookmarkEnd w:id="131"/>
      <w:bookmarkEnd w:id="132"/>
      <w:r w:rsidRPr="002A21F3">
        <w:rPr>
          <w:rFonts w:ascii="Verdana" w:hAnsi="Verdana"/>
          <w:b/>
          <w:i/>
          <w:sz w:val="20"/>
          <w:szCs w:val="20"/>
        </w:rPr>
        <w:t xml:space="preserve"> </w:t>
      </w:r>
    </w:p>
    <w:p w14:paraId="0965EE23" w14:textId="77777777" w:rsidR="009805F2" w:rsidRDefault="009805F2" w:rsidP="009805F2">
      <w:pPr>
        <w:pStyle w:val="Prrafodelista"/>
        <w:spacing w:after="0" w:line="240" w:lineRule="auto"/>
        <w:ind w:left="0" w:right="6"/>
        <w:jc w:val="both"/>
        <w:rPr>
          <w:rFonts w:ascii="Verdana" w:eastAsia="Batang" w:hAnsi="Verdana" w:cs="Times"/>
          <w:sz w:val="20"/>
          <w:szCs w:val="20"/>
          <w:lang w:val="es-CR" w:eastAsia="es-CR"/>
        </w:rPr>
      </w:pPr>
    </w:p>
    <w:p w14:paraId="266D63D9" w14:textId="15C0C8B8" w:rsidR="009805F2"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4E289D">
        <w:rPr>
          <w:rFonts w:ascii="Verdana" w:hAnsi="Verdana"/>
          <w:sz w:val="20"/>
          <w:szCs w:val="20"/>
        </w:rPr>
        <w:t xml:space="preserve">La </w:t>
      </w:r>
      <w:r w:rsidRPr="004E289D">
        <w:rPr>
          <w:rFonts w:ascii="Verdana" w:hAnsi="Verdana"/>
          <w:b/>
          <w:i/>
          <w:sz w:val="20"/>
          <w:szCs w:val="20"/>
        </w:rPr>
        <w:t>Comisión</w:t>
      </w:r>
      <w:r w:rsidRPr="004E289D">
        <w:rPr>
          <w:rFonts w:ascii="Verdana" w:hAnsi="Verdana"/>
          <w:sz w:val="20"/>
          <w:szCs w:val="20"/>
        </w:rPr>
        <w:t xml:space="preserve"> sostuvo que el Estado vulneró el derecho de propiedad de las comunidades “por no haberles provisto acceso efectivo al título de propiedad sobre su territorio ancestral”, y agregó que dicha violación se dio: a) por no implementar normas internas que lo consagraban</w:t>
      </w:r>
      <w:r w:rsidRPr="004E289D">
        <w:rPr>
          <w:rFonts w:ascii="Verdana" w:hAnsi="Verdana"/>
          <w:sz w:val="16"/>
          <w:szCs w:val="16"/>
        </w:rPr>
        <w:t xml:space="preserve"> </w:t>
      </w:r>
      <w:r w:rsidRPr="004E289D">
        <w:rPr>
          <w:rFonts w:ascii="Verdana" w:hAnsi="Verdana"/>
          <w:sz w:val="20"/>
          <w:szCs w:val="20"/>
        </w:rPr>
        <w:t>y b) en conexión con derechos a las garantías y protección judiciales, por la falta de un procedimiento efectivo para reconocer y “regularizar” la propiedad</w:t>
      </w:r>
      <w:r w:rsidRPr="0023124A">
        <w:rPr>
          <w:rStyle w:val="Refdenotaalpie"/>
          <w:rFonts w:ascii="Verdana" w:hAnsi="Verdana"/>
          <w:sz w:val="20"/>
        </w:rPr>
        <w:footnoteReference w:id="113"/>
      </w:r>
      <w:r w:rsidRPr="004E289D">
        <w:rPr>
          <w:rFonts w:ascii="Verdana" w:hAnsi="Verdana"/>
          <w:sz w:val="20"/>
          <w:szCs w:val="20"/>
        </w:rPr>
        <w:t>. La Comisión, en su Informe de Fondo, ligó lo dicho al incumplimiento de los artículos 1.1 y 2</w:t>
      </w:r>
      <w:r w:rsidR="00192DFA">
        <w:rPr>
          <w:rFonts w:ascii="Verdana" w:hAnsi="Verdana"/>
          <w:sz w:val="20"/>
          <w:szCs w:val="20"/>
        </w:rPr>
        <w:t xml:space="preserve"> de la Convención</w:t>
      </w:r>
      <w:r w:rsidRPr="004E289D">
        <w:rPr>
          <w:rFonts w:ascii="Verdana" w:hAnsi="Verdana"/>
          <w:sz w:val="20"/>
          <w:szCs w:val="20"/>
        </w:rPr>
        <w:t>, que prescriben, respectivamente, las obligaciones de respetar y garantizar los derechos, y adoptar disposiciones de derecho interno</w:t>
      </w:r>
      <w:r w:rsidRPr="0023124A">
        <w:rPr>
          <w:rStyle w:val="Refdenotaalpie"/>
          <w:rFonts w:ascii="Verdana" w:hAnsi="Verdana"/>
          <w:sz w:val="20"/>
        </w:rPr>
        <w:footnoteReference w:id="114"/>
      </w:r>
      <w:r w:rsidRPr="004E289D">
        <w:rPr>
          <w:rFonts w:ascii="Verdana" w:hAnsi="Verdana"/>
          <w:sz w:val="20"/>
          <w:szCs w:val="20"/>
        </w:rPr>
        <w:t xml:space="preserve">. </w:t>
      </w:r>
    </w:p>
    <w:p w14:paraId="4D9C38F9" w14:textId="77777777" w:rsidR="009805F2" w:rsidRPr="004E289D" w:rsidRDefault="009805F2" w:rsidP="009805F2">
      <w:pPr>
        <w:pStyle w:val="Prrafodelista"/>
        <w:spacing w:line="240" w:lineRule="auto"/>
        <w:rPr>
          <w:rFonts w:ascii="Verdana" w:hAnsi="Verdana"/>
          <w:sz w:val="20"/>
          <w:szCs w:val="20"/>
        </w:rPr>
      </w:pPr>
    </w:p>
    <w:p w14:paraId="7D428AAF" w14:textId="014D8C52" w:rsidR="009805F2"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4E289D">
        <w:rPr>
          <w:rFonts w:ascii="Verdana" w:hAnsi="Verdana"/>
          <w:sz w:val="20"/>
          <w:szCs w:val="20"/>
        </w:rPr>
        <w:t>La Comisión</w:t>
      </w:r>
      <w:r w:rsidRPr="004E289D">
        <w:rPr>
          <w:rFonts w:ascii="Verdana" w:hAnsi="Verdana"/>
          <w:b/>
          <w:i/>
          <w:sz w:val="20"/>
          <w:szCs w:val="20"/>
        </w:rPr>
        <w:t xml:space="preserve"> </w:t>
      </w:r>
      <w:r w:rsidRPr="004E289D">
        <w:rPr>
          <w:rFonts w:ascii="Verdana" w:hAnsi="Verdana"/>
          <w:sz w:val="20"/>
          <w:szCs w:val="20"/>
        </w:rPr>
        <w:t xml:space="preserve">especificó que </w:t>
      </w:r>
      <w:r w:rsidR="00E41756">
        <w:rPr>
          <w:rFonts w:ascii="Verdana" w:hAnsi="Verdana"/>
          <w:sz w:val="20"/>
          <w:szCs w:val="20"/>
        </w:rPr>
        <w:t>tan solo</w:t>
      </w:r>
      <w:r w:rsidRPr="004E289D">
        <w:rPr>
          <w:rFonts w:ascii="Verdana" w:hAnsi="Verdana"/>
          <w:sz w:val="20"/>
          <w:szCs w:val="20"/>
        </w:rPr>
        <w:t xml:space="preserve"> 23 años después del primer acuerdo, efectuado en 1991, el Decreto 1498/14 traspasó la propiedad a las comunidades. </w:t>
      </w:r>
      <w:r w:rsidRPr="004E289D">
        <w:rPr>
          <w:rFonts w:ascii="Verdana" w:hAnsi="Verdana"/>
          <w:sz w:val="20"/>
          <w:szCs w:val="20"/>
          <w:lang w:val="es-CO"/>
        </w:rPr>
        <w:t xml:space="preserve">Sin embargo, ha persistido la controversia en cuanto a la demarcación del territorio y el modo de titulación de [las] tierras. </w:t>
      </w:r>
      <w:r w:rsidRPr="004E289D">
        <w:rPr>
          <w:rFonts w:ascii="Verdana" w:hAnsi="Verdana"/>
          <w:sz w:val="20"/>
          <w:szCs w:val="20"/>
        </w:rPr>
        <w:t xml:space="preserve">Aseveró que “las comunidades [todavía] no cuentan con un título único y común”. Concluyó que “el Estado continúa incumpliendo su obligación de avanzar decidida y definitivamente en la demarcación [y] delimitación”. </w:t>
      </w:r>
    </w:p>
    <w:p w14:paraId="7CCF60CB" w14:textId="77777777" w:rsidR="009805F2" w:rsidRPr="004E289D" w:rsidRDefault="009805F2" w:rsidP="009805F2">
      <w:pPr>
        <w:pStyle w:val="Prrafodelista"/>
        <w:spacing w:line="240" w:lineRule="auto"/>
        <w:rPr>
          <w:rFonts w:ascii="Verdana" w:hAnsi="Verdana"/>
          <w:sz w:val="20"/>
          <w:szCs w:val="20"/>
        </w:rPr>
      </w:pPr>
    </w:p>
    <w:p w14:paraId="3AC14A73" w14:textId="1A232006" w:rsidR="009805F2"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4E289D">
        <w:rPr>
          <w:rFonts w:ascii="Verdana" w:hAnsi="Verdana"/>
          <w:sz w:val="20"/>
          <w:szCs w:val="20"/>
        </w:rPr>
        <w:t>La Comisión, además, entendió que el Estado violó el derecho de propiedad por falta de “saneamiento” del territorio. Notó que en los lotes 14 y 55 hay presencia de familias de colonos no indígenas</w:t>
      </w:r>
      <w:r w:rsidRPr="00FB4A90">
        <w:rPr>
          <w:rStyle w:val="Refdenotaalpie"/>
        </w:rPr>
        <w:footnoteReference w:id="115"/>
      </w:r>
      <w:r w:rsidRPr="004E289D">
        <w:rPr>
          <w:rFonts w:ascii="Verdana" w:hAnsi="Verdana"/>
          <w:sz w:val="20"/>
          <w:szCs w:val="20"/>
        </w:rPr>
        <w:t xml:space="preserve">. Afirmó que “el Estado incumplió con su deber de prevenir que familias no indígenas continuaran asentándose en el territorio ancestral”. Concluyó que “habiendo </w:t>
      </w:r>
      <w:r w:rsidR="00E41756">
        <w:rPr>
          <w:rFonts w:ascii="Verdana" w:hAnsi="Verdana"/>
          <w:sz w:val="20"/>
          <w:szCs w:val="20"/>
        </w:rPr>
        <w:t>[transcurrido]</w:t>
      </w:r>
      <w:r w:rsidRPr="004E289D">
        <w:rPr>
          <w:rFonts w:ascii="Verdana" w:hAnsi="Verdana"/>
          <w:sz w:val="20"/>
          <w:szCs w:val="20"/>
        </w:rPr>
        <w:t xml:space="preserve"> más de 20 años desde el primer acuerdo firmado con la Provincia de Salta y [cinco] años de</w:t>
      </w:r>
      <w:r w:rsidR="00E41756">
        <w:rPr>
          <w:rFonts w:ascii="Verdana" w:hAnsi="Verdana"/>
          <w:sz w:val="20"/>
          <w:szCs w:val="20"/>
        </w:rPr>
        <w:t>[sde la emisión d]</w:t>
      </w:r>
      <w:r w:rsidRPr="004E289D">
        <w:rPr>
          <w:rFonts w:ascii="Verdana" w:hAnsi="Verdana"/>
          <w:sz w:val="20"/>
          <w:szCs w:val="20"/>
        </w:rPr>
        <w:t xml:space="preserve">el Decreto 1498/14, las comunidades no han podido gozar de manera efectiva del territorio”. </w:t>
      </w:r>
    </w:p>
    <w:p w14:paraId="2451FD9D" w14:textId="77777777" w:rsidR="009805F2" w:rsidRPr="004E289D" w:rsidRDefault="009805F2" w:rsidP="009805F2">
      <w:pPr>
        <w:pStyle w:val="Prrafodelista"/>
        <w:spacing w:line="240" w:lineRule="auto"/>
        <w:rPr>
          <w:rFonts w:ascii="Verdana" w:hAnsi="Verdana"/>
          <w:sz w:val="20"/>
          <w:szCs w:val="20"/>
        </w:rPr>
      </w:pPr>
    </w:p>
    <w:p w14:paraId="787B2FB9" w14:textId="77777777" w:rsidR="009805F2"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4E289D">
        <w:rPr>
          <w:rFonts w:ascii="Verdana" w:hAnsi="Verdana"/>
          <w:sz w:val="20"/>
          <w:szCs w:val="20"/>
        </w:rPr>
        <w:t xml:space="preserve">Los </w:t>
      </w:r>
      <w:r w:rsidRPr="004E289D">
        <w:rPr>
          <w:rFonts w:ascii="Verdana" w:hAnsi="Verdana"/>
          <w:b/>
          <w:i/>
          <w:sz w:val="20"/>
          <w:szCs w:val="20"/>
        </w:rPr>
        <w:t>representantes</w:t>
      </w:r>
      <w:r w:rsidRPr="004E289D">
        <w:rPr>
          <w:rFonts w:ascii="Verdana" w:hAnsi="Verdana"/>
          <w:sz w:val="20"/>
          <w:szCs w:val="20"/>
        </w:rPr>
        <w:t xml:space="preserve"> alegaron la violación del derecho a la propiedad comunitaria por: a) la inefectividad de normas para permitir el goce efectivo del derecho; b) el dictado de normas contrarias a la vigencia del “derecho a la propiedad comunal”; c) “la implementación de una metodología de trabajo en terreno signada, primero, por la modificación sucesiva y unilateral de los procedimientos aplicables y, luego, por la decisión de sujetar […] el proceso a la voluntad de terceros” (pobladores criollos), y d) la falta “en […] Argentina y en Salta de un mecanismo institucional de demarcación y delimitación de los territorios”. Adujeron la violación a los mismos derechos y obligaciones que los indicados por la Comisión</w:t>
      </w:r>
      <w:r w:rsidRPr="0023124A">
        <w:rPr>
          <w:rStyle w:val="Refdenotaalpie"/>
          <w:rFonts w:ascii="Verdana" w:hAnsi="Verdana"/>
          <w:sz w:val="20"/>
        </w:rPr>
        <w:footnoteReference w:id="116"/>
      </w:r>
      <w:r w:rsidRPr="004E289D">
        <w:rPr>
          <w:rFonts w:ascii="Verdana" w:hAnsi="Verdana"/>
          <w:sz w:val="20"/>
          <w:szCs w:val="20"/>
        </w:rPr>
        <w:t xml:space="preserve">. </w:t>
      </w:r>
    </w:p>
    <w:p w14:paraId="28E2B52F" w14:textId="77777777" w:rsidR="009805F2" w:rsidRPr="001A0E24" w:rsidRDefault="009805F2" w:rsidP="009805F2">
      <w:pPr>
        <w:pStyle w:val="Prrafodelista"/>
        <w:spacing w:line="240" w:lineRule="auto"/>
        <w:rPr>
          <w:rFonts w:ascii="Verdana" w:hAnsi="Verdana"/>
          <w:sz w:val="20"/>
          <w:szCs w:val="20"/>
          <w:lang w:val="es-CR"/>
        </w:rPr>
      </w:pPr>
    </w:p>
    <w:p w14:paraId="1C4D91FC" w14:textId="20553B9B" w:rsidR="009805F2"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4E289D">
        <w:rPr>
          <w:rFonts w:ascii="Verdana" w:hAnsi="Verdana"/>
          <w:sz w:val="20"/>
          <w:szCs w:val="20"/>
        </w:rPr>
        <w:t xml:space="preserve">Los representantes </w:t>
      </w:r>
      <w:r w:rsidRPr="004E289D">
        <w:rPr>
          <w:rFonts w:ascii="Verdana" w:hAnsi="Verdana" w:cs="Tahoma"/>
          <w:sz w:val="20"/>
          <w:szCs w:val="20"/>
        </w:rPr>
        <w:t xml:space="preserve">precisaron que </w:t>
      </w:r>
      <w:r w:rsidRPr="004E289D">
        <w:rPr>
          <w:rFonts w:ascii="Verdana" w:hAnsi="Verdana"/>
          <w:sz w:val="20"/>
          <w:szCs w:val="20"/>
        </w:rPr>
        <w:t>el Estado no brindó un procedimiento efectivo que posibilit</w:t>
      </w:r>
      <w:r w:rsidR="00E41756">
        <w:rPr>
          <w:rFonts w:ascii="Verdana" w:hAnsi="Verdana"/>
          <w:sz w:val="20"/>
          <w:szCs w:val="20"/>
        </w:rPr>
        <w:t>ara</w:t>
      </w:r>
      <w:r w:rsidRPr="004E289D">
        <w:rPr>
          <w:rFonts w:ascii="Verdana" w:hAnsi="Verdana"/>
          <w:sz w:val="20"/>
          <w:szCs w:val="20"/>
        </w:rPr>
        <w:t xml:space="preserve"> la “delimitación, demarcación y titulación del territorio indígena” y que pu</w:t>
      </w:r>
      <w:r w:rsidR="00E41756">
        <w:rPr>
          <w:rFonts w:ascii="Verdana" w:hAnsi="Verdana"/>
          <w:sz w:val="20"/>
          <w:szCs w:val="20"/>
        </w:rPr>
        <w:t>diera</w:t>
      </w:r>
      <w:r w:rsidRPr="004E289D">
        <w:rPr>
          <w:rFonts w:ascii="Verdana" w:hAnsi="Verdana"/>
          <w:sz w:val="20"/>
          <w:szCs w:val="20"/>
        </w:rPr>
        <w:t xml:space="preserve"> dar “respuesta concreta a las reivindicaciones territoriales de las comunidades”,</w:t>
      </w:r>
      <w:r w:rsidRPr="004E289D">
        <w:rPr>
          <w:rFonts w:ascii="Verdana" w:hAnsi="Verdana"/>
          <w:i/>
          <w:sz w:val="20"/>
          <w:szCs w:val="20"/>
        </w:rPr>
        <w:t xml:space="preserve"> </w:t>
      </w:r>
      <w:r w:rsidRPr="004E289D">
        <w:rPr>
          <w:rFonts w:ascii="Verdana" w:hAnsi="Verdana"/>
          <w:sz w:val="20"/>
          <w:szCs w:val="20"/>
        </w:rPr>
        <w:t>inclusive respecto del “saneamiento del [territorio]”.</w:t>
      </w:r>
    </w:p>
    <w:p w14:paraId="66E63614" w14:textId="77777777" w:rsidR="009805F2" w:rsidRPr="004E289D" w:rsidRDefault="009805F2" w:rsidP="009805F2">
      <w:pPr>
        <w:pStyle w:val="Prrafodelista"/>
        <w:spacing w:line="240" w:lineRule="auto"/>
        <w:rPr>
          <w:rFonts w:ascii="Verdana" w:hAnsi="Verdana"/>
          <w:sz w:val="20"/>
          <w:szCs w:val="20"/>
        </w:rPr>
      </w:pPr>
    </w:p>
    <w:p w14:paraId="28B58CB0" w14:textId="77777777" w:rsidR="009805F2"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4E289D">
        <w:rPr>
          <w:rFonts w:ascii="Verdana" w:hAnsi="Verdana"/>
          <w:sz w:val="20"/>
          <w:szCs w:val="20"/>
        </w:rPr>
        <w:t>Indicaron que la violación del derecho de propiedad “se configura” dado que “las comunidades indígenas no cuentan aún con el título sobre su propiedad comunitaria</w:t>
      </w:r>
      <w:r>
        <w:rPr>
          <w:rFonts w:ascii="Verdana" w:hAnsi="Verdana"/>
          <w:sz w:val="20"/>
          <w:szCs w:val="20"/>
        </w:rPr>
        <w:t xml:space="preserve"> </w:t>
      </w:r>
      <w:r w:rsidRPr="004E289D">
        <w:rPr>
          <w:rFonts w:ascii="Verdana" w:hAnsi="Verdana"/>
          <w:sz w:val="20"/>
          <w:szCs w:val="20"/>
        </w:rPr>
        <w:t>[y e]stán lejos de terminarse los trabajos de demarcación y delimitación de sus territorios”.</w:t>
      </w:r>
      <w:r w:rsidRPr="004E289D">
        <w:rPr>
          <w:rFonts w:ascii="Verdana" w:hAnsi="Verdana"/>
          <w:b/>
          <w:szCs w:val="20"/>
        </w:rPr>
        <w:t xml:space="preserve"> </w:t>
      </w:r>
      <w:r w:rsidRPr="004E289D">
        <w:rPr>
          <w:rFonts w:ascii="Verdana" w:hAnsi="Verdana"/>
          <w:sz w:val="20"/>
          <w:szCs w:val="20"/>
        </w:rPr>
        <w:t xml:space="preserve">Enfatizaron que el título, para ser respetuoso de </w:t>
      </w:r>
      <w:r>
        <w:rPr>
          <w:rFonts w:ascii="Verdana" w:hAnsi="Verdana"/>
          <w:sz w:val="20"/>
          <w:szCs w:val="20"/>
        </w:rPr>
        <w:t>“</w:t>
      </w:r>
      <w:r w:rsidRPr="004E289D">
        <w:rPr>
          <w:rFonts w:ascii="Verdana" w:hAnsi="Verdana" w:cs="ArialNarrow-Bold"/>
          <w:bCs/>
          <w:sz w:val="20"/>
          <w:szCs w:val="20"/>
        </w:rPr>
        <w:t>tradiciones y pautas culturales” de las comunidades, debe ser “un solo título colectivo sin subdivisiones internas” o “parcelamiento[s] individual[es]”</w:t>
      </w:r>
      <w:r w:rsidRPr="0023124A">
        <w:rPr>
          <w:rStyle w:val="Refdenotaalpie"/>
          <w:rFonts w:ascii="Verdana" w:hAnsi="Verdana"/>
          <w:bCs/>
          <w:sz w:val="20"/>
        </w:rPr>
        <w:footnoteReference w:id="117"/>
      </w:r>
      <w:r w:rsidRPr="004E289D">
        <w:rPr>
          <w:rFonts w:ascii="Verdana" w:hAnsi="Verdana" w:cs="ArialNarrow-Bold"/>
          <w:bCs/>
          <w:sz w:val="20"/>
          <w:szCs w:val="20"/>
        </w:rPr>
        <w:t xml:space="preserve">. Señalaron que el Decreto 1498/14 no es equiparable a un título y que </w:t>
      </w:r>
      <w:r w:rsidRPr="004E289D">
        <w:rPr>
          <w:rFonts w:ascii="Verdana" w:hAnsi="Verdana"/>
          <w:sz w:val="20"/>
          <w:szCs w:val="20"/>
        </w:rPr>
        <w:t>“</w:t>
      </w:r>
      <w:r w:rsidRPr="004E289D">
        <w:rPr>
          <w:rFonts w:ascii="Verdana" w:hAnsi="Verdana" w:cs="ArialNarrow"/>
          <w:sz w:val="20"/>
          <w:szCs w:val="20"/>
        </w:rPr>
        <w:t xml:space="preserve">ha conformado un condominio entre comunidades […], familias criollas y la propia provincia de Salta sobre los […] lotes […] 55 y 14”. </w:t>
      </w:r>
    </w:p>
    <w:p w14:paraId="57E2F33C" w14:textId="77777777" w:rsidR="009805F2" w:rsidRPr="004E289D" w:rsidRDefault="009805F2" w:rsidP="009805F2">
      <w:pPr>
        <w:pStyle w:val="Prrafodelista"/>
        <w:spacing w:line="240" w:lineRule="auto"/>
        <w:rPr>
          <w:rFonts w:ascii="Verdana" w:hAnsi="Verdana"/>
          <w:sz w:val="20"/>
          <w:szCs w:val="20"/>
        </w:rPr>
      </w:pPr>
    </w:p>
    <w:p w14:paraId="389A2096" w14:textId="3B074DD1" w:rsidR="009805F2"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4E289D">
        <w:rPr>
          <w:rFonts w:ascii="Verdana" w:hAnsi="Verdana"/>
          <w:sz w:val="20"/>
          <w:szCs w:val="20"/>
        </w:rPr>
        <w:t xml:space="preserve">En relación con lo anterior, </w:t>
      </w:r>
      <w:r w:rsidR="00AF0065">
        <w:rPr>
          <w:rFonts w:ascii="Verdana" w:hAnsi="Verdana"/>
          <w:sz w:val="20"/>
          <w:szCs w:val="20"/>
        </w:rPr>
        <w:t>aseveraron</w:t>
      </w:r>
      <w:r w:rsidRPr="004E289D">
        <w:rPr>
          <w:rFonts w:ascii="Verdana" w:hAnsi="Verdana"/>
          <w:sz w:val="20"/>
          <w:szCs w:val="20"/>
        </w:rPr>
        <w:t xml:space="preserve"> que el Estado ha implementado una metodología de trabajo que desconoce el deber estatal de devolución de las tierras y territorios indígenas, pues solo se trabaja en el supuesto en el que existieren acuerdos de traslado entre indígenas y criollos. Afirmaron que </w:t>
      </w:r>
      <w:r w:rsidRPr="004E289D">
        <w:rPr>
          <w:rFonts w:ascii="Verdana" w:hAnsi="Verdana" w:cs="ArialNarrow"/>
          <w:sz w:val="20"/>
          <w:szCs w:val="20"/>
        </w:rPr>
        <w:t>el Estado, de este modo, al “</w:t>
      </w:r>
      <w:r w:rsidRPr="004E289D">
        <w:rPr>
          <w:rFonts w:ascii="Verdana" w:hAnsi="Verdana" w:cs="ArialNarrow-Bold"/>
          <w:bCs/>
          <w:sz w:val="20"/>
          <w:szCs w:val="20"/>
        </w:rPr>
        <w:t>no desarroll[ar] ningún mecanismo alternativo para garantizar los derechos territoriales para los supuestos en que no hubiere acuerdo”,</w:t>
      </w:r>
      <w:r w:rsidRPr="004E289D">
        <w:rPr>
          <w:rFonts w:ascii="Verdana" w:hAnsi="Verdana" w:cs="ArialNarrow-Bold"/>
          <w:b/>
          <w:bCs/>
          <w:sz w:val="20"/>
          <w:szCs w:val="20"/>
        </w:rPr>
        <w:t xml:space="preserve"> </w:t>
      </w:r>
      <w:r w:rsidRPr="004E289D">
        <w:rPr>
          <w:rFonts w:ascii="Verdana" w:hAnsi="Verdana" w:cs="ArialNarrow"/>
          <w:sz w:val="20"/>
          <w:szCs w:val="20"/>
        </w:rPr>
        <w:t>“</w:t>
      </w:r>
      <w:r w:rsidRPr="004E289D">
        <w:rPr>
          <w:rFonts w:ascii="Verdana" w:hAnsi="Verdana" w:cs="ArialNarrow-Bold"/>
          <w:bCs/>
          <w:sz w:val="20"/>
          <w:szCs w:val="20"/>
        </w:rPr>
        <w:t>pretende subsumir toda garantía de derechos de las comunidades indígenas a la voluntad de terceros”</w:t>
      </w:r>
      <w:r w:rsidRPr="00FB4A90">
        <w:rPr>
          <w:rStyle w:val="Refdenotaalpie"/>
          <w:bCs/>
        </w:rPr>
        <w:footnoteReference w:id="118"/>
      </w:r>
      <w:r w:rsidRPr="004E289D">
        <w:rPr>
          <w:rFonts w:ascii="Verdana" w:hAnsi="Verdana" w:cs="ArialNarrow-Bold"/>
          <w:bCs/>
          <w:sz w:val="20"/>
          <w:szCs w:val="20"/>
        </w:rPr>
        <w:t xml:space="preserve">. </w:t>
      </w:r>
      <w:r w:rsidRPr="004E289D">
        <w:rPr>
          <w:rFonts w:ascii="Verdana" w:hAnsi="Verdana" w:cs="Tahoma"/>
          <w:sz w:val="20"/>
          <w:szCs w:val="20"/>
        </w:rPr>
        <w:t>A</w:t>
      </w:r>
      <w:r w:rsidRPr="004E289D">
        <w:rPr>
          <w:rFonts w:ascii="Verdana" w:hAnsi="Verdana"/>
          <w:sz w:val="20"/>
          <w:szCs w:val="20"/>
        </w:rPr>
        <w:t xml:space="preserve">gregaron que se verificó una “gravísima” violación a los derechos políticos, producto del “fraudulento” referéndum celebrado en el año 2005. Sostuvieron </w:t>
      </w:r>
      <w:r w:rsidR="00AF0065">
        <w:rPr>
          <w:rFonts w:ascii="Verdana" w:hAnsi="Verdana"/>
          <w:sz w:val="20"/>
          <w:szCs w:val="20"/>
        </w:rPr>
        <w:t xml:space="preserve">que </w:t>
      </w:r>
      <w:r w:rsidRPr="004E289D">
        <w:rPr>
          <w:rFonts w:ascii="Verdana" w:hAnsi="Verdana"/>
          <w:sz w:val="20"/>
          <w:szCs w:val="20"/>
        </w:rPr>
        <w:t>no es posible someter a plebiscito la garantía y protección de los derechos fundamentales de las comunidades indígenas</w:t>
      </w:r>
      <w:r>
        <w:rPr>
          <w:rStyle w:val="Refdenotaalpie"/>
        </w:rPr>
        <w:footnoteReference w:id="119"/>
      </w:r>
      <w:r w:rsidRPr="004E289D">
        <w:rPr>
          <w:rFonts w:ascii="Verdana" w:hAnsi="Verdana"/>
          <w:sz w:val="20"/>
          <w:szCs w:val="20"/>
        </w:rPr>
        <w:t>.</w:t>
      </w:r>
    </w:p>
    <w:p w14:paraId="0BE0E187" w14:textId="77777777" w:rsidR="009805F2" w:rsidRPr="004E289D" w:rsidRDefault="009805F2" w:rsidP="009805F2">
      <w:pPr>
        <w:pStyle w:val="Prrafodelista"/>
        <w:spacing w:line="240" w:lineRule="auto"/>
        <w:rPr>
          <w:rFonts w:ascii="Verdana" w:hAnsi="Verdana"/>
          <w:sz w:val="20"/>
          <w:szCs w:val="20"/>
        </w:rPr>
      </w:pPr>
    </w:p>
    <w:p w14:paraId="4D38B303" w14:textId="2D45D57F" w:rsidR="009805F2" w:rsidRPr="004E289D"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4E289D">
        <w:rPr>
          <w:rFonts w:ascii="Verdana" w:hAnsi="Verdana"/>
          <w:sz w:val="20"/>
          <w:szCs w:val="20"/>
        </w:rPr>
        <w:t>Los representantes</w:t>
      </w:r>
      <w:r w:rsidRPr="004E289D">
        <w:rPr>
          <w:rFonts w:ascii="Verdana" w:hAnsi="Verdana"/>
          <w:b/>
          <w:i/>
          <w:sz w:val="20"/>
          <w:szCs w:val="20"/>
        </w:rPr>
        <w:t xml:space="preserve"> </w:t>
      </w:r>
      <w:r w:rsidRPr="004E289D">
        <w:rPr>
          <w:rFonts w:ascii="Verdana" w:hAnsi="Verdana"/>
          <w:sz w:val="20"/>
          <w:szCs w:val="20"/>
        </w:rPr>
        <w:t xml:space="preserve">alegaron también que el reconocimiento </w:t>
      </w:r>
      <w:r w:rsidR="00AF0065">
        <w:rPr>
          <w:rFonts w:ascii="Verdana" w:hAnsi="Verdana"/>
          <w:sz w:val="20"/>
          <w:szCs w:val="20"/>
        </w:rPr>
        <w:t>de</w:t>
      </w:r>
      <w:r w:rsidRPr="004E289D">
        <w:rPr>
          <w:rFonts w:ascii="Verdana" w:hAnsi="Verdana"/>
          <w:sz w:val="20"/>
          <w:szCs w:val="20"/>
        </w:rPr>
        <w:t xml:space="preserve"> la personalidad jurídica no ha sido efectivo, pues varias comunidades debieron organizarse en 1992 como asociación civil para obtener personería jurídica y gestionar el reclamo de la propiedad. Afirmaron que este tipo de asociaciones nada tiene que ver con la forma de organización de las comunidades indígenas. Explicaron que se realizó un pedido expreso al Ministerio de Asuntos Indígenas de Salta, el 23 de octubre de 2017, para que reconozca a Lhaka Honhat como una organización indígena con su personería jurídica respectiva. Señalaron que no ha habido respuesta. Aseveraron que “[e]</w:t>
      </w:r>
      <w:r w:rsidRPr="004E289D">
        <w:rPr>
          <w:rFonts w:ascii="Verdana" w:hAnsi="Verdana" w:cs="ArialNarrow"/>
          <w:sz w:val="20"/>
          <w:szCs w:val="20"/>
        </w:rPr>
        <w:t>l desconocimiento de la personalidad jurídica […], también interfiere en el ejercicio del derecho a la libertad de asociación, en tanto […] impide el ejercicio de las formas de asociación comunitarias, para la reivindicación territorial y cultural”.</w:t>
      </w:r>
      <w:r w:rsidRPr="004E289D">
        <w:rPr>
          <w:rFonts w:ascii="Verdana" w:eastAsia="Batang" w:hAnsi="Verdana" w:cs="Times"/>
          <w:sz w:val="20"/>
          <w:szCs w:val="20"/>
          <w:lang w:val="es-CR" w:eastAsia="es-CR"/>
        </w:rPr>
        <w:t xml:space="preserve"> </w:t>
      </w:r>
      <w:r w:rsidRPr="004E289D">
        <w:rPr>
          <w:rFonts w:ascii="Verdana" w:hAnsi="Verdana" w:cs="ArialNarrow"/>
          <w:sz w:val="20"/>
          <w:szCs w:val="20"/>
        </w:rPr>
        <w:t>Agregaron que “</w:t>
      </w:r>
      <w:r w:rsidRPr="004E289D">
        <w:rPr>
          <w:rFonts w:ascii="Verdana" w:hAnsi="Verdana"/>
          <w:sz w:val="20"/>
          <w:szCs w:val="20"/>
        </w:rPr>
        <w:t>la inscripción” en el Registro Nacional de Pueblos Indígenas (Re.No.Pi.), reglamentada por Resolución 328/2010 del INAI, “en nada resolvería la afectación de[l] derecho […] a la personalidad jurídica […] pues contiene una serie de exigencias y requisitos que no se adecuan a la forma de organización adoptada por Lhaka Honhat”</w:t>
      </w:r>
      <w:r w:rsidRPr="002B794A">
        <w:rPr>
          <w:rStyle w:val="Refdenotaalpie"/>
          <w:rFonts w:ascii="Verdana" w:hAnsi="Verdana"/>
          <w:sz w:val="20"/>
        </w:rPr>
        <w:footnoteReference w:id="120"/>
      </w:r>
      <w:r w:rsidRPr="004E289D">
        <w:rPr>
          <w:rFonts w:ascii="Verdana" w:hAnsi="Verdana"/>
          <w:sz w:val="20"/>
          <w:szCs w:val="20"/>
        </w:rPr>
        <w:t>. Además, hicieron notar que dicha Resolución es de 2010, y que para esa fecha, conforme sostuvieron, ya se había “consolidado” la violación al derecho a</w:t>
      </w:r>
      <w:r w:rsidR="00AF0065">
        <w:rPr>
          <w:rFonts w:ascii="Verdana" w:hAnsi="Verdana"/>
          <w:sz w:val="20"/>
          <w:szCs w:val="20"/>
        </w:rPr>
        <w:t>l reconocimiento de</w:t>
      </w:r>
      <w:r w:rsidRPr="004E289D">
        <w:rPr>
          <w:rFonts w:ascii="Verdana" w:hAnsi="Verdana"/>
          <w:sz w:val="20"/>
          <w:szCs w:val="20"/>
        </w:rPr>
        <w:t xml:space="preserve"> la personalidad jurídica.</w:t>
      </w:r>
      <w:r w:rsidRPr="004E289D">
        <w:rPr>
          <w:rFonts w:ascii="Verdana" w:hAnsi="Verdana"/>
          <w:b/>
          <w:sz w:val="20"/>
          <w:szCs w:val="20"/>
        </w:rPr>
        <w:t xml:space="preserve"> </w:t>
      </w:r>
    </w:p>
    <w:p w14:paraId="1338520F" w14:textId="77777777" w:rsidR="009805F2" w:rsidRDefault="009805F2" w:rsidP="009805F2">
      <w:pPr>
        <w:pStyle w:val="Prrafodelista"/>
        <w:spacing w:after="0" w:line="240" w:lineRule="auto"/>
        <w:ind w:left="0" w:right="6"/>
        <w:jc w:val="both"/>
        <w:rPr>
          <w:rFonts w:ascii="Verdana" w:eastAsia="Batang" w:hAnsi="Verdana" w:cs="Times"/>
          <w:sz w:val="20"/>
          <w:szCs w:val="20"/>
          <w:lang w:val="es-CR" w:eastAsia="es-CR"/>
        </w:rPr>
      </w:pPr>
    </w:p>
    <w:p w14:paraId="72B0C65D" w14:textId="2214857A" w:rsidR="009805F2"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4E289D">
        <w:rPr>
          <w:rFonts w:ascii="Verdana" w:hAnsi="Verdana"/>
          <w:sz w:val="20"/>
          <w:szCs w:val="20"/>
        </w:rPr>
        <w:t>Además de lo expuesto, los representantes sostuvieron que dada la presencia de población criolla hay una “falta de aseguramiento de los derechos de propiedad”. Señalaron que al 25 de mayo de 2018, de 282 familias criollas que debían relocalizarse, solo dos habían completado íntegramente el proceso</w:t>
      </w:r>
      <w:r w:rsidR="00810815">
        <w:rPr>
          <w:rFonts w:ascii="Verdana" w:hAnsi="Verdana"/>
          <w:sz w:val="20"/>
          <w:szCs w:val="20"/>
        </w:rPr>
        <w:t xml:space="preserve"> (</w:t>
      </w:r>
      <w:r w:rsidR="00810815">
        <w:rPr>
          <w:rFonts w:ascii="Verdana" w:hAnsi="Verdana"/>
          <w:i/>
          <w:sz w:val="20"/>
          <w:szCs w:val="20"/>
        </w:rPr>
        <w:t xml:space="preserve">infra </w:t>
      </w:r>
      <w:r w:rsidR="00810815">
        <w:rPr>
          <w:rFonts w:ascii="Verdana" w:hAnsi="Verdana"/>
          <w:sz w:val="20"/>
          <w:szCs w:val="20"/>
        </w:rPr>
        <w:t>nota a pie de página 143)</w:t>
      </w:r>
      <w:r w:rsidRPr="004E289D">
        <w:rPr>
          <w:rFonts w:ascii="Verdana" w:hAnsi="Verdana"/>
          <w:sz w:val="20"/>
          <w:szCs w:val="20"/>
        </w:rPr>
        <w:t xml:space="preserve">. </w:t>
      </w:r>
    </w:p>
    <w:p w14:paraId="02B6D17A" w14:textId="77777777" w:rsidR="009805F2" w:rsidRPr="004E289D" w:rsidRDefault="009805F2" w:rsidP="009805F2">
      <w:pPr>
        <w:pStyle w:val="Prrafodelista"/>
        <w:spacing w:line="240" w:lineRule="auto"/>
        <w:rPr>
          <w:rFonts w:ascii="Verdana" w:hAnsi="Verdana"/>
          <w:sz w:val="20"/>
          <w:szCs w:val="20"/>
        </w:rPr>
      </w:pPr>
    </w:p>
    <w:p w14:paraId="3A8EFA2E" w14:textId="77777777" w:rsidR="009805F2"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4E289D">
        <w:rPr>
          <w:rFonts w:ascii="Verdana" w:hAnsi="Verdana"/>
          <w:sz w:val="20"/>
          <w:szCs w:val="20"/>
        </w:rPr>
        <w:t>El</w:t>
      </w:r>
      <w:r w:rsidRPr="004E289D">
        <w:rPr>
          <w:rFonts w:ascii="Verdana" w:hAnsi="Verdana"/>
          <w:b/>
          <w:sz w:val="20"/>
          <w:szCs w:val="20"/>
        </w:rPr>
        <w:t xml:space="preserve"> </w:t>
      </w:r>
      <w:r w:rsidRPr="004E289D">
        <w:rPr>
          <w:rFonts w:ascii="Verdana" w:hAnsi="Verdana"/>
          <w:b/>
          <w:i/>
          <w:sz w:val="20"/>
          <w:szCs w:val="20"/>
        </w:rPr>
        <w:t xml:space="preserve">Estado </w:t>
      </w:r>
      <w:r w:rsidRPr="004E289D">
        <w:rPr>
          <w:rFonts w:ascii="Verdana" w:hAnsi="Verdana"/>
          <w:sz w:val="20"/>
          <w:szCs w:val="20"/>
        </w:rPr>
        <w:t>negó que se violaran derechos en relación con la tierra. Aseveró que</w:t>
      </w:r>
      <w:r w:rsidRPr="004E289D">
        <w:rPr>
          <w:rFonts w:ascii="Verdana" w:hAnsi="Verdana"/>
          <w:b/>
          <w:sz w:val="20"/>
          <w:szCs w:val="20"/>
        </w:rPr>
        <w:t xml:space="preserve"> </w:t>
      </w:r>
      <w:r w:rsidRPr="004E289D">
        <w:rPr>
          <w:rFonts w:ascii="Verdana" w:hAnsi="Verdana"/>
          <w:sz w:val="20"/>
          <w:szCs w:val="20"/>
        </w:rPr>
        <w:t xml:space="preserve">“no existen dudas sobre el reconocimiento del derecho de propiedad de las comunidades”, y que Argentina “[ha] trabaja[do] en forma […] ininterrumpida para lograr el goce pleno de todos los derechos”. Al respecto, destacó la “complejidad” del caso, que calificó de “extrema”, </w:t>
      </w:r>
      <w:r>
        <w:rPr>
          <w:rFonts w:ascii="Verdana" w:hAnsi="Verdana"/>
          <w:sz w:val="20"/>
          <w:szCs w:val="20"/>
        </w:rPr>
        <w:t>s</w:t>
      </w:r>
      <w:r w:rsidRPr="004E289D">
        <w:rPr>
          <w:rFonts w:ascii="Verdana" w:hAnsi="Verdana"/>
          <w:sz w:val="20"/>
          <w:szCs w:val="20"/>
        </w:rPr>
        <w:t xml:space="preserve">eñalando, entre otras razones, la presencia de “pobladores criollos con derechos en la zona”, la necesidad de “obras públicas” para “facilitar el traslado de pobladores”, la “problemática” de “competencias específicas” de Salta y el Estado Nacional y “la complejidad que aporta la aparición de nuevas comunidades que quizás en el futuro no quieran ser parte de un título único”. </w:t>
      </w:r>
    </w:p>
    <w:p w14:paraId="1A208DC8" w14:textId="77777777" w:rsidR="009805F2" w:rsidRPr="004E289D" w:rsidRDefault="009805F2" w:rsidP="009805F2">
      <w:pPr>
        <w:pStyle w:val="Prrafodelista"/>
        <w:spacing w:line="240" w:lineRule="auto"/>
        <w:rPr>
          <w:rFonts w:ascii="Verdana" w:hAnsi="Verdana"/>
          <w:sz w:val="20"/>
          <w:szCs w:val="20"/>
        </w:rPr>
      </w:pPr>
    </w:p>
    <w:p w14:paraId="6DEBFEAE" w14:textId="58D6FF66" w:rsidR="009805F2"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4E289D">
        <w:rPr>
          <w:rFonts w:ascii="Verdana" w:hAnsi="Verdana"/>
          <w:sz w:val="20"/>
          <w:szCs w:val="20"/>
        </w:rPr>
        <w:t>El Estado desarrolló sus argumentos, manifestando que reconoció el derecho de propiedad de las comunidades mediante diversos actos</w:t>
      </w:r>
      <w:r w:rsidRPr="0023124A">
        <w:rPr>
          <w:rStyle w:val="Refdenotaalpie"/>
          <w:rFonts w:ascii="Verdana" w:hAnsi="Verdana"/>
          <w:sz w:val="20"/>
        </w:rPr>
        <w:footnoteReference w:id="121"/>
      </w:r>
      <w:r w:rsidRPr="004E289D">
        <w:rPr>
          <w:rFonts w:ascii="Verdana" w:hAnsi="Verdana"/>
          <w:sz w:val="20"/>
          <w:szCs w:val="20"/>
        </w:rPr>
        <w:t xml:space="preserve">. Afirmó que “[las comunidades] ya poseen el título único a partir del decreto provincial 1498/14”. Sostuvo </w:t>
      </w:r>
      <w:r w:rsidRPr="004E289D">
        <w:rPr>
          <w:rFonts w:ascii="Verdana" w:hAnsi="Verdana"/>
          <w:sz w:val="20"/>
          <w:szCs w:val="20"/>
        </w:rPr>
        <w:lastRenderedPageBreak/>
        <w:t xml:space="preserve">que “[e]l criterio de reconocimiento de las tierras […] se basó en la legislación provincial, nacional e internacional, que reconoce como territorio de las [c]omunidades las [á]reas de [u]so [t]radicional”. </w:t>
      </w:r>
      <w:r w:rsidRPr="004E289D">
        <w:rPr>
          <w:rFonts w:ascii="Verdana" w:hAnsi="Verdana" w:cs="Tahoma"/>
          <w:sz w:val="20"/>
          <w:szCs w:val="20"/>
        </w:rPr>
        <w:t>Argentina</w:t>
      </w:r>
      <w:r w:rsidRPr="004E289D">
        <w:rPr>
          <w:rFonts w:ascii="Verdana" w:hAnsi="Verdana"/>
          <w:sz w:val="20"/>
          <w:szCs w:val="20"/>
        </w:rPr>
        <w:t xml:space="preserve"> </w:t>
      </w:r>
      <w:r w:rsidR="00AF0065">
        <w:rPr>
          <w:rFonts w:ascii="Verdana" w:hAnsi="Verdana"/>
          <w:sz w:val="20"/>
          <w:szCs w:val="20"/>
        </w:rPr>
        <w:t>agregó</w:t>
      </w:r>
      <w:r w:rsidRPr="004E289D">
        <w:rPr>
          <w:rFonts w:ascii="Verdana" w:hAnsi="Verdana"/>
          <w:sz w:val="20"/>
          <w:szCs w:val="20"/>
        </w:rPr>
        <w:t xml:space="preserve"> que “se han destinado invariable</w:t>
      </w:r>
      <w:r>
        <w:rPr>
          <w:rFonts w:ascii="Verdana" w:hAnsi="Verdana"/>
          <w:sz w:val="20"/>
          <w:szCs w:val="20"/>
        </w:rPr>
        <w:t>mente</w:t>
      </w:r>
      <w:r w:rsidRPr="004E289D">
        <w:rPr>
          <w:rFonts w:ascii="Verdana" w:hAnsi="Verdana"/>
          <w:sz w:val="20"/>
          <w:szCs w:val="20"/>
        </w:rPr>
        <w:t xml:space="preserve"> recursos económicos y humanos en pos del histórico proceso de regularización de tierras”. </w:t>
      </w:r>
      <w:r w:rsidRPr="004E289D">
        <w:rPr>
          <w:rFonts w:ascii="Verdana" w:hAnsi="Verdana" w:cs="Tahoma"/>
          <w:sz w:val="20"/>
          <w:szCs w:val="20"/>
        </w:rPr>
        <w:t>P</w:t>
      </w:r>
      <w:r w:rsidRPr="004E289D">
        <w:rPr>
          <w:rFonts w:ascii="Verdana" w:hAnsi="Verdana"/>
          <w:sz w:val="20"/>
          <w:szCs w:val="20"/>
        </w:rPr>
        <w:t>or otra parte, s</w:t>
      </w:r>
      <w:r w:rsidR="00AF0065">
        <w:rPr>
          <w:rFonts w:ascii="Verdana" w:hAnsi="Verdana"/>
          <w:sz w:val="20"/>
          <w:szCs w:val="20"/>
        </w:rPr>
        <w:t>eñaló</w:t>
      </w:r>
      <w:r w:rsidRPr="004E289D">
        <w:rPr>
          <w:rFonts w:ascii="Verdana" w:hAnsi="Verdana"/>
          <w:sz w:val="20"/>
          <w:szCs w:val="20"/>
        </w:rPr>
        <w:t xml:space="preserve"> que el referéndum careció de efectos por lo que la Corte no debe pronunciarse en cuanto a dicha situación</w:t>
      </w:r>
      <w:r>
        <w:rPr>
          <w:rStyle w:val="Refdenotaalpie"/>
        </w:rPr>
        <w:footnoteReference w:id="122"/>
      </w:r>
      <w:r w:rsidRPr="004E289D">
        <w:rPr>
          <w:rFonts w:ascii="Verdana" w:hAnsi="Verdana"/>
          <w:sz w:val="20"/>
          <w:szCs w:val="20"/>
        </w:rPr>
        <w:t xml:space="preserve">. </w:t>
      </w:r>
    </w:p>
    <w:p w14:paraId="11964EED" w14:textId="77777777" w:rsidR="009805F2" w:rsidRPr="004E289D" w:rsidRDefault="009805F2" w:rsidP="009805F2">
      <w:pPr>
        <w:pStyle w:val="Prrafodelista"/>
        <w:spacing w:line="240" w:lineRule="auto"/>
        <w:rPr>
          <w:rFonts w:ascii="Verdana" w:hAnsi="Verdana"/>
          <w:sz w:val="20"/>
          <w:szCs w:val="20"/>
        </w:rPr>
      </w:pPr>
    </w:p>
    <w:p w14:paraId="4E5E9B5C" w14:textId="77777777" w:rsidR="009805F2" w:rsidRPr="004E289D"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4E289D">
        <w:rPr>
          <w:rFonts w:ascii="Verdana" w:hAnsi="Verdana"/>
          <w:sz w:val="20"/>
          <w:szCs w:val="20"/>
        </w:rPr>
        <w:t>Argentina explicó que está desarrollando una metodología de trabajo participativa de acuerdo entre partes (criollos e indígenas), trabajando con base en el mapa presentado por los “peticionarios”. Esta “metodología”, explicó, implica el “diálogo” entre comunidades indígenas y familias criollas. Argentina solicitó a la Corte que “tenga en cuenta las características del conflicto y la forma racional de resolverlo, debiendo observar los avances que se han logrado para hallar una solución pacífica y participativa”. Destacó que “con los acuerdos alcanzados se logró delimitar el territorio”, y que “la demarcación de[l mismo] debe contar con la participación de todas las partes involucradas”</w:t>
      </w:r>
      <w:r w:rsidRPr="00FB4A90">
        <w:rPr>
          <w:rStyle w:val="Refdenotaalpie"/>
        </w:rPr>
        <w:footnoteReference w:id="123"/>
      </w:r>
      <w:r w:rsidRPr="004E289D">
        <w:rPr>
          <w:rFonts w:ascii="Verdana" w:hAnsi="Verdana"/>
          <w:sz w:val="20"/>
          <w:szCs w:val="20"/>
        </w:rPr>
        <w:t>. Explicó que para “la entrega del título único a las comunidades indígenas en el que no figuren como condóminos las familias criollas […] resulta fundamental que todos los acuerdos de parte hayan sido firmados, lo que implica una participación activa entre las comunidades y los criollos, por lo que su concreción depende en gran medida de la voluntad de esas partes”. Agregó que “[t]ambién es indispensable que sean realizadas las mensuras y el amojonamiento, así como la firma de la escritura traslativa de dominio a favor de las familias criollas. Cumplido este último acto formal, las familias criollas dejarán de figurar como titulares registrales de los […] lotes [14 y 55]”. Señaló también que el proceso de “relocalización” tiene dificultades</w:t>
      </w:r>
      <w:r w:rsidRPr="00FB4A90">
        <w:rPr>
          <w:rStyle w:val="Refdenotaalpie"/>
        </w:rPr>
        <w:footnoteReference w:id="124"/>
      </w:r>
      <w:r w:rsidRPr="004E289D">
        <w:rPr>
          <w:rFonts w:ascii="Verdana" w:hAnsi="Verdana"/>
          <w:sz w:val="20"/>
          <w:szCs w:val="20"/>
        </w:rPr>
        <w:t xml:space="preserve">. </w:t>
      </w:r>
    </w:p>
    <w:p w14:paraId="1E7AFA48" w14:textId="77777777" w:rsidR="009805F2" w:rsidRDefault="009805F2" w:rsidP="009805F2">
      <w:pPr>
        <w:pStyle w:val="Prrafodelista"/>
        <w:spacing w:after="0" w:line="240" w:lineRule="auto"/>
        <w:ind w:left="0" w:right="6"/>
        <w:jc w:val="both"/>
        <w:rPr>
          <w:rFonts w:ascii="Verdana" w:eastAsia="Batang" w:hAnsi="Verdana" w:cs="Times"/>
          <w:sz w:val="20"/>
          <w:szCs w:val="20"/>
          <w:lang w:val="es-CR" w:eastAsia="es-CR"/>
        </w:rPr>
      </w:pPr>
    </w:p>
    <w:p w14:paraId="6EE0582C" w14:textId="4CC8C7F9" w:rsidR="009805F2"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4E289D">
        <w:rPr>
          <w:rFonts w:ascii="Verdana" w:hAnsi="Verdana"/>
          <w:sz w:val="20"/>
          <w:szCs w:val="20"/>
        </w:rPr>
        <w:t>El Estado recordó que el artículo 21 de la Convención indica la posibilidad de subordinar el uso y goce de los bienes al “interés social”, y entendió que el mismo en el caso se “configura” no solo por comunidades indígenas vinculadas a Lhaka Honat, sino también por otras que no lo están y por familias criollas. Adujo que quienes integran las familias criollas son “pobladores rurales vulnerables”. Aseveró que deb</w:t>
      </w:r>
      <w:r w:rsidR="006D44A9">
        <w:rPr>
          <w:rFonts w:ascii="Verdana" w:hAnsi="Verdana"/>
          <w:sz w:val="20"/>
          <w:szCs w:val="20"/>
        </w:rPr>
        <w:t xml:space="preserve">e armonizar los derechos de </w:t>
      </w:r>
      <w:r w:rsidRPr="004E289D">
        <w:rPr>
          <w:rFonts w:ascii="Verdana" w:hAnsi="Verdana"/>
          <w:sz w:val="20"/>
          <w:szCs w:val="20"/>
        </w:rPr>
        <w:t>las comunidades indígenas agrupadas en la Asociación Lhaka Honhat</w:t>
      </w:r>
      <w:r w:rsidR="006D44A9">
        <w:rPr>
          <w:rFonts w:ascii="Verdana" w:hAnsi="Verdana"/>
          <w:sz w:val="20"/>
          <w:szCs w:val="20"/>
        </w:rPr>
        <w:t xml:space="preserve"> con los</w:t>
      </w:r>
      <w:r w:rsidRPr="004E289D">
        <w:rPr>
          <w:rFonts w:ascii="Verdana" w:hAnsi="Verdana"/>
          <w:sz w:val="20"/>
          <w:szCs w:val="20"/>
        </w:rPr>
        <w:t xml:space="preserve"> de las comunidades indígenas que no están representadas por esta Asociación</w:t>
      </w:r>
      <w:r w:rsidRPr="00FB4A90">
        <w:rPr>
          <w:rStyle w:val="Refdenotaalpie"/>
        </w:rPr>
        <w:footnoteReference w:id="125"/>
      </w:r>
      <w:r w:rsidR="00AF0065">
        <w:rPr>
          <w:rFonts w:ascii="Verdana" w:hAnsi="Verdana"/>
          <w:sz w:val="20"/>
          <w:szCs w:val="20"/>
        </w:rPr>
        <w:t>, así como</w:t>
      </w:r>
      <w:r w:rsidR="00DB6CFE">
        <w:rPr>
          <w:rFonts w:ascii="Verdana" w:hAnsi="Verdana"/>
          <w:sz w:val="20"/>
          <w:szCs w:val="20"/>
        </w:rPr>
        <w:t xml:space="preserve"> con</w:t>
      </w:r>
      <w:r w:rsidRPr="004E289D">
        <w:rPr>
          <w:rFonts w:ascii="Verdana" w:hAnsi="Verdana"/>
          <w:sz w:val="20"/>
          <w:szCs w:val="20"/>
        </w:rPr>
        <w:t xml:space="preserve"> los</w:t>
      </w:r>
      <w:r w:rsidR="00DB6CFE">
        <w:rPr>
          <w:rFonts w:ascii="Verdana" w:hAnsi="Verdana"/>
          <w:sz w:val="20"/>
          <w:szCs w:val="20"/>
        </w:rPr>
        <w:t xml:space="preserve"> de</w:t>
      </w:r>
      <w:r w:rsidRPr="004E289D">
        <w:rPr>
          <w:rFonts w:ascii="Verdana" w:hAnsi="Verdana"/>
          <w:sz w:val="20"/>
          <w:szCs w:val="20"/>
        </w:rPr>
        <w:t xml:space="preserve"> pobladores criollos. En ese sentido, manifestó que “debe garantizar </w:t>
      </w:r>
      <w:r w:rsidRPr="004E289D">
        <w:rPr>
          <w:rFonts w:ascii="Verdana" w:hAnsi="Verdana"/>
          <w:sz w:val="20"/>
          <w:szCs w:val="20"/>
        </w:rPr>
        <w:lastRenderedPageBreak/>
        <w:t xml:space="preserve">también el derecho de los campesinos a acceder a la titularización de las tierras que habitan históricamente” y que ese derecho “se garantiza atendiendo a las demandas de [las comunidades indígenas] y en total acuerdo con l[a]s mism[a]s”. </w:t>
      </w:r>
    </w:p>
    <w:p w14:paraId="2FA37CC8" w14:textId="77777777" w:rsidR="009805F2" w:rsidRPr="004E289D" w:rsidRDefault="009805F2" w:rsidP="009805F2">
      <w:pPr>
        <w:pStyle w:val="Prrafodelista"/>
        <w:spacing w:line="240" w:lineRule="auto"/>
        <w:rPr>
          <w:rFonts w:ascii="Verdana" w:hAnsi="Verdana"/>
          <w:sz w:val="20"/>
          <w:szCs w:val="20"/>
        </w:rPr>
      </w:pPr>
    </w:p>
    <w:p w14:paraId="2DF6D49B" w14:textId="77777777" w:rsidR="009805F2" w:rsidRPr="004E289D"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4E289D">
        <w:rPr>
          <w:rFonts w:ascii="Verdana" w:hAnsi="Verdana"/>
          <w:sz w:val="20"/>
          <w:szCs w:val="20"/>
        </w:rPr>
        <w:t>En cuanto a los alegatos sobre presunta vulneración al derecho al reconocimiento de personalidad jurídica y a la libertad de asociación, Argentina</w:t>
      </w:r>
      <w:r w:rsidRPr="004E289D">
        <w:rPr>
          <w:rFonts w:ascii="Verdana" w:hAnsi="Verdana"/>
          <w:b/>
          <w:i/>
          <w:sz w:val="20"/>
          <w:szCs w:val="20"/>
        </w:rPr>
        <w:t xml:space="preserve"> </w:t>
      </w:r>
      <w:r w:rsidRPr="004E289D">
        <w:rPr>
          <w:rFonts w:ascii="Verdana" w:hAnsi="Verdana"/>
          <w:sz w:val="20"/>
          <w:szCs w:val="20"/>
        </w:rPr>
        <w:t>explicó que el Re.No.Pi. fue creado para la inscripción de organizaciones de pueblos indígenas y Lhaka Honhat nunca solicitó la inscripción. Señaló además que “la estructura organizativa actual, no [….] afecta [a Lhaka Honhat]”.</w:t>
      </w:r>
      <w:r w:rsidRPr="004E289D">
        <w:rPr>
          <w:rFonts w:ascii="Verdana" w:hAnsi="Verdana"/>
          <w:b/>
          <w:sz w:val="20"/>
          <w:szCs w:val="20"/>
        </w:rPr>
        <w:t xml:space="preserve"> </w:t>
      </w:r>
      <w:r w:rsidRPr="004E289D">
        <w:rPr>
          <w:rFonts w:ascii="Verdana" w:hAnsi="Verdana"/>
          <w:sz w:val="20"/>
          <w:szCs w:val="20"/>
        </w:rPr>
        <w:t xml:space="preserve">Adujo Argentina que el hecho de que Salta haya reconocido a las comunidades indígenas su derecho a la propiedad comunitaria, mediante Decreto 1.498/14, así como el diálogo “permanente” de la UEP con las comunidades, denotan la falta de violación de la personalidad jurídica. </w:t>
      </w:r>
      <w:r w:rsidRPr="004E289D">
        <w:rPr>
          <w:rFonts w:ascii="Verdana" w:eastAsia="Batang" w:hAnsi="Verdana" w:cs="Times"/>
          <w:sz w:val="20"/>
          <w:szCs w:val="20"/>
          <w:lang w:val="es-CR" w:eastAsia="es-CR"/>
        </w:rPr>
        <w:t>E</w:t>
      </w:r>
      <w:r w:rsidRPr="004E289D">
        <w:rPr>
          <w:rFonts w:ascii="Verdana" w:hAnsi="Verdana"/>
          <w:sz w:val="20"/>
          <w:szCs w:val="20"/>
        </w:rPr>
        <w:t>n sus alegatos finales escritos, de 3 de junio de 2019, señaló que “las presuntas víctimas desde hace aproximadamente diez años pudieron inscribirse adoptando la forma organizativa acorde a sus tradiciones sin necesitar organizarse a través de formas asociativas extrañas a su cultura”.</w:t>
      </w:r>
      <w:r w:rsidRPr="004E289D">
        <w:rPr>
          <w:rFonts w:ascii="Verdana" w:hAnsi="Verdana"/>
          <w:b/>
          <w:sz w:val="20"/>
          <w:szCs w:val="20"/>
        </w:rPr>
        <w:t xml:space="preserve"> </w:t>
      </w:r>
    </w:p>
    <w:p w14:paraId="714710E0" w14:textId="77777777" w:rsidR="009805F2" w:rsidRDefault="009805F2" w:rsidP="009805F2">
      <w:pPr>
        <w:pStyle w:val="Prrafodelista"/>
        <w:spacing w:after="0" w:line="240" w:lineRule="auto"/>
        <w:rPr>
          <w:rFonts w:ascii="Verdana" w:hAnsi="Verdana" w:cs="Tahoma"/>
          <w:sz w:val="20"/>
          <w:szCs w:val="20"/>
        </w:rPr>
      </w:pPr>
    </w:p>
    <w:p w14:paraId="4E5F6805" w14:textId="77777777" w:rsidR="009805F2" w:rsidRPr="002A21F3" w:rsidRDefault="009805F2" w:rsidP="009805F2">
      <w:pPr>
        <w:pStyle w:val="Ttulo3"/>
        <w:spacing w:before="0" w:line="240" w:lineRule="auto"/>
        <w:ind w:left="567"/>
        <w:rPr>
          <w:rFonts w:ascii="Verdana" w:hAnsi="Verdana"/>
          <w:b/>
          <w:i/>
          <w:color w:val="auto"/>
          <w:sz w:val="20"/>
          <w:szCs w:val="20"/>
        </w:rPr>
      </w:pPr>
      <w:bookmarkStart w:id="133" w:name="_Toc32218843"/>
      <w:bookmarkStart w:id="134" w:name="_Toc32227116"/>
      <w:bookmarkStart w:id="135" w:name="_Toc34337545"/>
      <w:bookmarkStart w:id="136" w:name="_Toc22224890"/>
      <w:r w:rsidRPr="002A21F3">
        <w:rPr>
          <w:rFonts w:ascii="Verdana" w:hAnsi="Verdana"/>
          <w:b/>
          <w:i/>
          <w:color w:val="auto"/>
          <w:sz w:val="20"/>
          <w:szCs w:val="20"/>
        </w:rPr>
        <w:t>B.2 Consideraciones de la Corte</w:t>
      </w:r>
      <w:bookmarkEnd w:id="133"/>
      <w:bookmarkEnd w:id="134"/>
      <w:bookmarkEnd w:id="135"/>
      <w:r w:rsidRPr="002A21F3">
        <w:rPr>
          <w:rFonts w:ascii="Verdana" w:hAnsi="Verdana"/>
          <w:b/>
          <w:i/>
          <w:color w:val="auto"/>
          <w:sz w:val="20"/>
          <w:szCs w:val="20"/>
        </w:rPr>
        <w:t xml:space="preserve"> </w:t>
      </w:r>
      <w:bookmarkEnd w:id="136"/>
    </w:p>
    <w:p w14:paraId="3D267164" w14:textId="77777777" w:rsidR="009805F2" w:rsidRPr="00DD537B" w:rsidRDefault="009805F2" w:rsidP="009805F2">
      <w:pPr>
        <w:pStyle w:val="Prrafodelista"/>
        <w:tabs>
          <w:tab w:val="left" w:pos="6912"/>
        </w:tabs>
        <w:autoSpaceDE w:val="0"/>
        <w:autoSpaceDN w:val="0"/>
        <w:adjustRightInd w:val="0"/>
        <w:spacing w:after="0" w:line="240" w:lineRule="auto"/>
        <w:jc w:val="both"/>
        <w:rPr>
          <w:rFonts w:ascii="Verdana" w:hAnsi="Verdana"/>
          <w:sz w:val="20"/>
          <w:szCs w:val="20"/>
        </w:rPr>
      </w:pPr>
      <w:r>
        <w:rPr>
          <w:rFonts w:ascii="Verdana" w:hAnsi="Verdana"/>
          <w:sz w:val="20"/>
          <w:szCs w:val="20"/>
        </w:rPr>
        <w:tab/>
      </w:r>
    </w:p>
    <w:p w14:paraId="06D8E08C" w14:textId="77777777" w:rsidR="009805F2" w:rsidRPr="0065466C" w:rsidRDefault="009805F2" w:rsidP="009805F2">
      <w:pPr>
        <w:pStyle w:val="Prrafodelista"/>
        <w:spacing w:after="0" w:line="240" w:lineRule="auto"/>
        <w:ind w:left="851"/>
        <w:jc w:val="both"/>
        <w:outlineLvl w:val="3"/>
        <w:rPr>
          <w:rFonts w:ascii="Verdana" w:hAnsi="Verdana"/>
          <w:i/>
          <w:sz w:val="20"/>
          <w:szCs w:val="20"/>
        </w:rPr>
      </w:pPr>
      <w:bookmarkStart w:id="137" w:name="_Toc22224893"/>
      <w:bookmarkStart w:id="138" w:name="_Toc32218844"/>
      <w:bookmarkStart w:id="139" w:name="_Toc32227117"/>
      <w:bookmarkStart w:id="140" w:name="_Toc34337546"/>
      <w:r w:rsidRPr="0065466C">
        <w:rPr>
          <w:rFonts w:ascii="Verdana" w:hAnsi="Verdana"/>
          <w:i/>
          <w:sz w:val="20"/>
          <w:szCs w:val="20"/>
        </w:rPr>
        <w:t xml:space="preserve">B.2.1 </w:t>
      </w:r>
      <w:r w:rsidRPr="002A21F3">
        <w:rPr>
          <w:rFonts w:ascii="Verdana" w:hAnsi="Verdana"/>
          <w:i/>
          <w:sz w:val="20"/>
          <w:szCs w:val="20"/>
          <w:u w:val="single"/>
        </w:rPr>
        <w:t>Aclaración sobre los actos estatales en el caso y el examen correspondiente</w:t>
      </w:r>
      <w:bookmarkEnd w:id="137"/>
      <w:bookmarkEnd w:id="138"/>
      <w:bookmarkEnd w:id="139"/>
      <w:bookmarkEnd w:id="140"/>
    </w:p>
    <w:p w14:paraId="492B1ED2" w14:textId="77777777" w:rsidR="009805F2" w:rsidRPr="004E289D" w:rsidRDefault="009805F2" w:rsidP="009805F2">
      <w:pPr>
        <w:pStyle w:val="Prrafodelista"/>
        <w:spacing w:after="0" w:line="240" w:lineRule="auto"/>
        <w:rPr>
          <w:rFonts w:ascii="Verdana" w:hAnsi="Verdana" w:cs="Tahoma"/>
          <w:sz w:val="20"/>
          <w:szCs w:val="20"/>
        </w:rPr>
      </w:pPr>
    </w:p>
    <w:p w14:paraId="164A2E77" w14:textId="77777777" w:rsidR="009805F2" w:rsidRPr="004E289D"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4E289D">
        <w:rPr>
          <w:rFonts w:ascii="Verdana" w:hAnsi="Verdana" w:cs="Tahoma"/>
          <w:sz w:val="20"/>
          <w:szCs w:val="20"/>
        </w:rPr>
        <w:t>Se ha dejado sentado que el derecho de propiedad de las comunidades indígenas sobre su territorio ancestral no está en discusión y ha sido reconocido en distintos actos estatales (</w:t>
      </w:r>
      <w:r w:rsidRPr="004E289D">
        <w:rPr>
          <w:rFonts w:ascii="Verdana" w:hAnsi="Verdana" w:cs="Tahoma"/>
          <w:i/>
          <w:sz w:val="20"/>
          <w:szCs w:val="20"/>
        </w:rPr>
        <w:t xml:space="preserve">supra </w:t>
      </w:r>
      <w:r w:rsidRPr="004E289D">
        <w:rPr>
          <w:rFonts w:ascii="Verdana" w:hAnsi="Verdana" w:cs="Tahoma"/>
          <w:sz w:val="20"/>
          <w:szCs w:val="20"/>
        </w:rPr>
        <w:t xml:space="preserve">párr. </w:t>
      </w:r>
      <w:r>
        <w:rPr>
          <w:rFonts w:ascii="Verdana" w:hAnsi="Verdana" w:cs="Tahoma"/>
          <w:sz w:val="20"/>
          <w:szCs w:val="20"/>
        </w:rPr>
        <w:t>89</w:t>
      </w:r>
      <w:r w:rsidRPr="004E289D">
        <w:rPr>
          <w:rFonts w:ascii="Verdana" w:hAnsi="Verdana" w:cs="Tahoma"/>
          <w:sz w:val="20"/>
          <w:szCs w:val="20"/>
        </w:rPr>
        <w:t>). Ello, además, será detallado más adelante (</w:t>
      </w:r>
      <w:r w:rsidRPr="004E289D">
        <w:rPr>
          <w:rFonts w:ascii="Verdana" w:hAnsi="Verdana" w:cs="Tahoma"/>
          <w:i/>
          <w:sz w:val="20"/>
          <w:szCs w:val="20"/>
        </w:rPr>
        <w:t xml:space="preserve">infra </w:t>
      </w:r>
      <w:r w:rsidRPr="004E289D">
        <w:rPr>
          <w:rFonts w:ascii="Verdana" w:hAnsi="Verdana" w:cs="Tahoma"/>
          <w:sz w:val="20"/>
          <w:szCs w:val="20"/>
        </w:rPr>
        <w:t>párrs.</w:t>
      </w:r>
      <w:r>
        <w:rPr>
          <w:rFonts w:ascii="Verdana" w:hAnsi="Verdana" w:cs="Tahoma"/>
          <w:sz w:val="20"/>
          <w:szCs w:val="20"/>
        </w:rPr>
        <w:t xml:space="preserve"> 130, 145, 146, 149, 156 y 167</w:t>
      </w:r>
      <w:r w:rsidRPr="004E289D">
        <w:rPr>
          <w:rFonts w:ascii="Verdana" w:hAnsi="Verdana" w:cs="Tahoma"/>
          <w:sz w:val="20"/>
          <w:szCs w:val="20"/>
        </w:rPr>
        <w:t xml:space="preserve">). La cuestión que la </w:t>
      </w:r>
      <w:r w:rsidRPr="004E289D">
        <w:rPr>
          <w:rFonts w:ascii="Verdana" w:hAnsi="Verdana" w:cs="Tahoma"/>
          <w:b/>
          <w:i/>
          <w:sz w:val="20"/>
          <w:szCs w:val="20"/>
        </w:rPr>
        <w:t xml:space="preserve">Corte </w:t>
      </w:r>
      <w:r w:rsidRPr="004E289D">
        <w:rPr>
          <w:rFonts w:ascii="Verdana" w:hAnsi="Verdana" w:cs="Tahoma"/>
          <w:sz w:val="20"/>
          <w:szCs w:val="20"/>
        </w:rPr>
        <w:t xml:space="preserve">debe determinar es si la conducta estatal seguida en el caso </w:t>
      </w:r>
      <w:r>
        <w:rPr>
          <w:rFonts w:ascii="Verdana" w:hAnsi="Verdana" w:cs="Tahoma"/>
          <w:sz w:val="20"/>
          <w:szCs w:val="20"/>
        </w:rPr>
        <w:t xml:space="preserve">ha </w:t>
      </w:r>
      <w:r w:rsidRPr="004E289D">
        <w:rPr>
          <w:rFonts w:ascii="Verdana" w:hAnsi="Verdana" w:cs="Tahoma"/>
          <w:sz w:val="20"/>
          <w:szCs w:val="20"/>
        </w:rPr>
        <w:t>brind</w:t>
      </w:r>
      <w:r>
        <w:rPr>
          <w:rFonts w:ascii="Verdana" w:hAnsi="Verdana" w:cs="Tahoma"/>
          <w:sz w:val="20"/>
          <w:szCs w:val="20"/>
        </w:rPr>
        <w:t>ado</w:t>
      </w:r>
      <w:r w:rsidRPr="004E289D">
        <w:rPr>
          <w:rFonts w:ascii="Verdana" w:hAnsi="Verdana" w:cs="Tahoma"/>
          <w:sz w:val="20"/>
          <w:szCs w:val="20"/>
        </w:rPr>
        <w:t xml:space="preserve"> seguridad jurídica adecuada al derecho de propiedad comunitaria y si </w:t>
      </w:r>
      <w:r>
        <w:rPr>
          <w:rFonts w:ascii="Verdana" w:hAnsi="Verdana" w:cs="Tahoma"/>
          <w:sz w:val="20"/>
          <w:szCs w:val="20"/>
        </w:rPr>
        <w:t xml:space="preserve">ha </w:t>
      </w:r>
      <w:r w:rsidRPr="004E289D">
        <w:rPr>
          <w:rFonts w:ascii="Verdana" w:hAnsi="Verdana" w:cs="Tahoma"/>
          <w:sz w:val="20"/>
          <w:szCs w:val="20"/>
        </w:rPr>
        <w:t>permiti</w:t>
      </w:r>
      <w:r>
        <w:rPr>
          <w:rFonts w:ascii="Verdana" w:hAnsi="Verdana" w:cs="Tahoma"/>
          <w:sz w:val="20"/>
          <w:szCs w:val="20"/>
        </w:rPr>
        <w:t>do</w:t>
      </w:r>
      <w:r w:rsidRPr="004E289D">
        <w:rPr>
          <w:rFonts w:ascii="Verdana" w:hAnsi="Verdana" w:cs="Tahoma"/>
          <w:sz w:val="20"/>
          <w:szCs w:val="20"/>
        </w:rPr>
        <w:t xml:space="preserve"> el libre ejercicio y goce de ese derecho por parte de las comunidades indígenas. </w:t>
      </w:r>
    </w:p>
    <w:p w14:paraId="36E54C58" w14:textId="77777777" w:rsidR="009805F2" w:rsidRDefault="009805F2" w:rsidP="009805F2">
      <w:pPr>
        <w:pStyle w:val="Prrafodelista"/>
        <w:spacing w:after="0" w:line="240" w:lineRule="auto"/>
        <w:ind w:left="0" w:right="6"/>
        <w:jc w:val="both"/>
        <w:rPr>
          <w:rFonts w:ascii="Verdana" w:eastAsia="Batang" w:hAnsi="Verdana" w:cs="Times"/>
          <w:sz w:val="20"/>
          <w:szCs w:val="20"/>
          <w:lang w:val="es-CR" w:eastAsia="es-CR"/>
        </w:rPr>
      </w:pPr>
    </w:p>
    <w:p w14:paraId="15AE9FE4" w14:textId="2439FC0D" w:rsidR="009805F2"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4E289D">
        <w:rPr>
          <w:rFonts w:ascii="Verdana" w:hAnsi="Verdana"/>
          <w:sz w:val="20"/>
          <w:szCs w:val="20"/>
        </w:rPr>
        <w:t>Al respecto,</w:t>
      </w:r>
      <w:r w:rsidRPr="004E289D">
        <w:rPr>
          <w:rFonts w:ascii="Verdana" w:hAnsi="Verdana"/>
          <w:b/>
          <w:sz w:val="20"/>
          <w:szCs w:val="20"/>
        </w:rPr>
        <w:t xml:space="preserve"> </w:t>
      </w:r>
      <w:r>
        <w:rPr>
          <w:rFonts w:ascii="Verdana" w:hAnsi="Verdana"/>
          <w:sz w:val="20"/>
          <w:szCs w:val="20"/>
        </w:rPr>
        <w:t>de conformidad con las pautas</w:t>
      </w:r>
      <w:r w:rsidRPr="004E289D">
        <w:rPr>
          <w:rFonts w:ascii="Verdana" w:hAnsi="Verdana"/>
          <w:sz w:val="20"/>
          <w:szCs w:val="20"/>
        </w:rPr>
        <w:t xml:space="preserve"> ya indicad</w:t>
      </w:r>
      <w:r>
        <w:rPr>
          <w:rFonts w:ascii="Verdana" w:hAnsi="Verdana"/>
          <w:sz w:val="20"/>
          <w:szCs w:val="20"/>
        </w:rPr>
        <w:t>as</w:t>
      </w:r>
      <w:r w:rsidRPr="004E289D">
        <w:rPr>
          <w:rFonts w:ascii="Verdana" w:hAnsi="Verdana"/>
          <w:sz w:val="20"/>
          <w:szCs w:val="20"/>
        </w:rPr>
        <w:t xml:space="preserve"> (</w:t>
      </w:r>
      <w:r w:rsidRPr="004E289D">
        <w:rPr>
          <w:rFonts w:ascii="Verdana" w:hAnsi="Verdana"/>
          <w:i/>
          <w:sz w:val="20"/>
          <w:szCs w:val="20"/>
        </w:rPr>
        <w:t xml:space="preserve">supra </w:t>
      </w:r>
      <w:r w:rsidRPr="004E289D">
        <w:rPr>
          <w:rFonts w:ascii="Verdana" w:hAnsi="Verdana"/>
          <w:sz w:val="20"/>
          <w:szCs w:val="20"/>
        </w:rPr>
        <w:t>párr</w:t>
      </w:r>
      <w:r>
        <w:rPr>
          <w:rFonts w:ascii="Verdana" w:hAnsi="Verdana"/>
          <w:sz w:val="20"/>
          <w:szCs w:val="20"/>
        </w:rPr>
        <w:t>s</w:t>
      </w:r>
      <w:r w:rsidRPr="004E289D">
        <w:rPr>
          <w:rFonts w:ascii="Verdana" w:hAnsi="Verdana"/>
          <w:sz w:val="20"/>
          <w:szCs w:val="20"/>
        </w:rPr>
        <w:t xml:space="preserve">. </w:t>
      </w:r>
      <w:r>
        <w:rPr>
          <w:rFonts w:ascii="Verdana" w:hAnsi="Verdana"/>
          <w:sz w:val="20"/>
          <w:szCs w:val="20"/>
        </w:rPr>
        <w:t>93 a 98</w:t>
      </w:r>
      <w:r w:rsidRPr="004E289D">
        <w:rPr>
          <w:rFonts w:ascii="Verdana" w:hAnsi="Verdana"/>
          <w:sz w:val="20"/>
          <w:szCs w:val="20"/>
        </w:rPr>
        <w:t>)</w:t>
      </w:r>
      <w:r>
        <w:rPr>
          <w:rFonts w:ascii="Verdana" w:hAnsi="Verdana"/>
          <w:sz w:val="20"/>
          <w:szCs w:val="20"/>
        </w:rPr>
        <w:t>,</w:t>
      </w:r>
      <w:r w:rsidRPr="004E289D">
        <w:rPr>
          <w:rFonts w:ascii="Verdana" w:hAnsi="Verdana"/>
          <w:sz w:val="20"/>
          <w:szCs w:val="20"/>
        </w:rPr>
        <w:t xml:space="preserve"> </w:t>
      </w:r>
      <w:r>
        <w:rPr>
          <w:rFonts w:ascii="Verdana" w:hAnsi="Verdana"/>
          <w:sz w:val="20"/>
          <w:szCs w:val="20"/>
        </w:rPr>
        <w:t xml:space="preserve">la Corte ha indicado </w:t>
      </w:r>
      <w:r w:rsidRPr="004E289D">
        <w:rPr>
          <w:rFonts w:ascii="Verdana" w:hAnsi="Verdana"/>
          <w:sz w:val="20"/>
          <w:szCs w:val="20"/>
        </w:rPr>
        <w:t>que las comunidades indígenas tienen derecho al otorgamiento de un “título de propiedad formal, u otra forma similar de reconocimiento estatal, que otorgue seguridad jurídica a la tenencia indígena de la tierra frente a la acción de terceros o de los agentes del propio Estado”</w:t>
      </w:r>
      <w:r w:rsidRPr="00592C27">
        <w:rPr>
          <w:rStyle w:val="Refdenotaalpie"/>
        </w:rPr>
        <w:footnoteReference w:id="126"/>
      </w:r>
      <w:r w:rsidRPr="004E289D">
        <w:rPr>
          <w:rFonts w:ascii="Verdana" w:hAnsi="Verdana"/>
          <w:sz w:val="20"/>
          <w:szCs w:val="20"/>
        </w:rPr>
        <w:t>.</w:t>
      </w:r>
      <w:r w:rsidR="005B2C74">
        <w:rPr>
          <w:rFonts w:ascii="Verdana" w:hAnsi="Verdana"/>
          <w:sz w:val="20"/>
          <w:szCs w:val="20"/>
        </w:rPr>
        <w:t xml:space="preserve"> </w:t>
      </w:r>
      <w:r w:rsidRPr="004E289D">
        <w:rPr>
          <w:rFonts w:ascii="Verdana" w:hAnsi="Verdana"/>
          <w:sz w:val="20"/>
          <w:szCs w:val="20"/>
        </w:rPr>
        <w:t>En este marco, deben reconocerse</w:t>
      </w:r>
      <w:r w:rsidRPr="004E289D">
        <w:rPr>
          <w:rFonts w:ascii="Verdana" w:hAnsi="Verdana"/>
          <w:color w:val="000000"/>
          <w:sz w:val="20"/>
          <w:szCs w:val="20"/>
        </w:rPr>
        <w:t xml:space="preserve"> las formas y modalidades diversas y específicas de control, propiedad, uso y goce de los territorios por parte de las comunidades</w:t>
      </w:r>
      <w:r>
        <w:rPr>
          <w:rStyle w:val="Refdenotaalpie"/>
          <w:color w:val="000000"/>
        </w:rPr>
        <w:footnoteReference w:id="127"/>
      </w:r>
      <w:r w:rsidRPr="004E289D">
        <w:rPr>
          <w:rFonts w:ascii="Verdana" w:hAnsi="Verdana"/>
          <w:color w:val="000000"/>
          <w:sz w:val="20"/>
          <w:szCs w:val="20"/>
          <w:lang w:val="es-MX"/>
        </w:rPr>
        <w:t>, sin interferencia de terceros (</w:t>
      </w:r>
      <w:r w:rsidRPr="004E289D">
        <w:rPr>
          <w:rFonts w:ascii="Verdana" w:hAnsi="Verdana"/>
          <w:i/>
          <w:color w:val="000000"/>
          <w:sz w:val="20"/>
          <w:szCs w:val="20"/>
          <w:lang w:val="es-MX"/>
        </w:rPr>
        <w:t xml:space="preserve">supra </w:t>
      </w:r>
      <w:r w:rsidRPr="004E289D">
        <w:rPr>
          <w:rFonts w:ascii="Verdana" w:hAnsi="Verdana"/>
          <w:color w:val="000000"/>
          <w:sz w:val="20"/>
          <w:szCs w:val="20"/>
          <w:lang w:val="es-MX"/>
        </w:rPr>
        <w:t xml:space="preserve">párr. </w:t>
      </w:r>
      <w:r>
        <w:rPr>
          <w:rFonts w:ascii="Verdana" w:hAnsi="Verdana"/>
          <w:color w:val="000000"/>
          <w:sz w:val="20"/>
          <w:szCs w:val="20"/>
          <w:lang w:val="es-MX"/>
        </w:rPr>
        <w:t>98</w:t>
      </w:r>
      <w:r w:rsidRPr="004E289D">
        <w:rPr>
          <w:rFonts w:ascii="Verdana" w:hAnsi="Verdana"/>
          <w:color w:val="000000"/>
          <w:sz w:val="20"/>
          <w:szCs w:val="20"/>
          <w:lang w:val="es-MX"/>
        </w:rPr>
        <w:t>)</w:t>
      </w:r>
      <w:r>
        <w:rPr>
          <w:rFonts w:ascii="Verdana" w:hAnsi="Verdana"/>
          <w:color w:val="000000"/>
          <w:sz w:val="20"/>
          <w:szCs w:val="20"/>
          <w:lang w:val="es-MX"/>
        </w:rPr>
        <w:t>.</w:t>
      </w:r>
      <w:r w:rsidRPr="004E289D">
        <w:rPr>
          <w:rFonts w:ascii="Verdana" w:hAnsi="Verdana"/>
          <w:color w:val="000000"/>
          <w:sz w:val="20"/>
          <w:szCs w:val="20"/>
          <w:lang w:val="es-MX"/>
        </w:rPr>
        <w:t xml:space="preserve"> </w:t>
      </w:r>
    </w:p>
    <w:p w14:paraId="6738B216" w14:textId="77777777" w:rsidR="009805F2" w:rsidRPr="004E289D" w:rsidRDefault="009805F2" w:rsidP="009805F2">
      <w:pPr>
        <w:pStyle w:val="Prrafodelista"/>
        <w:spacing w:line="240" w:lineRule="auto"/>
        <w:rPr>
          <w:rFonts w:ascii="Verdana" w:hAnsi="Verdana"/>
          <w:sz w:val="20"/>
          <w:szCs w:val="20"/>
        </w:rPr>
      </w:pPr>
    </w:p>
    <w:p w14:paraId="0514E20B" w14:textId="58115483" w:rsidR="009805F2"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4E289D">
        <w:rPr>
          <w:rFonts w:ascii="Verdana" w:hAnsi="Verdana"/>
          <w:sz w:val="20"/>
          <w:szCs w:val="20"/>
        </w:rPr>
        <w:t>Como se ha expresado (</w:t>
      </w:r>
      <w:r w:rsidRPr="004E289D">
        <w:rPr>
          <w:rFonts w:ascii="Verdana" w:hAnsi="Verdana"/>
          <w:i/>
          <w:sz w:val="20"/>
          <w:szCs w:val="20"/>
        </w:rPr>
        <w:t xml:space="preserve">supra </w:t>
      </w:r>
      <w:r w:rsidRPr="004E289D">
        <w:rPr>
          <w:rFonts w:ascii="Verdana" w:hAnsi="Verdana"/>
          <w:sz w:val="20"/>
          <w:szCs w:val="20"/>
        </w:rPr>
        <w:t xml:space="preserve">párr. </w:t>
      </w:r>
      <w:r>
        <w:rPr>
          <w:rFonts w:ascii="Verdana" w:hAnsi="Verdana"/>
          <w:sz w:val="20"/>
          <w:szCs w:val="20"/>
        </w:rPr>
        <w:t>97</w:t>
      </w:r>
      <w:r w:rsidRPr="004E289D">
        <w:rPr>
          <w:rFonts w:ascii="Verdana" w:hAnsi="Verdana"/>
          <w:sz w:val="20"/>
          <w:szCs w:val="20"/>
        </w:rPr>
        <w:t>), para materializar los derechos territoriales de los pueblos indígenas cobijados por el artículo 21 de la Convención, los Estados deben prever un mecanismo efectivo, mediante la adopción de medidas legislativas y administrativas necesarias. Los mismos</w:t>
      </w:r>
      <w:r w:rsidRPr="004E289D">
        <w:rPr>
          <w:rFonts w:ascii="Verdana" w:hAnsi="Verdana"/>
          <w:sz w:val="20"/>
          <w:szCs w:val="20"/>
          <w:lang w:val="es-CR"/>
        </w:rPr>
        <w:t xml:space="preserve"> deben cumplir las reglas del debido proceso legal consagradas en los artículos 8 y 25 de la Convención Americana</w:t>
      </w:r>
      <w:r>
        <w:rPr>
          <w:rStyle w:val="Refdenotaalpie"/>
          <w:rFonts w:ascii="Verdana" w:hAnsi="Verdana"/>
          <w:sz w:val="20"/>
          <w:lang w:val="es-CR"/>
        </w:rPr>
        <w:footnoteReference w:id="128"/>
      </w:r>
      <w:r w:rsidRPr="004E289D">
        <w:rPr>
          <w:rFonts w:ascii="Verdana" w:hAnsi="Verdana"/>
          <w:sz w:val="20"/>
          <w:szCs w:val="20"/>
          <w:lang w:val="es-CR"/>
        </w:rPr>
        <w:t>.</w:t>
      </w:r>
      <w:r w:rsidRPr="004E289D">
        <w:rPr>
          <w:rFonts w:ascii="Verdana" w:hAnsi="Verdana" w:cs="Tahoma"/>
          <w:sz w:val="20"/>
          <w:szCs w:val="20"/>
        </w:rPr>
        <w:t xml:space="preserve"> </w:t>
      </w:r>
      <w:r w:rsidRPr="004E289D">
        <w:rPr>
          <w:rFonts w:ascii="Verdana" w:hAnsi="Verdana"/>
          <w:sz w:val="20"/>
          <w:szCs w:val="20"/>
        </w:rPr>
        <w:t xml:space="preserve">En </w:t>
      </w:r>
      <w:r w:rsidRPr="004E289D">
        <w:rPr>
          <w:rFonts w:ascii="Verdana" w:hAnsi="Verdana"/>
          <w:sz w:val="20"/>
          <w:szCs w:val="20"/>
        </w:rPr>
        <w:lastRenderedPageBreak/>
        <w:t>virtud del artículo 2 de la Convención, los Estados deben adaptar su derecho interno para que estos mecanismos existan y sean adecuados</w:t>
      </w:r>
      <w:r>
        <w:rPr>
          <w:rStyle w:val="Refdenotaalpie"/>
          <w:rFonts w:ascii="Verdana" w:hAnsi="Verdana"/>
          <w:sz w:val="20"/>
        </w:rPr>
        <w:footnoteReference w:id="129"/>
      </w:r>
      <w:r w:rsidRPr="004E289D">
        <w:rPr>
          <w:rFonts w:ascii="Verdana" w:hAnsi="Verdana"/>
          <w:sz w:val="20"/>
          <w:szCs w:val="20"/>
        </w:rPr>
        <w:t xml:space="preserve"> y efectivos: deben suponer una posibilidad real para que las comunidades puedan defender sus derechos y ejercer el control efectivo de su territorio, sin ninguna interferencia externa</w:t>
      </w:r>
      <w:r w:rsidRPr="006012A8">
        <w:rPr>
          <w:rStyle w:val="Refdenotaalpie"/>
          <w:rFonts w:ascii="Verdana" w:hAnsi="Verdana"/>
          <w:sz w:val="20"/>
        </w:rPr>
        <w:footnoteReference w:id="130"/>
      </w:r>
      <w:r w:rsidRPr="004E289D">
        <w:rPr>
          <w:rFonts w:ascii="Verdana" w:hAnsi="Verdana"/>
          <w:sz w:val="20"/>
          <w:szCs w:val="20"/>
        </w:rPr>
        <w:t>. Asimismo, debe dejarse dicho que los pueblos indígenas tienen derecho a no ser sujetos a una demora irrazonable para una solución definitiva de su reclamo</w:t>
      </w:r>
      <w:r w:rsidRPr="008E3DF2">
        <w:rPr>
          <w:rStyle w:val="Refdenotaalpie"/>
          <w:rFonts w:ascii="Verdana" w:hAnsi="Verdana"/>
          <w:sz w:val="20"/>
        </w:rPr>
        <w:footnoteReference w:id="131"/>
      </w:r>
      <w:r w:rsidRPr="004E289D">
        <w:rPr>
          <w:rFonts w:ascii="Verdana" w:hAnsi="Verdana"/>
          <w:sz w:val="20"/>
          <w:szCs w:val="20"/>
        </w:rPr>
        <w:t xml:space="preserve">. </w:t>
      </w:r>
    </w:p>
    <w:p w14:paraId="0D3070A1" w14:textId="77777777" w:rsidR="009805F2" w:rsidRPr="004E289D" w:rsidRDefault="009805F2" w:rsidP="009805F2">
      <w:pPr>
        <w:pStyle w:val="Prrafodelista"/>
        <w:spacing w:line="240" w:lineRule="auto"/>
        <w:rPr>
          <w:rFonts w:ascii="Verdana" w:hAnsi="Verdana" w:cs="Tahoma"/>
          <w:sz w:val="20"/>
          <w:szCs w:val="20"/>
        </w:rPr>
      </w:pPr>
    </w:p>
    <w:p w14:paraId="165D7F8C" w14:textId="4AB19F5E" w:rsidR="009805F2"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4E289D">
        <w:rPr>
          <w:rFonts w:ascii="Verdana" w:hAnsi="Verdana" w:cs="Tahoma"/>
          <w:sz w:val="20"/>
          <w:szCs w:val="20"/>
        </w:rPr>
        <w:t>Las pautas anteriores deben ser confrontadas con lo que ha sucedido en el caso. Este Tribunal nota que, como se explicará, el Estado ha reconocido la propiedad comunitaria. Debe analizarse si ello se realizó en forma adecuad</w:t>
      </w:r>
      <w:r w:rsidRPr="005B2C74">
        <w:rPr>
          <w:rFonts w:ascii="Verdana" w:hAnsi="Verdana" w:cs="Tahoma"/>
          <w:sz w:val="20"/>
          <w:szCs w:val="20"/>
        </w:rPr>
        <w:t>a</w:t>
      </w:r>
      <w:r w:rsidR="00DB6CFE" w:rsidRPr="005B2C74">
        <w:rPr>
          <w:rFonts w:ascii="Verdana" w:hAnsi="Verdana" w:cs="Tahoma"/>
          <w:sz w:val="20"/>
          <w:szCs w:val="20"/>
        </w:rPr>
        <w:t>, compatible con la Convención</w:t>
      </w:r>
      <w:r w:rsidRPr="005B2C74">
        <w:rPr>
          <w:rFonts w:ascii="Verdana" w:hAnsi="Verdana" w:cs="Tahoma"/>
          <w:sz w:val="20"/>
          <w:szCs w:val="20"/>
        </w:rPr>
        <w:t>. En ese sentido, ha habido distintos actos estatales</w:t>
      </w:r>
      <w:r w:rsidRPr="004E289D">
        <w:rPr>
          <w:rFonts w:ascii="Verdana" w:hAnsi="Verdana" w:cs="Tahoma"/>
          <w:sz w:val="20"/>
          <w:szCs w:val="20"/>
        </w:rPr>
        <w:t xml:space="preserve"> relacionados con el reconocimiento de la propiedad, aunque los mismos no han sido el resultado del desarrollo de un procedimiento reglado, establecido en forma legal y previa. Lo que ha existido es un reclamo de</w:t>
      </w:r>
      <w:r w:rsidR="00AF0065">
        <w:rPr>
          <w:rFonts w:ascii="Verdana" w:hAnsi="Verdana" w:cs="Tahoma"/>
          <w:sz w:val="20"/>
          <w:szCs w:val="20"/>
        </w:rPr>
        <w:t xml:space="preserve"> la propiedad por parte de </w:t>
      </w:r>
      <w:r w:rsidRPr="004E289D">
        <w:rPr>
          <w:rFonts w:ascii="Verdana" w:hAnsi="Verdana" w:cs="Tahoma"/>
          <w:sz w:val="20"/>
          <w:szCs w:val="20"/>
        </w:rPr>
        <w:t xml:space="preserve">comunidades indígenas, formalizado en 1991, y luego una interacción entre las comunidades y el gobierno, cuyo derrotero a lo largo de los años ha presentado diversas incidencias, y en el que ha habido intervención de la población criolla y </w:t>
      </w:r>
      <w:r>
        <w:rPr>
          <w:rFonts w:ascii="Verdana" w:hAnsi="Verdana" w:cs="Tahoma"/>
          <w:sz w:val="20"/>
          <w:szCs w:val="20"/>
        </w:rPr>
        <w:t>varios</w:t>
      </w:r>
      <w:r w:rsidRPr="004E289D">
        <w:rPr>
          <w:rFonts w:ascii="Verdana" w:hAnsi="Verdana" w:cs="Tahoma"/>
          <w:sz w:val="20"/>
          <w:szCs w:val="20"/>
        </w:rPr>
        <w:t xml:space="preserve"> acuerdos con la misma, refrendados por actos normativos estatales. Esa interacción, que no se llevó a cabo siguiendo pautas procedimentales preestablecidas legalmente, derivó en distintos actos de gobierno: básicamente, Decretos del Poder Ejecutivo salteño, que en distinto modo fueron avanzando en el reconocimiento de la propiedad. </w:t>
      </w:r>
    </w:p>
    <w:p w14:paraId="1BF2D409" w14:textId="77777777" w:rsidR="009805F2" w:rsidRPr="004E289D" w:rsidRDefault="009805F2" w:rsidP="009805F2">
      <w:pPr>
        <w:pStyle w:val="Prrafodelista"/>
        <w:spacing w:line="240" w:lineRule="auto"/>
        <w:rPr>
          <w:rFonts w:ascii="Verdana" w:hAnsi="Verdana" w:cs="Tahoma"/>
          <w:sz w:val="20"/>
          <w:szCs w:val="20"/>
        </w:rPr>
      </w:pPr>
    </w:p>
    <w:p w14:paraId="4DBD1D42" w14:textId="77777777" w:rsidR="009805F2"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4E289D">
        <w:rPr>
          <w:rFonts w:ascii="Verdana" w:hAnsi="Verdana" w:cs="Tahoma"/>
          <w:sz w:val="20"/>
          <w:szCs w:val="20"/>
        </w:rPr>
        <w:t>Ahora bien, se ha señalado que en virtud de la conjunción de los artículos 2, 8, 21 y 25 de la Convención, los Estados deben prever en su derecho interno procedimientos aptos para viabilizar reclamos territoriales indígenas</w:t>
      </w:r>
      <w:r>
        <w:rPr>
          <w:rFonts w:ascii="Verdana" w:hAnsi="Verdana" w:cs="Tahoma"/>
          <w:sz w:val="20"/>
          <w:szCs w:val="20"/>
        </w:rPr>
        <w:t xml:space="preserve"> (</w:t>
      </w:r>
      <w:r>
        <w:rPr>
          <w:rFonts w:ascii="Verdana" w:hAnsi="Verdana" w:cs="Tahoma"/>
          <w:i/>
          <w:sz w:val="20"/>
          <w:szCs w:val="20"/>
        </w:rPr>
        <w:t>supra</w:t>
      </w:r>
      <w:r>
        <w:rPr>
          <w:rFonts w:ascii="Verdana" w:hAnsi="Verdana" w:cs="Tahoma"/>
          <w:sz w:val="20"/>
          <w:szCs w:val="20"/>
        </w:rPr>
        <w:t xml:space="preserve"> párr. 116)</w:t>
      </w:r>
      <w:r w:rsidRPr="004E289D">
        <w:rPr>
          <w:rFonts w:ascii="Verdana" w:hAnsi="Verdana" w:cs="Tahoma"/>
          <w:sz w:val="20"/>
          <w:szCs w:val="20"/>
        </w:rPr>
        <w:t xml:space="preserve">. No obstante, si en un caso concreto el Estado satisfizo de otro modo el derecho de propiedad comunitaria, no resulta necesario examinar si su legislación interna general resulta adecuada al deber mencionado. Caso contrario, si se concluye que el derecho no </w:t>
      </w:r>
      <w:r>
        <w:rPr>
          <w:rFonts w:ascii="Verdana" w:hAnsi="Verdana" w:cs="Tahoma"/>
          <w:sz w:val="20"/>
          <w:szCs w:val="20"/>
        </w:rPr>
        <w:t>ha sido</w:t>
      </w:r>
      <w:r w:rsidRPr="004E289D">
        <w:rPr>
          <w:rFonts w:ascii="Verdana" w:hAnsi="Verdana" w:cs="Tahoma"/>
          <w:sz w:val="20"/>
          <w:szCs w:val="20"/>
        </w:rPr>
        <w:t xml:space="preserve"> satisfecho, sí es relevante analizar si en ello </w:t>
      </w:r>
      <w:r>
        <w:rPr>
          <w:rFonts w:ascii="Verdana" w:hAnsi="Verdana" w:cs="Tahoma"/>
          <w:sz w:val="20"/>
          <w:szCs w:val="20"/>
        </w:rPr>
        <w:t>ha tenido</w:t>
      </w:r>
      <w:r w:rsidRPr="004E289D">
        <w:rPr>
          <w:rFonts w:ascii="Verdana" w:hAnsi="Verdana" w:cs="Tahoma"/>
          <w:sz w:val="20"/>
          <w:szCs w:val="20"/>
        </w:rPr>
        <w:t xml:space="preserve"> incidencia el orden jurídico general en sus aspectos relevantes. </w:t>
      </w:r>
    </w:p>
    <w:p w14:paraId="6B184B75" w14:textId="77777777" w:rsidR="009805F2" w:rsidRPr="004E289D" w:rsidRDefault="009805F2" w:rsidP="009805F2">
      <w:pPr>
        <w:pStyle w:val="Prrafodelista"/>
        <w:spacing w:line="240" w:lineRule="auto"/>
        <w:rPr>
          <w:rFonts w:ascii="Verdana" w:hAnsi="Verdana" w:cs="Tahoma"/>
          <w:sz w:val="20"/>
          <w:szCs w:val="20"/>
        </w:rPr>
      </w:pPr>
    </w:p>
    <w:p w14:paraId="1E13C995" w14:textId="34AD2488" w:rsidR="009805F2"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4E289D">
        <w:rPr>
          <w:rFonts w:ascii="Verdana" w:hAnsi="Verdana" w:cs="Tahoma"/>
          <w:sz w:val="20"/>
          <w:szCs w:val="20"/>
        </w:rPr>
        <w:t>Por ello, la Corte examinará</w:t>
      </w:r>
      <w:r w:rsidR="00884D97">
        <w:rPr>
          <w:rFonts w:ascii="Verdana" w:hAnsi="Verdana" w:cs="Tahoma"/>
          <w:sz w:val="20"/>
          <w:szCs w:val="20"/>
        </w:rPr>
        <w:t>,</w:t>
      </w:r>
      <w:r w:rsidRPr="004E289D">
        <w:rPr>
          <w:rFonts w:ascii="Verdana" w:hAnsi="Verdana" w:cs="Tahoma"/>
          <w:sz w:val="20"/>
          <w:szCs w:val="20"/>
        </w:rPr>
        <w:t xml:space="preserve"> en primer término</w:t>
      </w:r>
      <w:r w:rsidR="00884D97">
        <w:rPr>
          <w:rFonts w:ascii="Verdana" w:hAnsi="Verdana" w:cs="Tahoma"/>
          <w:sz w:val="20"/>
          <w:szCs w:val="20"/>
        </w:rPr>
        <w:t>,</w:t>
      </w:r>
      <w:r w:rsidRPr="004E289D">
        <w:rPr>
          <w:rFonts w:ascii="Verdana" w:hAnsi="Verdana" w:cs="Tahoma"/>
          <w:sz w:val="20"/>
          <w:szCs w:val="20"/>
        </w:rPr>
        <w:t xml:space="preserve"> si Argentina </w:t>
      </w:r>
      <w:r>
        <w:rPr>
          <w:rFonts w:ascii="Verdana" w:hAnsi="Verdana" w:cs="Tahoma"/>
          <w:sz w:val="20"/>
          <w:szCs w:val="20"/>
        </w:rPr>
        <w:t xml:space="preserve">ha </w:t>
      </w:r>
      <w:r w:rsidRPr="004E289D">
        <w:rPr>
          <w:rFonts w:ascii="Verdana" w:hAnsi="Verdana" w:cs="Tahoma"/>
          <w:sz w:val="20"/>
          <w:szCs w:val="20"/>
        </w:rPr>
        <w:t>garantiz</w:t>
      </w:r>
      <w:r>
        <w:rPr>
          <w:rFonts w:ascii="Verdana" w:hAnsi="Verdana" w:cs="Tahoma"/>
          <w:sz w:val="20"/>
          <w:szCs w:val="20"/>
        </w:rPr>
        <w:t>ado</w:t>
      </w:r>
      <w:r w:rsidRPr="004E289D">
        <w:rPr>
          <w:rFonts w:ascii="Verdana" w:hAnsi="Verdana" w:cs="Tahoma"/>
          <w:sz w:val="20"/>
          <w:szCs w:val="20"/>
        </w:rPr>
        <w:t xml:space="preserve"> de modo adecuado el derecho de propiedad</w:t>
      </w:r>
      <w:r w:rsidR="00884D97">
        <w:rPr>
          <w:rFonts w:ascii="Verdana" w:hAnsi="Verdana" w:cs="Tahoma"/>
          <w:sz w:val="20"/>
          <w:szCs w:val="20"/>
        </w:rPr>
        <w:t xml:space="preserve"> bajo el artículo 21 de la Convención</w:t>
      </w:r>
      <w:r w:rsidRPr="004E289D">
        <w:rPr>
          <w:rFonts w:ascii="Verdana" w:hAnsi="Verdana" w:cs="Tahoma"/>
          <w:sz w:val="20"/>
          <w:szCs w:val="20"/>
        </w:rPr>
        <w:t xml:space="preserve"> y luego, si es el caso, la compatibilidad del ordenamiento jurídico estatal con la Convención. La </w:t>
      </w:r>
      <w:r w:rsidRPr="004E289D">
        <w:rPr>
          <w:rFonts w:ascii="Verdana" w:hAnsi="Verdana" w:cs="Tahoma"/>
          <w:sz w:val="20"/>
          <w:szCs w:val="20"/>
        </w:rPr>
        <w:lastRenderedPageBreak/>
        <w:t xml:space="preserve">Corte no hará el primer examen indicado considerando los artículos 8 y 25 de la Convención pues los mismos no aplican ya que, como se </w:t>
      </w:r>
      <w:r w:rsidR="00884D97">
        <w:rPr>
          <w:rFonts w:ascii="Verdana" w:hAnsi="Verdana" w:cs="Tahoma"/>
          <w:sz w:val="20"/>
          <w:szCs w:val="20"/>
        </w:rPr>
        <w:t>expuso</w:t>
      </w:r>
      <w:r w:rsidRPr="004E289D">
        <w:rPr>
          <w:rFonts w:ascii="Verdana" w:hAnsi="Verdana" w:cs="Tahoma"/>
          <w:sz w:val="20"/>
          <w:szCs w:val="20"/>
        </w:rPr>
        <w:t xml:space="preserve">, las actuaciones no </w:t>
      </w:r>
      <w:r>
        <w:rPr>
          <w:rFonts w:ascii="Verdana" w:hAnsi="Verdana" w:cs="Tahoma"/>
          <w:sz w:val="20"/>
          <w:szCs w:val="20"/>
        </w:rPr>
        <w:t xml:space="preserve">se </w:t>
      </w:r>
      <w:r w:rsidRPr="004E289D">
        <w:rPr>
          <w:rFonts w:ascii="Verdana" w:hAnsi="Verdana" w:cs="Tahoma"/>
          <w:sz w:val="20"/>
          <w:szCs w:val="20"/>
        </w:rPr>
        <w:t>enmarcaron en un proceso reglado previamente</w:t>
      </w:r>
      <w:r>
        <w:rPr>
          <w:rFonts w:ascii="Verdana" w:hAnsi="Verdana" w:cs="Tahoma"/>
          <w:sz w:val="20"/>
          <w:szCs w:val="20"/>
        </w:rPr>
        <w:t xml:space="preserve"> (</w:t>
      </w:r>
      <w:r>
        <w:rPr>
          <w:rFonts w:ascii="Verdana" w:hAnsi="Verdana" w:cs="Tahoma"/>
          <w:i/>
          <w:sz w:val="20"/>
          <w:szCs w:val="20"/>
        </w:rPr>
        <w:t>supra</w:t>
      </w:r>
      <w:r>
        <w:rPr>
          <w:rFonts w:ascii="Verdana" w:hAnsi="Verdana" w:cs="Tahoma"/>
          <w:sz w:val="20"/>
          <w:szCs w:val="20"/>
        </w:rPr>
        <w:t xml:space="preserve"> párr. 117)</w:t>
      </w:r>
      <w:r w:rsidRPr="004E289D">
        <w:rPr>
          <w:rFonts w:ascii="Verdana" w:hAnsi="Verdana" w:cs="Tahoma"/>
          <w:sz w:val="20"/>
          <w:szCs w:val="20"/>
        </w:rPr>
        <w:t xml:space="preserve">. En este sentido, no analizará la observancia de la razonabilidad del plazo seguido como una garantía procesal, sin perjuicio de tener en cuenta el impacto del tiempo en el ejercicio del derecho de propiedad. </w:t>
      </w:r>
    </w:p>
    <w:p w14:paraId="78291931" w14:textId="77777777" w:rsidR="009805F2" w:rsidRPr="004E289D" w:rsidRDefault="009805F2" w:rsidP="009805F2">
      <w:pPr>
        <w:pStyle w:val="Prrafodelista"/>
        <w:spacing w:line="240" w:lineRule="auto"/>
        <w:rPr>
          <w:rFonts w:ascii="Verdana" w:hAnsi="Verdana" w:cs="Tahoma"/>
          <w:sz w:val="20"/>
          <w:szCs w:val="20"/>
        </w:rPr>
      </w:pPr>
    </w:p>
    <w:p w14:paraId="5BB85241" w14:textId="3BF53E8F" w:rsidR="009805F2"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4E289D">
        <w:rPr>
          <w:rFonts w:ascii="Verdana" w:hAnsi="Verdana" w:cs="Tahoma"/>
          <w:sz w:val="20"/>
          <w:szCs w:val="20"/>
        </w:rPr>
        <w:t>Debe aclararse también que la Corte examinará el cumplimiento del artículo 21 convencional respecto a la obligación de garantía establecida en el artículo 1.1 del tratado, pero también respecto al artículo 2, aunque en un sentido distinto al ya expresado. El artículo 2, en efecto, no solo se relaciona con la adaptación normativa formal del orden jurídico interno a la Convención, mediante la adopción de “medidas legislativas”, sino también con la adopción de medidas “de otro carácter” para hacer efectivos los derechos. Entre estas medidas pueden encontrarse aquellas dirigidas a concretar o materializar las normas que el propio Estado ha adoptado a fin de dar satisfacción a un derecho</w:t>
      </w:r>
      <w:r>
        <w:rPr>
          <w:rStyle w:val="Refdenotaalpie"/>
          <w:rFonts w:ascii="Verdana" w:hAnsi="Verdana"/>
          <w:sz w:val="20"/>
        </w:rPr>
        <w:footnoteReference w:id="132"/>
      </w:r>
      <w:r w:rsidRPr="004E289D">
        <w:rPr>
          <w:rFonts w:ascii="Verdana" w:hAnsi="Verdana" w:cs="Tahoma"/>
          <w:sz w:val="20"/>
          <w:szCs w:val="20"/>
        </w:rPr>
        <w:t xml:space="preserve">. </w:t>
      </w:r>
      <w:r w:rsidR="0006409D">
        <w:rPr>
          <w:rFonts w:ascii="Verdana" w:hAnsi="Verdana" w:cs="Tahoma"/>
          <w:sz w:val="20"/>
          <w:szCs w:val="20"/>
        </w:rPr>
        <w:t>De este modo se va a evaluar</w:t>
      </w:r>
      <w:r w:rsidRPr="004E289D">
        <w:rPr>
          <w:rFonts w:ascii="Verdana" w:hAnsi="Verdana" w:cs="Tahoma"/>
          <w:sz w:val="20"/>
          <w:szCs w:val="20"/>
        </w:rPr>
        <w:t xml:space="preserve"> la conducta estatal, considerando los actos del Estado que formalmente </w:t>
      </w:r>
      <w:r>
        <w:rPr>
          <w:rFonts w:ascii="Verdana" w:hAnsi="Verdana" w:cs="Tahoma"/>
          <w:sz w:val="20"/>
          <w:szCs w:val="20"/>
        </w:rPr>
        <w:t xml:space="preserve">han </w:t>
      </w:r>
      <w:r w:rsidRPr="004E289D">
        <w:rPr>
          <w:rFonts w:ascii="Verdana" w:hAnsi="Verdana" w:cs="Tahoma"/>
          <w:sz w:val="20"/>
          <w:szCs w:val="20"/>
        </w:rPr>
        <w:t>avanza</w:t>
      </w:r>
      <w:r>
        <w:rPr>
          <w:rFonts w:ascii="Verdana" w:hAnsi="Verdana" w:cs="Tahoma"/>
          <w:sz w:val="20"/>
          <w:szCs w:val="20"/>
        </w:rPr>
        <w:t>do</w:t>
      </w:r>
      <w:r w:rsidRPr="004E289D">
        <w:rPr>
          <w:rFonts w:ascii="Verdana" w:hAnsi="Verdana" w:cs="Tahoma"/>
          <w:sz w:val="20"/>
          <w:szCs w:val="20"/>
        </w:rPr>
        <w:t xml:space="preserve"> en el reconocimiento de la propiedad, mas también las medidas para su concreción efectiva. </w:t>
      </w:r>
    </w:p>
    <w:p w14:paraId="49385F5B" w14:textId="77777777" w:rsidR="009805F2" w:rsidRPr="004E289D" w:rsidRDefault="009805F2" w:rsidP="009805F2">
      <w:pPr>
        <w:pStyle w:val="Prrafodelista"/>
        <w:spacing w:line="240" w:lineRule="auto"/>
        <w:rPr>
          <w:rFonts w:ascii="Verdana" w:hAnsi="Verdana" w:cs="Tahoma"/>
          <w:sz w:val="20"/>
          <w:szCs w:val="20"/>
        </w:rPr>
      </w:pPr>
    </w:p>
    <w:p w14:paraId="12AEF470" w14:textId="7CCD7ADF" w:rsidR="009805F2"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4E289D">
        <w:rPr>
          <w:rFonts w:ascii="Verdana" w:hAnsi="Verdana" w:cs="Tahoma"/>
          <w:sz w:val="20"/>
          <w:szCs w:val="20"/>
        </w:rPr>
        <w:t xml:space="preserve">La Corte evaluará, entonces, con base en lo expresado, si el Estado </w:t>
      </w:r>
      <w:r>
        <w:rPr>
          <w:rFonts w:ascii="Verdana" w:hAnsi="Verdana" w:cs="Tahoma"/>
          <w:sz w:val="20"/>
          <w:szCs w:val="20"/>
        </w:rPr>
        <w:t xml:space="preserve">ha </w:t>
      </w:r>
      <w:r w:rsidRPr="004E289D">
        <w:rPr>
          <w:rFonts w:ascii="Verdana" w:hAnsi="Verdana" w:cs="Tahoma"/>
          <w:sz w:val="20"/>
          <w:szCs w:val="20"/>
        </w:rPr>
        <w:t>posibilit</w:t>
      </w:r>
      <w:r>
        <w:rPr>
          <w:rFonts w:ascii="Verdana" w:hAnsi="Verdana" w:cs="Tahoma"/>
          <w:sz w:val="20"/>
          <w:szCs w:val="20"/>
        </w:rPr>
        <w:t>ado</w:t>
      </w:r>
      <w:r w:rsidRPr="004E289D">
        <w:rPr>
          <w:rFonts w:ascii="Verdana" w:hAnsi="Verdana" w:cs="Tahoma"/>
          <w:sz w:val="20"/>
          <w:szCs w:val="20"/>
        </w:rPr>
        <w:t xml:space="preserve"> en forma adecuada el reconocimiento de propiedad. En efecto, como se detallará (</w:t>
      </w:r>
      <w:r w:rsidRPr="004E289D">
        <w:rPr>
          <w:rFonts w:ascii="Verdana" w:hAnsi="Verdana" w:cs="Tahoma"/>
          <w:i/>
          <w:sz w:val="20"/>
          <w:szCs w:val="20"/>
        </w:rPr>
        <w:t xml:space="preserve">infra </w:t>
      </w:r>
      <w:r w:rsidRPr="004E289D">
        <w:rPr>
          <w:rFonts w:ascii="Verdana" w:hAnsi="Verdana" w:cs="Tahoma"/>
          <w:sz w:val="20"/>
          <w:szCs w:val="20"/>
        </w:rPr>
        <w:t xml:space="preserve">párr. </w:t>
      </w:r>
      <w:r>
        <w:rPr>
          <w:rFonts w:ascii="Verdana" w:hAnsi="Verdana" w:cs="Tahoma"/>
          <w:sz w:val="20"/>
          <w:szCs w:val="20"/>
        </w:rPr>
        <w:t>130</w:t>
      </w:r>
      <w:r w:rsidRPr="004E289D">
        <w:rPr>
          <w:rFonts w:ascii="Verdana" w:hAnsi="Verdana" w:cs="Tahoma"/>
          <w:sz w:val="20"/>
          <w:szCs w:val="20"/>
        </w:rPr>
        <w:t>), es claro</w:t>
      </w:r>
      <w:r>
        <w:rPr>
          <w:rFonts w:ascii="Verdana" w:hAnsi="Verdana" w:cs="Tahoma"/>
          <w:sz w:val="20"/>
          <w:szCs w:val="20"/>
        </w:rPr>
        <w:t xml:space="preserve"> que</w:t>
      </w:r>
      <w:r w:rsidRPr="004E289D">
        <w:rPr>
          <w:rFonts w:ascii="Verdana" w:hAnsi="Verdana" w:cs="Tahoma"/>
          <w:sz w:val="20"/>
          <w:szCs w:val="20"/>
        </w:rPr>
        <w:t xml:space="preserve"> al menos de</w:t>
      </w:r>
      <w:r>
        <w:rPr>
          <w:rFonts w:ascii="Verdana" w:hAnsi="Verdana" w:cs="Tahoma"/>
          <w:sz w:val="20"/>
          <w:szCs w:val="20"/>
        </w:rPr>
        <w:t>sde</w:t>
      </w:r>
      <w:r w:rsidRPr="004E289D">
        <w:rPr>
          <w:rFonts w:ascii="Verdana" w:hAnsi="Verdana" w:cs="Tahoma"/>
          <w:sz w:val="20"/>
          <w:szCs w:val="20"/>
        </w:rPr>
        <w:t xml:space="preserve"> 2007, a partir de acuerdos entre criollos e indígenas, refrendados por el Estado, se determinó que una extensión de 400</w:t>
      </w:r>
      <w:r>
        <w:rPr>
          <w:rFonts w:ascii="Verdana" w:hAnsi="Verdana" w:cs="Tahoma"/>
          <w:sz w:val="20"/>
          <w:szCs w:val="20"/>
        </w:rPr>
        <w:t>.</w:t>
      </w:r>
      <w:r w:rsidRPr="004E289D">
        <w:rPr>
          <w:rFonts w:ascii="Verdana" w:hAnsi="Verdana" w:cs="Tahoma"/>
          <w:sz w:val="20"/>
          <w:szCs w:val="20"/>
        </w:rPr>
        <w:t xml:space="preserve">000 ha sobre los lotes 14 y 55 corresponden a comunidades indígenas. </w:t>
      </w:r>
      <w:r w:rsidRPr="004E289D">
        <w:rPr>
          <w:rFonts w:ascii="Verdana" w:hAnsi="Verdana"/>
          <w:sz w:val="20"/>
          <w:szCs w:val="20"/>
        </w:rPr>
        <w:t xml:space="preserve">También surge de los hechos que, pese a lo anterior, la separación de la propiedad indígena y de la tierra correspondiente a criollos todavía no se ha concretado en su totalidad: hasta el presente se ha mantenido la presencia criolla y no ha concluido la metodología de “diálogo” (que se describirá más delante, </w:t>
      </w:r>
      <w:r w:rsidRPr="004E289D">
        <w:rPr>
          <w:rFonts w:ascii="Verdana" w:hAnsi="Verdana"/>
          <w:i/>
          <w:sz w:val="20"/>
          <w:szCs w:val="20"/>
        </w:rPr>
        <w:t>infra</w:t>
      </w:r>
      <w:r w:rsidRPr="004E289D">
        <w:rPr>
          <w:rFonts w:ascii="Verdana" w:hAnsi="Verdana"/>
          <w:sz w:val="20"/>
          <w:szCs w:val="20"/>
        </w:rPr>
        <w:t xml:space="preserve"> párrs. </w:t>
      </w:r>
      <w:r>
        <w:rPr>
          <w:rFonts w:ascii="Verdana" w:hAnsi="Verdana"/>
          <w:sz w:val="20"/>
          <w:szCs w:val="20"/>
        </w:rPr>
        <w:t>131 y 140 a 144</w:t>
      </w:r>
      <w:r w:rsidRPr="004E289D">
        <w:rPr>
          <w:rFonts w:ascii="Verdana" w:hAnsi="Verdana"/>
          <w:sz w:val="20"/>
          <w:szCs w:val="20"/>
        </w:rPr>
        <w:t>) para acordar los distintos sitios de “relocalización” y concretar su traslado</w:t>
      </w:r>
      <w:r>
        <w:rPr>
          <w:rStyle w:val="Refdenotaalpie"/>
          <w:rFonts w:ascii="Verdana" w:hAnsi="Verdana"/>
          <w:sz w:val="20"/>
        </w:rPr>
        <w:footnoteReference w:id="133"/>
      </w:r>
      <w:r w:rsidRPr="004E289D">
        <w:rPr>
          <w:rFonts w:ascii="Verdana" w:hAnsi="Verdana"/>
          <w:sz w:val="20"/>
          <w:szCs w:val="20"/>
        </w:rPr>
        <w:t>.</w:t>
      </w:r>
    </w:p>
    <w:p w14:paraId="5CE42003" w14:textId="77777777" w:rsidR="009805F2" w:rsidRPr="004E289D" w:rsidRDefault="009805F2" w:rsidP="009805F2">
      <w:pPr>
        <w:pStyle w:val="Prrafodelista"/>
        <w:spacing w:line="240" w:lineRule="auto"/>
        <w:rPr>
          <w:rFonts w:ascii="Verdana" w:hAnsi="Verdana" w:cs="Tahoma"/>
          <w:sz w:val="20"/>
          <w:szCs w:val="20"/>
        </w:rPr>
      </w:pPr>
    </w:p>
    <w:p w14:paraId="36ACFD30" w14:textId="715F540A" w:rsidR="009805F2"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4E289D">
        <w:rPr>
          <w:rFonts w:ascii="Verdana" w:hAnsi="Verdana" w:cs="Tahoma"/>
          <w:sz w:val="20"/>
          <w:szCs w:val="20"/>
        </w:rPr>
        <w:t>Considerando lo expuesto, la Corte pasa</w:t>
      </w:r>
      <w:r w:rsidR="00884D97">
        <w:rPr>
          <w:rFonts w:ascii="Verdana" w:hAnsi="Verdana" w:cs="Tahoma"/>
          <w:sz w:val="20"/>
          <w:szCs w:val="20"/>
        </w:rPr>
        <w:t xml:space="preserve"> a</w:t>
      </w:r>
      <w:r w:rsidRPr="004E289D">
        <w:rPr>
          <w:rFonts w:ascii="Verdana" w:hAnsi="Verdana" w:cs="Tahoma"/>
          <w:sz w:val="20"/>
          <w:szCs w:val="20"/>
        </w:rPr>
        <w:t xml:space="preserve"> analizar la conducta estatal observando la sucesión de actos en orden cronológico.  </w:t>
      </w:r>
    </w:p>
    <w:p w14:paraId="2579FC12" w14:textId="77777777" w:rsidR="009805F2" w:rsidRDefault="009805F2" w:rsidP="009805F2">
      <w:pPr>
        <w:pStyle w:val="Prrafodelista"/>
        <w:spacing w:line="240" w:lineRule="auto"/>
        <w:rPr>
          <w:rFonts w:ascii="Verdana" w:hAnsi="Verdana"/>
          <w:sz w:val="20"/>
          <w:szCs w:val="20"/>
          <w:lang w:val="es-ES"/>
        </w:rPr>
      </w:pPr>
    </w:p>
    <w:p w14:paraId="53C80C04" w14:textId="77777777" w:rsidR="009805F2" w:rsidRPr="0065466C" w:rsidRDefault="009805F2" w:rsidP="009805F2">
      <w:pPr>
        <w:pStyle w:val="Prrafodelista"/>
        <w:tabs>
          <w:tab w:val="right" w:pos="8838"/>
        </w:tabs>
        <w:autoSpaceDE w:val="0"/>
        <w:autoSpaceDN w:val="0"/>
        <w:adjustRightInd w:val="0"/>
        <w:spacing w:after="0" w:line="240" w:lineRule="auto"/>
        <w:ind w:left="851"/>
        <w:jc w:val="both"/>
        <w:outlineLvl w:val="3"/>
        <w:rPr>
          <w:rFonts w:ascii="Verdana" w:hAnsi="Verdana" w:cs="Tahoma"/>
          <w:i/>
          <w:sz w:val="20"/>
          <w:szCs w:val="20"/>
        </w:rPr>
      </w:pPr>
      <w:bookmarkStart w:id="141" w:name="_Toc22224897"/>
      <w:bookmarkStart w:id="142" w:name="_Toc32218845"/>
      <w:bookmarkStart w:id="143" w:name="_Toc32227118"/>
      <w:bookmarkStart w:id="144" w:name="_Toc34337547"/>
      <w:r w:rsidRPr="0065466C">
        <w:rPr>
          <w:rFonts w:ascii="Verdana" w:hAnsi="Verdana" w:cs="Tahoma"/>
          <w:i/>
          <w:sz w:val="20"/>
          <w:szCs w:val="20"/>
        </w:rPr>
        <w:t xml:space="preserve">B.2.2 </w:t>
      </w:r>
      <w:r w:rsidRPr="002A21F3">
        <w:rPr>
          <w:rFonts w:ascii="Verdana" w:hAnsi="Verdana" w:cs="Tahoma"/>
          <w:i/>
          <w:sz w:val="20"/>
          <w:szCs w:val="20"/>
          <w:u w:val="single"/>
        </w:rPr>
        <w:t>Actos realizados para el reconocimiento de la propiedad</w:t>
      </w:r>
      <w:bookmarkEnd w:id="141"/>
      <w:bookmarkEnd w:id="142"/>
      <w:bookmarkEnd w:id="143"/>
      <w:bookmarkEnd w:id="144"/>
    </w:p>
    <w:p w14:paraId="3C81C840" w14:textId="77777777" w:rsidR="009805F2" w:rsidRDefault="009805F2" w:rsidP="009805F2">
      <w:pPr>
        <w:pStyle w:val="Prrafodelista"/>
        <w:autoSpaceDE w:val="0"/>
        <w:autoSpaceDN w:val="0"/>
        <w:adjustRightInd w:val="0"/>
        <w:spacing w:after="0" w:line="240" w:lineRule="auto"/>
        <w:ind w:left="0"/>
        <w:jc w:val="both"/>
        <w:rPr>
          <w:rFonts w:ascii="Verdana" w:hAnsi="Verdana" w:cs="Tahoma"/>
          <w:sz w:val="20"/>
          <w:szCs w:val="20"/>
        </w:rPr>
      </w:pPr>
    </w:p>
    <w:p w14:paraId="59EC0E13" w14:textId="77777777" w:rsidR="009805F2" w:rsidRDefault="009805F2" w:rsidP="009805F2">
      <w:pPr>
        <w:pStyle w:val="Prrafodelista"/>
        <w:spacing w:line="240" w:lineRule="auto"/>
        <w:ind w:left="1134"/>
        <w:outlineLvl w:val="4"/>
        <w:rPr>
          <w:rFonts w:ascii="Verdana" w:hAnsi="Verdana"/>
          <w:i/>
          <w:sz w:val="20"/>
          <w:szCs w:val="20"/>
        </w:rPr>
      </w:pPr>
      <w:bookmarkStart w:id="145" w:name="_Toc32218846"/>
      <w:bookmarkStart w:id="146" w:name="_Toc32227119"/>
      <w:bookmarkStart w:id="147" w:name="_Toc34337548"/>
      <w:r w:rsidRPr="00DC54DB">
        <w:rPr>
          <w:rFonts w:ascii="Verdana" w:hAnsi="Verdana"/>
          <w:i/>
          <w:sz w:val="20"/>
          <w:szCs w:val="20"/>
        </w:rPr>
        <w:t>B.2.</w:t>
      </w:r>
      <w:r>
        <w:rPr>
          <w:rFonts w:ascii="Verdana" w:hAnsi="Verdana"/>
          <w:i/>
          <w:sz w:val="20"/>
          <w:szCs w:val="20"/>
        </w:rPr>
        <w:t>2.</w:t>
      </w:r>
      <w:r w:rsidRPr="00DC54DB">
        <w:rPr>
          <w:rFonts w:ascii="Verdana" w:hAnsi="Verdana"/>
          <w:i/>
          <w:sz w:val="20"/>
          <w:szCs w:val="20"/>
        </w:rPr>
        <w:t xml:space="preserve">1 </w:t>
      </w:r>
      <w:r>
        <w:rPr>
          <w:rFonts w:ascii="Verdana" w:hAnsi="Verdana"/>
          <w:i/>
          <w:sz w:val="20"/>
          <w:szCs w:val="20"/>
        </w:rPr>
        <w:t>Antes de 1999</w:t>
      </w:r>
      <w:bookmarkEnd w:id="145"/>
      <w:bookmarkEnd w:id="146"/>
      <w:bookmarkEnd w:id="147"/>
    </w:p>
    <w:p w14:paraId="4FE4CC0A" w14:textId="77777777" w:rsidR="009805F2" w:rsidRPr="004E289D" w:rsidRDefault="009805F2" w:rsidP="009805F2">
      <w:pPr>
        <w:pStyle w:val="Prrafodelista"/>
        <w:spacing w:line="240" w:lineRule="auto"/>
        <w:rPr>
          <w:rFonts w:ascii="Verdana" w:hAnsi="Verdana"/>
          <w:sz w:val="20"/>
          <w:szCs w:val="20"/>
          <w:lang w:val="es-ES"/>
        </w:rPr>
      </w:pPr>
    </w:p>
    <w:p w14:paraId="17746D02" w14:textId="5A194DE1" w:rsidR="009805F2" w:rsidRPr="004E289D"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4E289D">
        <w:rPr>
          <w:rFonts w:ascii="Verdana" w:hAnsi="Verdana"/>
          <w:sz w:val="20"/>
          <w:szCs w:val="20"/>
          <w:lang w:val="es-ES"/>
        </w:rPr>
        <w:t xml:space="preserve">Como surge de la exposición de hechos, hay antecedentes de reclamos indígenas sobre los lotes 14 y 55 que ocurrieron hace más de 35 años. No obstante, de conformidad </w:t>
      </w:r>
      <w:r>
        <w:rPr>
          <w:rFonts w:ascii="Verdana" w:hAnsi="Verdana"/>
          <w:sz w:val="20"/>
          <w:szCs w:val="20"/>
          <w:lang w:val="es-ES"/>
        </w:rPr>
        <w:t>con</w:t>
      </w:r>
      <w:r w:rsidRPr="004E289D">
        <w:rPr>
          <w:rFonts w:ascii="Verdana" w:hAnsi="Verdana"/>
          <w:sz w:val="20"/>
          <w:szCs w:val="20"/>
          <w:lang w:val="es-ES"/>
        </w:rPr>
        <w:t xml:space="preserve"> la información allegada a este Tribunal, en el marco temporal de su competencia</w:t>
      </w:r>
      <w:r w:rsidR="005B2C74">
        <w:rPr>
          <w:rFonts w:ascii="Verdana" w:hAnsi="Verdana"/>
          <w:sz w:val="20"/>
          <w:szCs w:val="20"/>
          <w:lang w:val="es-ES"/>
        </w:rPr>
        <w:t xml:space="preserve"> (</w:t>
      </w:r>
      <w:r w:rsidR="005B2C74">
        <w:rPr>
          <w:rFonts w:ascii="Verdana" w:hAnsi="Verdana"/>
          <w:i/>
          <w:sz w:val="20"/>
          <w:szCs w:val="20"/>
          <w:lang w:val="es-ES"/>
        </w:rPr>
        <w:t xml:space="preserve">supra </w:t>
      </w:r>
      <w:r w:rsidR="005B2C74">
        <w:rPr>
          <w:rFonts w:ascii="Verdana" w:hAnsi="Verdana"/>
          <w:sz w:val="20"/>
          <w:szCs w:val="20"/>
          <w:lang w:val="es-ES"/>
        </w:rPr>
        <w:t>párr. 13 y nota a pie de página 45)</w:t>
      </w:r>
      <w:r w:rsidRPr="004E289D">
        <w:rPr>
          <w:rFonts w:ascii="Verdana" w:hAnsi="Verdana"/>
          <w:sz w:val="20"/>
          <w:szCs w:val="20"/>
          <w:lang w:val="es-ES"/>
        </w:rPr>
        <w:t xml:space="preserve"> fue en julio de 1991 </w:t>
      </w:r>
      <w:r w:rsidR="0006409D">
        <w:rPr>
          <w:rFonts w:ascii="Verdana" w:hAnsi="Verdana"/>
          <w:sz w:val="20"/>
          <w:szCs w:val="20"/>
          <w:lang w:val="es-ES"/>
        </w:rPr>
        <w:t>cuando</w:t>
      </w:r>
      <w:r w:rsidR="00884D97">
        <w:rPr>
          <w:rFonts w:ascii="Verdana" w:hAnsi="Verdana"/>
          <w:sz w:val="20"/>
          <w:szCs w:val="20"/>
          <w:lang w:val="es-ES"/>
        </w:rPr>
        <w:t>,</w:t>
      </w:r>
      <w:r w:rsidRPr="004E289D">
        <w:rPr>
          <w:rFonts w:ascii="Verdana" w:hAnsi="Verdana"/>
          <w:sz w:val="20"/>
          <w:szCs w:val="20"/>
          <w:lang w:val="es-ES"/>
        </w:rPr>
        <w:t xml:space="preserve"> por primera vez</w:t>
      </w:r>
      <w:r w:rsidR="00884D97">
        <w:rPr>
          <w:rFonts w:ascii="Verdana" w:hAnsi="Verdana"/>
          <w:sz w:val="20"/>
          <w:szCs w:val="20"/>
          <w:lang w:val="es-ES"/>
        </w:rPr>
        <w:t>,</w:t>
      </w:r>
      <w:r w:rsidRPr="004E289D">
        <w:rPr>
          <w:rFonts w:ascii="Verdana" w:hAnsi="Verdana"/>
          <w:sz w:val="20"/>
          <w:szCs w:val="20"/>
          <w:lang w:val="es-ES"/>
        </w:rPr>
        <w:t xml:space="preserve"> </w:t>
      </w:r>
      <w:r w:rsidRPr="004E289D">
        <w:rPr>
          <w:rFonts w:ascii="Verdana" w:hAnsi="Verdana"/>
          <w:sz w:val="20"/>
          <w:szCs w:val="20"/>
          <w:lang w:val="es-ES"/>
        </w:rPr>
        <w:lastRenderedPageBreak/>
        <w:t>se formalizó un reclamo (</w:t>
      </w:r>
      <w:r w:rsidRPr="004E289D">
        <w:rPr>
          <w:rFonts w:ascii="Verdana" w:hAnsi="Verdana"/>
          <w:i/>
          <w:sz w:val="20"/>
          <w:szCs w:val="20"/>
          <w:lang w:val="es-ES"/>
        </w:rPr>
        <w:t xml:space="preserve">supra </w:t>
      </w:r>
      <w:r w:rsidRPr="004E289D">
        <w:rPr>
          <w:rFonts w:ascii="Verdana" w:hAnsi="Verdana"/>
          <w:sz w:val="20"/>
          <w:szCs w:val="20"/>
          <w:lang w:val="es-ES"/>
        </w:rPr>
        <w:t xml:space="preserve">párr. </w:t>
      </w:r>
      <w:r>
        <w:rPr>
          <w:rFonts w:ascii="Verdana" w:hAnsi="Verdana"/>
          <w:sz w:val="20"/>
          <w:szCs w:val="20"/>
          <w:lang w:val="es-ES"/>
        </w:rPr>
        <w:t>59</w:t>
      </w:r>
      <w:r w:rsidRPr="004E289D">
        <w:rPr>
          <w:rFonts w:ascii="Verdana" w:hAnsi="Verdana"/>
          <w:sz w:val="20"/>
          <w:szCs w:val="20"/>
          <w:lang w:val="es-ES"/>
        </w:rPr>
        <w:t xml:space="preserve">). La conducta estatal será evaluada a partir de este momento. </w:t>
      </w:r>
    </w:p>
    <w:p w14:paraId="6886A33E" w14:textId="77777777" w:rsidR="009805F2" w:rsidRDefault="009805F2" w:rsidP="009805F2">
      <w:pPr>
        <w:pStyle w:val="Prrafodelista"/>
        <w:spacing w:after="0" w:line="240" w:lineRule="auto"/>
        <w:ind w:left="0" w:right="6"/>
        <w:jc w:val="both"/>
        <w:rPr>
          <w:rFonts w:ascii="Verdana" w:eastAsia="Batang" w:hAnsi="Verdana" w:cs="Times"/>
          <w:sz w:val="20"/>
          <w:szCs w:val="20"/>
          <w:lang w:val="es-CR" w:eastAsia="es-CR"/>
        </w:rPr>
      </w:pPr>
    </w:p>
    <w:p w14:paraId="1031603C" w14:textId="7BF003D5" w:rsidR="009805F2"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4E289D">
        <w:rPr>
          <w:rFonts w:ascii="Verdana" w:hAnsi="Verdana"/>
          <w:color w:val="000000" w:themeColor="text1"/>
          <w:sz w:val="20"/>
          <w:szCs w:val="20"/>
        </w:rPr>
        <w:t>En</w:t>
      </w:r>
      <w:r w:rsidRPr="004E289D">
        <w:rPr>
          <w:rFonts w:ascii="Verdana" w:hAnsi="Verdana"/>
          <w:color w:val="000000" w:themeColor="text1"/>
          <w:sz w:val="20"/>
          <w:szCs w:val="20"/>
          <w:lang w:val="es-ES"/>
        </w:rPr>
        <w:t xml:space="preserve"> diciembre de 1991 fue dictado el Decreto No 2609/91, que dispuso unificar los lotes 14 y 55 para luego “adjudicar”, mediante un “[t]ítulo [</w:t>
      </w:r>
      <w:r>
        <w:rPr>
          <w:rFonts w:ascii="Verdana" w:hAnsi="Verdana"/>
          <w:color w:val="000000" w:themeColor="text1"/>
          <w:sz w:val="20"/>
          <w:szCs w:val="20"/>
          <w:lang w:val="es-ES"/>
        </w:rPr>
        <w:t>ú</w:t>
      </w:r>
      <w:r w:rsidRPr="004E289D">
        <w:rPr>
          <w:rFonts w:ascii="Verdana" w:hAnsi="Verdana"/>
          <w:color w:val="000000" w:themeColor="text1"/>
          <w:sz w:val="20"/>
          <w:szCs w:val="20"/>
          <w:lang w:val="es-ES"/>
        </w:rPr>
        <w:t>]nico de [p]ropiedad” (</w:t>
      </w:r>
      <w:r w:rsidRPr="004E289D">
        <w:rPr>
          <w:rFonts w:ascii="Verdana" w:hAnsi="Verdana"/>
          <w:i/>
          <w:color w:val="000000" w:themeColor="text1"/>
          <w:sz w:val="20"/>
          <w:szCs w:val="20"/>
          <w:lang w:val="es-ES"/>
        </w:rPr>
        <w:t xml:space="preserve">supra </w:t>
      </w:r>
      <w:r w:rsidRPr="004E289D">
        <w:rPr>
          <w:rFonts w:ascii="Verdana" w:hAnsi="Verdana"/>
          <w:color w:val="000000" w:themeColor="text1"/>
          <w:sz w:val="20"/>
          <w:szCs w:val="20"/>
          <w:lang w:val="es-ES"/>
        </w:rPr>
        <w:t xml:space="preserve">párr. </w:t>
      </w:r>
      <w:r>
        <w:rPr>
          <w:rFonts w:ascii="Verdana" w:hAnsi="Verdana"/>
          <w:color w:val="000000" w:themeColor="text1"/>
          <w:sz w:val="20"/>
          <w:szCs w:val="20"/>
          <w:lang w:val="es-ES"/>
        </w:rPr>
        <w:t>60</w:t>
      </w:r>
      <w:r w:rsidRPr="004E289D">
        <w:rPr>
          <w:rFonts w:ascii="Verdana" w:hAnsi="Verdana"/>
          <w:color w:val="000000" w:themeColor="text1"/>
          <w:sz w:val="20"/>
          <w:szCs w:val="20"/>
          <w:lang w:val="es-ES"/>
        </w:rPr>
        <w:t xml:space="preserve">). Aunque esa finalidad </w:t>
      </w:r>
      <w:r w:rsidR="00884D97">
        <w:rPr>
          <w:rFonts w:ascii="Verdana" w:hAnsi="Verdana"/>
          <w:color w:val="000000" w:themeColor="text1"/>
          <w:sz w:val="20"/>
          <w:szCs w:val="20"/>
          <w:lang w:val="es-ES"/>
        </w:rPr>
        <w:t>no se satisfizo durante ese perí</w:t>
      </w:r>
      <w:r w:rsidRPr="004E289D">
        <w:rPr>
          <w:rFonts w:ascii="Verdana" w:hAnsi="Verdana"/>
          <w:color w:val="000000" w:themeColor="text1"/>
          <w:sz w:val="20"/>
          <w:szCs w:val="20"/>
          <w:lang w:val="es-ES"/>
        </w:rPr>
        <w:t>odo, la Corte no encuentra que antes de 1999 el Estado adoptara una conducta contraria a sus obligaciones internacionales sustantivas</w:t>
      </w:r>
      <w:r>
        <w:rPr>
          <w:rStyle w:val="Refdenotaalpie"/>
          <w:rFonts w:ascii="Verdana" w:hAnsi="Verdana"/>
          <w:color w:val="000000" w:themeColor="text1"/>
          <w:sz w:val="20"/>
          <w:lang w:val="es-ES"/>
        </w:rPr>
        <w:footnoteReference w:id="134"/>
      </w:r>
      <w:r w:rsidRPr="004E289D">
        <w:rPr>
          <w:rFonts w:ascii="Verdana" w:hAnsi="Verdana"/>
          <w:color w:val="000000" w:themeColor="text1"/>
          <w:sz w:val="20"/>
          <w:szCs w:val="20"/>
          <w:lang w:val="es-ES"/>
        </w:rPr>
        <w:t>. No obstante</w:t>
      </w:r>
      <w:r w:rsidR="00884D97">
        <w:rPr>
          <w:rFonts w:ascii="Verdana" w:hAnsi="Verdana"/>
          <w:color w:val="000000" w:themeColor="text1"/>
          <w:sz w:val="20"/>
          <w:szCs w:val="20"/>
          <w:lang w:val="es-ES"/>
        </w:rPr>
        <w:t>,</w:t>
      </w:r>
      <w:r w:rsidRPr="004E289D">
        <w:rPr>
          <w:rFonts w:ascii="Verdana" w:hAnsi="Verdana"/>
          <w:color w:val="000000" w:themeColor="text1"/>
          <w:sz w:val="20"/>
          <w:szCs w:val="20"/>
          <w:lang w:val="es-ES"/>
        </w:rPr>
        <w:t xml:space="preserve"> hay que considerar que e</w:t>
      </w:r>
      <w:r w:rsidRPr="004E289D">
        <w:rPr>
          <w:rFonts w:ascii="Verdana" w:hAnsi="Verdana"/>
          <w:sz w:val="20"/>
          <w:szCs w:val="20"/>
          <w:lang w:val="es-ES"/>
        </w:rPr>
        <w:t xml:space="preserve">ntre 1996 y 1998 Lhaka Honhat remitió varias comunicaciones a autoridades </w:t>
      </w:r>
      <w:r w:rsidR="00884D97">
        <w:rPr>
          <w:rFonts w:ascii="Verdana" w:hAnsi="Verdana"/>
          <w:sz w:val="20"/>
          <w:szCs w:val="20"/>
          <w:lang w:val="es-ES"/>
        </w:rPr>
        <w:t>solicitando</w:t>
      </w:r>
      <w:r w:rsidRPr="004E289D">
        <w:rPr>
          <w:rFonts w:ascii="Verdana" w:hAnsi="Verdana"/>
          <w:sz w:val="20"/>
          <w:szCs w:val="20"/>
          <w:lang w:val="es-ES"/>
        </w:rPr>
        <w:t xml:space="preserve"> que se hiciera efectiva la formalización de la propiedad comunitaria del territorio</w:t>
      </w:r>
      <w:r>
        <w:rPr>
          <w:rStyle w:val="Refdenotaalpie"/>
          <w:lang w:val="es-ES"/>
        </w:rPr>
        <w:footnoteReference w:id="135"/>
      </w:r>
      <w:r w:rsidRPr="004E289D">
        <w:rPr>
          <w:rFonts w:ascii="Verdana" w:hAnsi="Verdana"/>
          <w:sz w:val="20"/>
          <w:szCs w:val="20"/>
          <w:lang w:val="es-ES"/>
        </w:rPr>
        <w:t>, sin que consten avances durante esos años.</w:t>
      </w:r>
    </w:p>
    <w:p w14:paraId="5145A80D" w14:textId="77777777" w:rsidR="009805F2" w:rsidRDefault="009805F2" w:rsidP="009805F2">
      <w:pPr>
        <w:pStyle w:val="Prrafodelista"/>
        <w:spacing w:line="240" w:lineRule="auto"/>
        <w:rPr>
          <w:rFonts w:ascii="Verdana" w:hAnsi="Verdana"/>
          <w:color w:val="000000" w:themeColor="text1"/>
          <w:sz w:val="20"/>
          <w:szCs w:val="20"/>
          <w:lang w:val="es-ES"/>
        </w:rPr>
      </w:pPr>
    </w:p>
    <w:p w14:paraId="784CD4C9" w14:textId="77777777" w:rsidR="009805F2" w:rsidRPr="00EF237D" w:rsidRDefault="009805F2" w:rsidP="009805F2">
      <w:pPr>
        <w:pStyle w:val="Prrafodelista"/>
        <w:spacing w:line="240" w:lineRule="auto"/>
        <w:ind w:left="1134"/>
        <w:outlineLvl w:val="4"/>
        <w:rPr>
          <w:rFonts w:ascii="Verdana" w:hAnsi="Verdana"/>
          <w:i/>
          <w:sz w:val="20"/>
          <w:szCs w:val="20"/>
        </w:rPr>
      </w:pPr>
      <w:bookmarkStart w:id="148" w:name="_Toc32218847"/>
      <w:bookmarkStart w:id="149" w:name="_Toc32227120"/>
      <w:bookmarkStart w:id="150" w:name="_Toc34337549"/>
      <w:r w:rsidRPr="00EF237D">
        <w:rPr>
          <w:rFonts w:ascii="Verdana" w:hAnsi="Verdana"/>
          <w:i/>
          <w:sz w:val="20"/>
          <w:szCs w:val="20"/>
        </w:rPr>
        <w:t>B.2.2</w:t>
      </w:r>
      <w:r>
        <w:rPr>
          <w:rFonts w:ascii="Verdana" w:hAnsi="Verdana"/>
          <w:i/>
          <w:sz w:val="20"/>
          <w:szCs w:val="20"/>
        </w:rPr>
        <w:t>.2</w:t>
      </w:r>
      <w:r w:rsidRPr="00EF237D">
        <w:rPr>
          <w:rFonts w:ascii="Verdana" w:hAnsi="Verdana"/>
          <w:i/>
          <w:sz w:val="20"/>
          <w:szCs w:val="20"/>
        </w:rPr>
        <w:t xml:space="preserve"> Entre 1999 y 2004</w:t>
      </w:r>
      <w:bookmarkEnd w:id="148"/>
      <w:bookmarkEnd w:id="149"/>
      <w:bookmarkEnd w:id="150"/>
    </w:p>
    <w:p w14:paraId="368C0999" w14:textId="77777777" w:rsidR="009805F2" w:rsidRPr="004E289D" w:rsidRDefault="009805F2" w:rsidP="009805F2">
      <w:pPr>
        <w:pStyle w:val="Prrafodelista"/>
        <w:spacing w:line="240" w:lineRule="auto"/>
        <w:rPr>
          <w:rFonts w:ascii="Verdana" w:hAnsi="Verdana"/>
          <w:color w:val="000000" w:themeColor="text1"/>
          <w:sz w:val="20"/>
          <w:szCs w:val="20"/>
          <w:lang w:val="es-ES"/>
        </w:rPr>
      </w:pPr>
    </w:p>
    <w:p w14:paraId="3558FFAF" w14:textId="4F2C407F" w:rsidR="009805F2" w:rsidRPr="004E289D"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4E289D">
        <w:rPr>
          <w:rFonts w:ascii="Verdana" w:hAnsi="Verdana"/>
          <w:color w:val="000000" w:themeColor="text1"/>
          <w:sz w:val="20"/>
          <w:szCs w:val="20"/>
          <w:lang w:val="es-ES"/>
        </w:rPr>
        <w:t xml:space="preserve">En 1999 se advierte un cambio en la conducta estatal, a partir del Decreto 461/99, </w:t>
      </w:r>
      <w:r w:rsidRPr="004E289D">
        <w:rPr>
          <w:rFonts w:ascii="Verdana" w:hAnsi="Verdana"/>
          <w:sz w:val="20"/>
          <w:szCs w:val="20"/>
        </w:rPr>
        <w:t xml:space="preserve">por medio del cual la Provincia </w:t>
      </w:r>
      <w:r w:rsidRPr="004E289D">
        <w:rPr>
          <w:rFonts w:ascii="Verdana" w:hAnsi="Verdana"/>
          <w:sz w:val="20"/>
          <w:szCs w:val="20"/>
          <w:lang w:val="es-ES"/>
        </w:rPr>
        <w:t>realizó adjudicaciones de parcelas dentro del lote 55 a algunos individuos y comunidades indígenas allí asentadas</w:t>
      </w:r>
      <w:r w:rsidRPr="00BB2EA8">
        <w:rPr>
          <w:rStyle w:val="Refdenotaalpie"/>
          <w:rFonts w:ascii="Verdana" w:hAnsi="Verdana"/>
          <w:sz w:val="20"/>
          <w:lang w:val="es-ES"/>
        </w:rPr>
        <w:footnoteReference w:id="136"/>
      </w:r>
      <w:r w:rsidRPr="004E289D">
        <w:rPr>
          <w:rFonts w:ascii="Verdana" w:hAnsi="Verdana"/>
          <w:color w:val="000000" w:themeColor="text1"/>
          <w:sz w:val="20"/>
          <w:szCs w:val="20"/>
          <w:lang w:val="es-ES"/>
        </w:rPr>
        <w:t>. El Decreto buscó asignar parcelas en contravención a la unidad del territorio indígena y a lo establecido por el propio Estado mediante el Decreto 2609/91 (</w:t>
      </w:r>
      <w:r w:rsidRPr="004E289D">
        <w:rPr>
          <w:rFonts w:ascii="Verdana" w:hAnsi="Verdana"/>
          <w:i/>
          <w:color w:val="000000" w:themeColor="text1"/>
          <w:sz w:val="20"/>
          <w:szCs w:val="20"/>
          <w:lang w:val="es-ES"/>
        </w:rPr>
        <w:t>supra</w:t>
      </w:r>
      <w:r w:rsidRPr="004E289D">
        <w:rPr>
          <w:rFonts w:ascii="Verdana" w:hAnsi="Verdana"/>
          <w:color w:val="000000" w:themeColor="text1"/>
          <w:sz w:val="20"/>
          <w:szCs w:val="20"/>
          <w:lang w:val="es-ES"/>
        </w:rPr>
        <w:t xml:space="preserve"> párrs. </w:t>
      </w:r>
      <w:r>
        <w:rPr>
          <w:rFonts w:ascii="Verdana" w:hAnsi="Verdana"/>
          <w:color w:val="000000" w:themeColor="text1"/>
          <w:sz w:val="20"/>
          <w:szCs w:val="20"/>
          <w:lang w:val="es-ES"/>
        </w:rPr>
        <w:t>60 y 124</w:t>
      </w:r>
      <w:r w:rsidRPr="004E289D">
        <w:rPr>
          <w:rFonts w:ascii="Verdana" w:hAnsi="Verdana"/>
          <w:color w:val="000000" w:themeColor="text1"/>
          <w:sz w:val="20"/>
          <w:szCs w:val="20"/>
          <w:lang w:val="es-ES"/>
        </w:rPr>
        <w:t>). L</w:t>
      </w:r>
      <w:r w:rsidRPr="004E289D">
        <w:rPr>
          <w:rFonts w:ascii="Verdana" w:hAnsi="Verdana"/>
          <w:sz w:val="20"/>
          <w:szCs w:val="20"/>
        </w:rPr>
        <w:t>a C</w:t>
      </w:r>
      <w:r>
        <w:rPr>
          <w:rFonts w:ascii="Verdana" w:hAnsi="Verdana"/>
          <w:sz w:val="20"/>
          <w:szCs w:val="20"/>
        </w:rPr>
        <w:t xml:space="preserve">orte de </w:t>
      </w:r>
      <w:r w:rsidRPr="004E289D">
        <w:rPr>
          <w:rFonts w:ascii="Verdana" w:hAnsi="Verdana"/>
          <w:sz w:val="20"/>
          <w:szCs w:val="20"/>
        </w:rPr>
        <w:t>J</w:t>
      </w:r>
      <w:r>
        <w:rPr>
          <w:rFonts w:ascii="Verdana" w:hAnsi="Verdana"/>
          <w:sz w:val="20"/>
          <w:szCs w:val="20"/>
        </w:rPr>
        <w:t xml:space="preserve">usticia de </w:t>
      </w:r>
      <w:r w:rsidRPr="004E289D">
        <w:rPr>
          <w:rFonts w:ascii="Verdana" w:hAnsi="Verdana"/>
          <w:sz w:val="20"/>
          <w:szCs w:val="20"/>
        </w:rPr>
        <w:t>S</w:t>
      </w:r>
      <w:r>
        <w:rPr>
          <w:rFonts w:ascii="Verdana" w:hAnsi="Verdana"/>
          <w:sz w:val="20"/>
          <w:szCs w:val="20"/>
        </w:rPr>
        <w:t>alta</w:t>
      </w:r>
      <w:r w:rsidRPr="004E289D">
        <w:rPr>
          <w:rFonts w:ascii="Verdana" w:hAnsi="Verdana"/>
          <w:sz w:val="20"/>
          <w:szCs w:val="20"/>
        </w:rPr>
        <w:t xml:space="preserve"> declaró en 2007 “sin efecto” el Decreto 461/99 (</w:t>
      </w:r>
      <w:r w:rsidRPr="004E289D">
        <w:rPr>
          <w:rFonts w:ascii="Verdana" w:hAnsi="Verdana"/>
          <w:i/>
          <w:sz w:val="20"/>
          <w:szCs w:val="20"/>
        </w:rPr>
        <w:t xml:space="preserve">infra </w:t>
      </w:r>
      <w:r w:rsidRPr="004E289D">
        <w:rPr>
          <w:rFonts w:ascii="Verdana" w:hAnsi="Verdana"/>
          <w:sz w:val="20"/>
          <w:szCs w:val="20"/>
        </w:rPr>
        <w:t xml:space="preserve">párr. </w:t>
      </w:r>
      <w:r>
        <w:rPr>
          <w:rFonts w:ascii="Verdana" w:hAnsi="Verdana"/>
          <w:sz w:val="20"/>
          <w:szCs w:val="20"/>
        </w:rPr>
        <w:t>300</w:t>
      </w:r>
      <w:r w:rsidRPr="004E289D">
        <w:rPr>
          <w:rFonts w:ascii="Verdana" w:hAnsi="Verdana"/>
          <w:sz w:val="20"/>
          <w:szCs w:val="20"/>
        </w:rPr>
        <w:t>), señalando que el mismo fue dictado sin que el proceso anterior cumpliera la “salvaguarda de los derechos fundamentales de los pobladores aborígenes” pues se había “impedido […] que estos tuvieran la adecuada oportunidad de hacer conocer sus opiniones en defensa de los derechos que esgrimen sobre las tierras”</w:t>
      </w:r>
      <w:r>
        <w:rPr>
          <w:rStyle w:val="Refdenotaalpie"/>
          <w:rFonts w:ascii="Verdana" w:hAnsi="Verdana"/>
          <w:sz w:val="20"/>
        </w:rPr>
        <w:footnoteReference w:id="137"/>
      </w:r>
      <w:r w:rsidRPr="004E289D">
        <w:rPr>
          <w:rFonts w:ascii="Verdana" w:hAnsi="Verdana"/>
          <w:sz w:val="20"/>
          <w:szCs w:val="20"/>
        </w:rPr>
        <w:t xml:space="preserve">. </w:t>
      </w:r>
    </w:p>
    <w:p w14:paraId="3255B2E5" w14:textId="77777777" w:rsidR="009805F2" w:rsidRDefault="009805F2" w:rsidP="009805F2">
      <w:pPr>
        <w:pStyle w:val="Prrafodelista"/>
        <w:spacing w:after="0" w:line="240" w:lineRule="auto"/>
        <w:ind w:left="0" w:right="6"/>
        <w:jc w:val="both"/>
        <w:rPr>
          <w:rFonts w:ascii="Verdana" w:eastAsia="Batang" w:hAnsi="Verdana" w:cs="Times"/>
          <w:sz w:val="20"/>
          <w:szCs w:val="20"/>
          <w:lang w:val="es-CR" w:eastAsia="es-CR"/>
        </w:rPr>
      </w:pPr>
    </w:p>
    <w:p w14:paraId="1CBCB843" w14:textId="2F9DAC96" w:rsidR="009805F2"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4E289D">
        <w:rPr>
          <w:rFonts w:ascii="Verdana" w:hAnsi="Verdana"/>
          <w:sz w:val="20"/>
          <w:szCs w:val="20"/>
        </w:rPr>
        <w:t>Con posterioridad a la emisión del Decreto 461 en 1999</w:t>
      </w:r>
      <w:r w:rsidR="00884D97">
        <w:rPr>
          <w:rFonts w:ascii="Verdana" w:hAnsi="Verdana"/>
          <w:sz w:val="20"/>
          <w:szCs w:val="20"/>
        </w:rPr>
        <w:t>,</w:t>
      </w:r>
      <w:r w:rsidRPr="004E289D">
        <w:rPr>
          <w:rFonts w:ascii="Verdana" w:hAnsi="Verdana"/>
          <w:sz w:val="20"/>
          <w:szCs w:val="20"/>
        </w:rPr>
        <w:t xml:space="preserve"> se sucedieron acto</w:t>
      </w:r>
      <w:r>
        <w:rPr>
          <w:rFonts w:ascii="Verdana" w:hAnsi="Verdana"/>
          <w:sz w:val="20"/>
          <w:szCs w:val="20"/>
        </w:rPr>
        <w:t>s estatales en el mismo sentido,</w:t>
      </w:r>
      <w:r w:rsidRPr="004E289D">
        <w:rPr>
          <w:rFonts w:ascii="Verdana" w:hAnsi="Verdana"/>
          <w:sz w:val="20"/>
          <w:szCs w:val="20"/>
        </w:rPr>
        <w:t xml:space="preserve"> es decir, contrarios a la unidad y continuidad del territorio. Entre tales actos cabe destacar la publicación de edictos para adjudicar terrenos en los lotes 14 y 55 y propuestas gubernamentales de entrega</w:t>
      </w:r>
      <w:r w:rsidR="0006409D">
        <w:rPr>
          <w:rFonts w:ascii="Verdana" w:hAnsi="Verdana"/>
          <w:sz w:val="20"/>
          <w:szCs w:val="20"/>
        </w:rPr>
        <w:t xml:space="preserve"> de</w:t>
      </w:r>
      <w:r w:rsidRPr="004E289D">
        <w:rPr>
          <w:rFonts w:ascii="Verdana" w:hAnsi="Verdana"/>
          <w:sz w:val="20"/>
          <w:szCs w:val="20"/>
        </w:rPr>
        <w:t xml:space="preserve"> la propiedad en forma fraccionada (</w:t>
      </w:r>
      <w:r w:rsidRPr="004E289D">
        <w:rPr>
          <w:rFonts w:ascii="Verdana" w:hAnsi="Verdana"/>
          <w:i/>
          <w:sz w:val="20"/>
          <w:szCs w:val="20"/>
        </w:rPr>
        <w:t>supra</w:t>
      </w:r>
      <w:r w:rsidRPr="004E289D">
        <w:rPr>
          <w:rFonts w:ascii="Verdana" w:hAnsi="Verdana"/>
          <w:sz w:val="20"/>
          <w:szCs w:val="20"/>
        </w:rPr>
        <w:t>, párr</w:t>
      </w:r>
      <w:r>
        <w:rPr>
          <w:rFonts w:ascii="Verdana" w:hAnsi="Verdana"/>
          <w:sz w:val="20"/>
          <w:szCs w:val="20"/>
        </w:rPr>
        <w:t>s</w:t>
      </w:r>
      <w:r w:rsidRPr="004E289D">
        <w:rPr>
          <w:rFonts w:ascii="Verdana" w:hAnsi="Verdana"/>
          <w:sz w:val="20"/>
          <w:szCs w:val="20"/>
        </w:rPr>
        <w:t xml:space="preserve">. </w:t>
      </w:r>
      <w:r>
        <w:rPr>
          <w:rFonts w:ascii="Verdana" w:hAnsi="Verdana"/>
          <w:sz w:val="20"/>
          <w:szCs w:val="20"/>
        </w:rPr>
        <w:t>65 y 66</w:t>
      </w:r>
      <w:r w:rsidRPr="004E289D">
        <w:rPr>
          <w:rFonts w:ascii="Verdana" w:hAnsi="Verdana"/>
          <w:sz w:val="20"/>
          <w:szCs w:val="20"/>
        </w:rPr>
        <w:t xml:space="preserve">). Por otra parte, si bien no son en sí mismos lesivos del derecho de propiedad el </w:t>
      </w:r>
      <w:r w:rsidRPr="004E289D">
        <w:rPr>
          <w:rFonts w:ascii="Verdana" w:hAnsi="Verdana"/>
          <w:sz w:val="20"/>
          <w:szCs w:val="20"/>
          <w:lang w:val="es-ES"/>
        </w:rPr>
        <w:t>Decreto No. 339/01, dictado para completar la “cartografía” de los lotes 55 y 14 y las acciones de mensura de 2001 y años posteriores</w:t>
      </w:r>
      <w:r>
        <w:rPr>
          <w:rFonts w:ascii="Verdana" w:hAnsi="Verdana"/>
          <w:sz w:val="20"/>
          <w:szCs w:val="20"/>
          <w:lang w:val="es-ES"/>
        </w:rPr>
        <w:t xml:space="preserve"> </w:t>
      </w:r>
      <w:r w:rsidRPr="004E289D">
        <w:rPr>
          <w:rFonts w:ascii="Verdana" w:hAnsi="Verdana"/>
          <w:sz w:val="20"/>
          <w:szCs w:val="20"/>
          <w:lang w:val="es-ES"/>
        </w:rPr>
        <w:t>(</w:t>
      </w:r>
      <w:r w:rsidRPr="004E289D">
        <w:rPr>
          <w:rFonts w:ascii="Verdana" w:hAnsi="Verdana"/>
          <w:i/>
          <w:sz w:val="20"/>
          <w:szCs w:val="20"/>
          <w:lang w:val="es-ES"/>
        </w:rPr>
        <w:t xml:space="preserve">supra </w:t>
      </w:r>
      <w:r w:rsidRPr="004E289D">
        <w:rPr>
          <w:rFonts w:ascii="Verdana" w:hAnsi="Verdana"/>
          <w:sz w:val="20"/>
          <w:szCs w:val="20"/>
          <w:lang w:val="es-ES"/>
        </w:rPr>
        <w:t>párr</w:t>
      </w:r>
      <w:r>
        <w:rPr>
          <w:rFonts w:ascii="Verdana" w:hAnsi="Verdana"/>
          <w:sz w:val="20"/>
          <w:szCs w:val="20"/>
          <w:lang w:val="es-ES"/>
        </w:rPr>
        <w:t>s</w:t>
      </w:r>
      <w:r w:rsidRPr="004E289D">
        <w:rPr>
          <w:rFonts w:ascii="Verdana" w:hAnsi="Verdana"/>
          <w:sz w:val="20"/>
          <w:szCs w:val="20"/>
          <w:lang w:val="es-ES"/>
        </w:rPr>
        <w:t xml:space="preserve">. </w:t>
      </w:r>
      <w:r>
        <w:rPr>
          <w:rFonts w:ascii="Verdana" w:hAnsi="Verdana"/>
          <w:sz w:val="20"/>
          <w:szCs w:val="20"/>
          <w:lang w:val="es-ES"/>
        </w:rPr>
        <w:t>67 y 68</w:t>
      </w:r>
      <w:r w:rsidRPr="004E289D">
        <w:rPr>
          <w:rFonts w:ascii="Verdana" w:hAnsi="Verdana"/>
          <w:sz w:val="20"/>
          <w:szCs w:val="20"/>
          <w:lang w:val="es-ES"/>
        </w:rPr>
        <w:t xml:space="preserve">), sí se advierte del conjunto de los hechos del caso que fueron actos realizados </w:t>
      </w:r>
      <w:r w:rsidRPr="004E289D">
        <w:rPr>
          <w:rFonts w:ascii="Verdana" w:hAnsi="Verdana"/>
          <w:sz w:val="20"/>
          <w:szCs w:val="20"/>
          <w:lang w:val="es-ES"/>
        </w:rPr>
        <w:lastRenderedPageBreak/>
        <w:t xml:space="preserve">en el marco de una conducta estatal contraria a un reconocimiento unificado del territorio indígena. </w:t>
      </w:r>
    </w:p>
    <w:p w14:paraId="0EF5973E" w14:textId="77777777" w:rsidR="009805F2" w:rsidRPr="004E289D" w:rsidRDefault="009805F2" w:rsidP="009805F2">
      <w:pPr>
        <w:pStyle w:val="Prrafodelista"/>
        <w:spacing w:line="240" w:lineRule="auto"/>
        <w:rPr>
          <w:rFonts w:ascii="Verdana" w:hAnsi="Verdana"/>
          <w:sz w:val="20"/>
          <w:szCs w:val="20"/>
          <w:lang w:val="es-ES"/>
        </w:rPr>
      </w:pPr>
    </w:p>
    <w:p w14:paraId="7EB7E223" w14:textId="77777777" w:rsidR="009805F2"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4E289D">
        <w:rPr>
          <w:rFonts w:ascii="Verdana" w:hAnsi="Verdana"/>
          <w:sz w:val="20"/>
          <w:szCs w:val="20"/>
          <w:lang w:val="es-ES"/>
        </w:rPr>
        <w:t>Estas actuaciones fueron contrarias a los actos que, respecto a la propiedad indígena, el propio Estado había instrumentado</w:t>
      </w:r>
      <w:r>
        <w:rPr>
          <w:rFonts w:ascii="Verdana" w:hAnsi="Verdana"/>
          <w:sz w:val="20"/>
          <w:szCs w:val="20"/>
          <w:lang w:val="es-ES"/>
        </w:rPr>
        <w:t>,</w:t>
      </w:r>
      <w:r w:rsidRPr="004E289D">
        <w:rPr>
          <w:rFonts w:ascii="Verdana" w:hAnsi="Verdana"/>
          <w:sz w:val="20"/>
          <w:szCs w:val="20"/>
          <w:lang w:val="es-ES"/>
        </w:rPr>
        <w:t xml:space="preserve"> a partir del Decreto 2609/91, contemplando la unidad del territorio. </w:t>
      </w:r>
    </w:p>
    <w:p w14:paraId="6F6B56E4" w14:textId="77777777" w:rsidR="009805F2" w:rsidRDefault="009805F2" w:rsidP="009805F2">
      <w:pPr>
        <w:pStyle w:val="Prrafodelista"/>
        <w:spacing w:line="240" w:lineRule="auto"/>
        <w:rPr>
          <w:rFonts w:ascii="Verdana" w:hAnsi="Verdana"/>
          <w:sz w:val="20"/>
          <w:szCs w:val="20"/>
        </w:rPr>
      </w:pPr>
    </w:p>
    <w:p w14:paraId="03F1648A" w14:textId="77777777" w:rsidR="009805F2" w:rsidRPr="00EF237D" w:rsidRDefault="009805F2" w:rsidP="009805F2">
      <w:pPr>
        <w:pStyle w:val="Prrafodelista"/>
        <w:spacing w:line="240" w:lineRule="auto"/>
        <w:ind w:left="1134"/>
        <w:outlineLvl w:val="4"/>
        <w:rPr>
          <w:rFonts w:ascii="Verdana" w:hAnsi="Verdana"/>
          <w:i/>
          <w:sz w:val="20"/>
          <w:szCs w:val="20"/>
        </w:rPr>
      </w:pPr>
      <w:bookmarkStart w:id="151" w:name="_Toc32218848"/>
      <w:bookmarkStart w:id="152" w:name="_Toc32227121"/>
      <w:bookmarkStart w:id="153" w:name="_Toc34337550"/>
      <w:r w:rsidRPr="00EF237D">
        <w:rPr>
          <w:rFonts w:ascii="Verdana" w:hAnsi="Verdana"/>
          <w:i/>
          <w:sz w:val="20"/>
          <w:szCs w:val="20"/>
        </w:rPr>
        <w:t>B.2.</w:t>
      </w:r>
      <w:r>
        <w:rPr>
          <w:rFonts w:ascii="Verdana" w:hAnsi="Verdana"/>
          <w:i/>
          <w:sz w:val="20"/>
          <w:szCs w:val="20"/>
        </w:rPr>
        <w:t>2.3</w:t>
      </w:r>
      <w:r w:rsidRPr="00EF237D">
        <w:rPr>
          <w:rFonts w:ascii="Verdana" w:hAnsi="Verdana"/>
          <w:i/>
          <w:sz w:val="20"/>
          <w:szCs w:val="20"/>
        </w:rPr>
        <w:t xml:space="preserve"> </w:t>
      </w:r>
      <w:r>
        <w:rPr>
          <w:rFonts w:ascii="Verdana" w:hAnsi="Verdana"/>
          <w:i/>
          <w:sz w:val="20"/>
          <w:szCs w:val="20"/>
        </w:rPr>
        <w:t>2005 y 2006</w:t>
      </w:r>
      <w:bookmarkEnd w:id="151"/>
      <w:bookmarkEnd w:id="152"/>
      <w:bookmarkEnd w:id="153"/>
    </w:p>
    <w:p w14:paraId="5EAAB169" w14:textId="77777777" w:rsidR="009805F2" w:rsidRPr="004E289D" w:rsidRDefault="009805F2" w:rsidP="009805F2">
      <w:pPr>
        <w:pStyle w:val="Prrafodelista"/>
        <w:spacing w:line="240" w:lineRule="auto"/>
        <w:rPr>
          <w:rFonts w:ascii="Verdana" w:hAnsi="Verdana"/>
          <w:sz w:val="20"/>
          <w:szCs w:val="20"/>
        </w:rPr>
      </w:pPr>
    </w:p>
    <w:p w14:paraId="5564FA96" w14:textId="23463844" w:rsidR="009805F2" w:rsidRPr="004E289D"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4E289D">
        <w:rPr>
          <w:rFonts w:ascii="Verdana" w:hAnsi="Verdana"/>
          <w:sz w:val="20"/>
          <w:szCs w:val="20"/>
        </w:rPr>
        <w:t>En 2005 se realizó un referéndum cuyas circunstancias fueron narradas en el capítulo VI de esta Sentencia (</w:t>
      </w:r>
      <w:r w:rsidRPr="004E289D">
        <w:rPr>
          <w:rFonts w:ascii="Verdana" w:hAnsi="Verdana"/>
          <w:i/>
          <w:sz w:val="20"/>
          <w:szCs w:val="20"/>
        </w:rPr>
        <w:t>supra</w:t>
      </w:r>
      <w:r w:rsidRPr="004E289D">
        <w:rPr>
          <w:rFonts w:ascii="Verdana" w:hAnsi="Verdana"/>
          <w:sz w:val="20"/>
          <w:szCs w:val="20"/>
        </w:rPr>
        <w:t xml:space="preserve"> párrs. </w:t>
      </w:r>
      <w:r>
        <w:rPr>
          <w:rFonts w:ascii="Verdana" w:hAnsi="Verdana"/>
          <w:sz w:val="20"/>
          <w:szCs w:val="20"/>
        </w:rPr>
        <w:t>71 a 73</w:t>
      </w:r>
      <w:r w:rsidRPr="004E289D">
        <w:rPr>
          <w:rFonts w:ascii="Verdana" w:hAnsi="Verdana"/>
          <w:sz w:val="20"/>
          <w:szCs w:val="20"/>
        </w:rPr>
        <w:t xml:space="preserve">). </w:t>
      </w:r>
    </w:p>
    <w:p w14:paraId="1DEE267C" w14:textId="77777777" w:rsidR="009805F2" w:rsidRDefault="009805F2" w:rsidP="009805F2">
      <w:pPr>
        <w:pStyle w:val="Prrafodelista"/>
        <w:spacing w:after="0" w:line="240" w:lineRule="auto"/>
        <w:ind w:left="0" w:right="6"/>
        <w:jc w:val="both"/>
        <w:rPr>
          <w:rFonts w:ascii="Verdana" w:eastAsia="Batang" w:hAnsi="Verdana" w:cs="Times"/>
          <w:sz w:val="20"/>
          <w:szCs w:val="20"/>
          <w:lang w:val="es-CR" w:eastAsia="es-CR"/>
        </w:rPr>
      </w:pPr>
    </w:p>
    <w:p w14:paraId="54471C4B" w14:textId="1851DF9F" w:rsidR="009805F2" w:rsidRPr="004E289D"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4E289D">
        <w:rPr>
          <w:rFonts w:ascii="Verdana" w:hAnsi="Verdana"/>
          <w:sz w:val="20"/>
          <w:szCs w:val="20"/>
        </w:rPr>
        <w:t>La Corte nota que, como señaló el Estado, el resultado del referéndum no tuvo efectos pues</w:t>
      </w:r>
      <w:r>
        <w:rPr>
          <w:rFonts w:ascii="Verdana" w:hAnsi="Verdana"/>
          <w:sz w:val="20"/>
          <w:szCs w:val="20"/>
        </w:rPr>
        <w:t>,</w:t>
      </w:r>
      <w:r w:rsidRPr="004E289D">
        <w:rPr>
          <w:rFonts w:ascii="Verdana" w:hAnsi="Verdana"/>
          <w:sz w:val="20"/>
          <w:szCs w:val="20"/>
        </w:rPr>
        <w:t xml:space="preserve"> como se explica más adelante, se dictaron actos posteriores que, prescindiendo del resultado de esa consulta, implicaron el reconocimiento estatal de propiedad de las comunidades indígenas. Este Tribunal entiende que, en principio, podría ser contrario al respeto al derecho de propiedad</w:t>
      </w:r>
      <w:r w:rsidRPr="004E289D">
        <w:rPr>
          <w:rFonts w:ascii="Verdana" w:hAnsi="Verdana"/>
          <w:b/>
          <w:sz w:val="20"/>
          <w:szCs w:val="20"/>
        </w:rPr>
        <w:t xml:space="preserve"> </w:t>
      </w:r>
      <w:r w:rsidRPr="004E289D">
        <w:rPr>
          <w:rFonts w:ascii="Verdana" w:hAnsi="Verdana"/>
          <w:sz w:val="20"/>
          <w:szCs w:val="20"/>
        </w:rPr>
        <w:t>comunitaria indígena que</w:t>
      </w:r>
      <w:r w:rsidRPr="004E289D">
        <w:rPr>
          <w:rFonts w:ascii="Verdana" w:hAnsi="Verdana"/>
          <w:b/>
          <w:sz w:val="20"/>
          <w:szCs w:val="20"/>
        </w:rPr>
        <w:t xml:space="preserve"> </w:t>
      </w:r>
      <w:r w:rsidRPr="004E289D">
        <w:rPr>
          <w:rFonts w:ascii="Verdana" w:hAnsi="Verdana"/>
          <w:sz w:val="20"/>
          <w:szCs w:val="20"/>
        </w:rPr>
        <w:t>se</w:t>
      </w:r>
      <w:r w:rsidRPr="004E289D">
        <w:rPr>
          <w:rFonts w:ascii="Verdana" w:hAnsi="Verdana"/>
          <w:b/>
          <w:sz w:val="20"/>
          <w:szCs w:val="20"/>
        </w:rPr>
        <w:t xml:space="preserve"> </w:t>
      </w:r>
      <w:r w:rsidRPr="004E289D">
        <w:rPr>
          <w:rFonts w:ascii="Verdana" w:hAnsi="Verdana"/>
          <w:sz w:val="20"/>
          <w:szCs w:val="20"/>
        </w:rPr>
        <w:t>sometiera su reconocimiento a la decisión mayoritaria de la ciudadanía. No obstante,</w:t>
      </w:r>
      <w:r w:rsidR="00AA2931">
        <w:rPr>
          <w:rFonts w:ascii="Verdana" w:hAnsi="Verdana"/>
          <w:sz w:val="20"/>
          <w:szCs w:val="20"/>
        </w:rPr>
        <w:t xml:space="preserve"> en este caso, la Corte considera</w:t>
      </w:r>
      <w:r w:rsidRPr="004E289D">
        <w:rPr>
          <w:rFonts w:ascii="Verdana" w:hAnsi="Verdana"/>
          <w:sz w:val="20"/>
          <w:szCs w:val="20"/>
        </w:rPr>
        <w:t xml:space="preserve"> que no es necesario pronunciarse sobre el referéndum, dada la carencia de efectos señalada. Dado lo anterior, no resulta tampoco necesario examinar los alegatos de los representantes sobre la presunta afectación, en relación con el referéndum, de los derechos políticos establecidos en el artículo 23 de la Convención. </w:t>
      </w:r>
    </w:p>
    <w:p w14:paraId="47153A65" w14:textId="77777777" w:rsidR="009805F2" w:rsidRDefault="009805F2" w:rsidP="009805F2">
      <w:pPr>
        <w:pStyle w:val="Prrafodelista"/>
        <w:spacing w:line="240" w:lineRule="auto"/>
        <w:rPr>
          <w:rFonts w:ascii="Verdana" w:hAnsi="Verdana"/>
          <w:sz w:val="20"/>
          <w:szCs w:val="20"/>
        </w:rPr>
      </w:pPr>
    </w:p>
    <w:p w14:paraId="146E03AB" w14:textId="77777777" w:rsidR="009805F2" w:rsidRPr="00190177" w:rsidRDefault="009805F2" w:rsidP="009805F2">
      <w:pPr>
        <w:pStyle w:val="Prrafodelista"/>
        <w:autoSpaceDE w:val="0"/>
        <w:autoSpaceDN w:val="0"/>
        <w:adjustRightInd w:val="0"/>
        <w:spacing w:after="0" w:line="240" w:lineRule="auto"/>
        <w:ind w:left="851"/>
        <w:jc w:val="both"/>
        <w:outlineLvl w:val="4"/>
        <w:rPr>
          <w:rFonts w:ascii="Verdana" w:hAnsi="Verdana" w:cs="Tahoma"/>
          <w:i/>
          <w:sz w:val="20"/>
          <w:szCs w:val="20"/>
        </w:rPr>
      </w:pPr>
      <w:bookmarkStart w:id="154" w:name="_Toc32218849"/>
      <w:bookmarkStart w:id="155" w:name="_Toc32227122"/>
      <w:bookmarkStart w:id="156" w:name="_Toc34337551"/>
      <w:r w:rsidRPr="00190177">
        <w:rPr>
          <w:rFonts w:ascii="Verdana" w:hAnsi="Verdana" w:cs="Tahoma"/>
          <w:i/>
          <w:sz w:val="20"/>
          <w:szCs w:val="20"/>
        </w:rPr>
        <w:t>B.2.</w:t>
      </w:r>
      <w:r>
        <w:rPr>
          <w:rFonts w:ascii="Verdana" w:hAnsi="Verdana" w:cs="Tahoma"/>
          <w:i/>
          <w:sz w:val="20"/>
          <w:szCs w:val="20"/>
        </w:rPr>
        <w:t>2.4</w:t>
      </w:r>
      <w:r w:rsidRPr="00190177">
        <w:rPr>
          <w:rFonts w:ascii="Verdana" w:hAnsi="Verdana" w:cs="Tahoma"/>
          <w:i/>
          <w:sz w:val="20"/>
          <w:szCs w:val="20"/>
        </w:rPr>
        <w:t xml:space="preserve"> El proceso de acuerdos </w:t>
      </w:r>
      <w:r>
        <w:rPr>
          <w:rFonts w:ascii="Verdana" w:hAnsi="Verdana" w:cs="Tahoma"/>
          <w:i/>
          <w:sz w:val="20"/>
          <w:szCs w:val="20"/>
        </w:rPr>
        <w:t>a partir de 2007</w:t>
      </w:r>
      <w:bookmarkEnd w:id="154"/>
      <w:bookmarkEnd w:id="155"/>
      <w:bookmarkEnd w:id="156"/>
    </w:p>
    <w:p w14:paraId="5B8F7BD4" w14:textId="77777777" w:rsidR="009805F2" w:rsidRPr="004E289D" w:rsidRDefault="009805F2" w:rsidP="009805F2">
      <w:pPr>
        <w:pStyle w:val="Prrafodelista"/>
        <w:spacing w:line="240" w:lineRule="auto"/>
        <w:rPr>
          <w:rFonts w:ascii="Verdana" w:hAnsi="Verdana"/>
          <w:sz w:val="20"/>
          <w:szCs w:val="20"/>
        </w:rPr>
      </w:pPr>
    </w:p>
    <w:p w14:paraId="2A8E6383" w14:textId="77777777" w:rsidR="009805F2" w:rsidRPr="004E289D"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4E289D">
        <w:rPr>
          <w:rFonts w:ascii="Verdana" w:hAnsi="Verdana"/>
          <w:sz w:val="20"/>
          <w:szCs w:val="20"/>
        </w:rPr>
        <w:t xml:space="preserve">Como surge de los hechos, luego de la realización del referéndum y pese a ello, de modo desvinculado del resultado que arrojó, prosiguieron las conversaciones entre las partes. Luego de reuniones desarrolladas en 2006 y 2007, el 23 de octubre de </w:t>
      </w:r>
      <w:r>
        <w:rPr>
          <w:rFonts w:ascii="Verdana" w:hAnsi="Verdana"/>
          <w:sz w:val="20"/>
          <w:szCs w:val="20"/>
        </w:rPr>
        <w:t>ese último año</w:t>
      </w:r>
      <w:r w:rsidRPr="004E289D">
        <w:rPr>
          <w:rFonts w:ascii="Verdana" w:hAnsi="Verdana"/>
          <w:sz w:val="20"/>
          <w:szCs w:val="20"/>
        </w:rPr>
        <w:t xml:space="preserve"> se dictó el Decreto 2786/07 que aprobó formalmente el Acta-Acuerdo de</w:t>
      </w:r>
      <w:r>
        <w:rPr>
          <w:rFonts w:ascii="Verdana" w:hAnsi="Verdana"/>
          <w:sz w:val="20"/>
          <w:szCs w:val="20"/>
        </w:rPr>
        <w:t>l día</w:t>
      </w:r>
      <w:r w:rsidRPr="004E289D">
        <w:rPr>
          <w:rFonts w:ascii="Verdana" w:hAnsi="Verdana"/>
          <w:sz w:val="20"/>
          <w:szCs w:val="20"/>
        </w:rPr>
        <w:t xml:space="preserve"> 17 de</w:t>
      </w:r>
      <w:r>
        <w:rPr>
          <w:rFonts w:ascii="Verdana" w:hAnsi="Verdana"/>
          <w:sz w:val="20"/>
          <w:szCs w:val="20"/>
        </w:rPr>
        <w:t>l mismo mes</w:t>
      </w:r>
      <w:r w:rsidRPr="004E289D">
        <w:rPr>
          <w:rFonts w:ascii="Verdana" w:hAnsi="Verdana"/>
          <w:sz w:val="20"/>
          <w:szCs w:val="20"/>
        </w:rPr>
        <w:t>, precedida a su vez de otros acuerdos (</w:t>
      </w:r>
      <w:r w:rsidRPr="004E289D">
        <w:rPr>
          <w:rFonts w:ascii="Verdana" w:hAnsi="Verdana"/>
          <w:i/>
          <w:sz w:val="20"/>
          <w:szCs w:val="20"/>
        </w:rPr>
        <w:t xml:space="preserve">supra </w:t>
      </w:r>
      <w:r w:rsidRPr="004E289D">
        <w:rPr>
          <w:rFonts w:ascii="Verdana" w:hAnsi="Verdana"/>
          <w:sz w:val="20"/>
          <w:szCs w:val="20"/>
        </w:rPr>
        <w:t xml:space="preserve">párrs. </w:t>
      </w:r>
      <w:r>
        <w:rPr>
          <w:rFonts w:ascii="Verdana" w:hAnsi="Verdana"/>
          <w:sz w:val="20"/>
          <w:szCs w:val="20"/>
        </w:rPr>
        <w:t>74 y 75</w:t>
      </w:r>
      <w:r w:rsidRPr="004E289D">
        <w:rPr>
          <w:rFonts w:ascii="Verdana" w:hAnsi="Verdana"/>
          <w:sz w:val="20"/>
          <w:szCs w:val="20"/>
        </w:rPr>
        <w:t>). A partir de ese Decreto y del Decreto 1498/14, emitido en 2014, el Estado ha reconocido mediante actos jurídicos el derecho de propiedad de las comunidades indígenas y su extensión de 400</w:t>
      </w:r>
      <w:r>
        <w:rPr>
          <w:rFonts w:ascii="Verdana" w:hAnsi="Verdana"/>
          <w:sz w:val="20"/>
          <w:szCs w:val="20"/>
        </w:rPr>
        <w:t>.</w:t>
      </w:r>
      <w:r w:rsidRPr="004E289D">
        <w:rPr>
          <w:rFonts w:ascii="Verdana" w:hAnsi="Verdana"/>
          <w:sz w:val="20"/>
          <w:szCs w:val="20"/>
        </w:rPr>
        <w:t xml:space="preserve">000 ha. </w:t>
      </w:r>
    </w:p>
    <w:p w14:paraId="338C56DB" w14:textId="77777777" w:rsidR="009805F2" w:rsidRDefault="009805F2" w:rsidP="009805F2">
      <w:pPr>
        <w:pStyle w:val="Prrafodelista"/>
        <w:spacing w:after="0" w:line="240" w:lineRule="auto"/>
        <w:ind w:left="0" w:right="6"/>
        <w:jc w:val="both"/>
        <w:rPr>
          <w:rFonts w:ascii="Verdana" w:eastAsia="Batang" w:hAnsi="Verdana" w:cs="Times"/>
          <w:sz w:val="20"/>
          <w:szCs w:val="20"/>
          <w:lang w:val="es-CR" w:eastAsia="es-CR"/>
        </w:rPr>
      </w:pPr>
    </w:p>
    <w:p w14:paraId="29ECE73A" w14:textId="2BA571F6" w:rsidR="009805F2"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4E289D">
        <w:rPr>
          <w:rFonts w:ascii="Verdana" w:hAnsi="Verdana"/>
          <w:sz w:val="20"/>
          <w:szCs w:val="20"/>
        </w:rPr>
        <w:t>El Decreto 2786/07 mandó una serie de actos posteriores, señalándolos como requisitos previos para “entrega[r]” la titularidad de las tierras y las escrituras públicas correspondientes.</w:t>
      </w:r>
      <w:r w:rsidRPr="004E289D">
        <w:rPr>
          <w:rFonts w:ascii="Verdana" w:hAnsi="Verdana" w:cs="Tahoma"/>
          <w:sz w:val="20"/>
          <w:szCs w:val="20"/>
        </w:rPr>
        <w:t xml:space="preserve"> </w:t>
      </w:r>
      <w:r w:rsidRPr="004E289D">
        <w:rPr>
          <w:rFonts w:ascii="Verdana" w:hAnsi="Verdana"/>
          <w:sz w:val="20"/>
          <w:szCs w:val="20"/>
        </w:rPr>
        <w:t xml:space="preserve">Previó un método de acuerdos de partes para las definiciones territoriales precisas y también que una vez concluidas “todas las gestiones necesarias”, se daría intervención a los órganos gubernamentales correspondientes para concretar las “operaciones [que] fueren menester”. </w:t>
      </w:r>
      <w:r w:rsidR="0006409D">
        <w:rPr>
          <w:rFonts w:ascii="Verdana" w:hAnsi="Verdana"/>
          <w:sz w:val="20"/>
          <w:szCs w:val="20"/>
        </w:rPr>
        <w:t>Todo ello</w:t>
      </w:r>
      <w:r w:rsidRPr="004E289D">
        <w:rPr>
          <w:rFonts w:ascii="Verdana" w:hAnsi="Verdana"/>
          <w:sz w:val="20"/>
          <w:szCs w:val="20"/>
        </w:rPr>
        <w:t xml:space="preserve"> para lograr la “entrega definitiva de la titularidad de las tierras” y el “otorga[miento de] las respectivas escrituras públicas a los beneficiarios sin costo alguno para los mismos”. Desde 2007 y hasta la actualidad se</w:t>
      </w:r>
      <w:r w:rsidR="00406EC5">
        <w:rPr>
          <w:rFonts w:ascii="Verdana" w:hAnsi="Verdana"/>
          <w:sz w:val="20"/>
          <w:szCs w:val="20"/>
        </w:rPr>
        <w:t xml:space="preserve"> ha desarrollado</w:t>
      </w:r>
      <w:r w:rsidRPr="004E289D">
        <w:rPr>
          <w:rFonts w:ascii="Verdana" w:hAnsi="Verdana"/>
          <w:sz w:val="20"/>
          <w:szCs w:val="20"/>
        </w:rPr>
        <w:t xml:space="preserve"> un proceso signado por la intervención estatal a través de la UEP y el diálogo entre pobladores criollos e indígenas, a fin de lograr acuerdos para el deslinde definitivo de la propiedad y el traslado de la población criolla.</w:t>
      </w:r>
    </w:p>
    <w:p w14:paraId="006F637B" w14:textId="77777777" w:rsidR="009805F2" w:rsidRPr="002F71F4" w:rsidRDefault="009805F2" w:rsidP="009805F2">
      <w:pPr>
        <w:pStyle w:val="Prrafodelista"/>
        <w:spacing w:line="240" w:lineRule="auto"/>
        <w:rPr>
          <w:rFonts w:ascii="Verdana" w:hAnsi="Verdana" w:cs="Tahoma"/>
          <w:sz w:val="20"/>
          <w:szCs w:val="20"/>
          <w:lang w:val="es-CR"/>
        </w:rPr>
      </w:pPr>
    </w:p>
    <w:p w14:paraId="4C481D21" w14:textId="57E95248" w:rsidR="009805F2"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4E289D">
        <w:rPr>
          <w:rFonts w:ascii="Verdana" w:hAnsi="Verdana" w:cs="Tahoma"/>
          <w:sz w:val="20"/>
          <w:szCs w:val="20"/>
        </w:rPr>
        <w:t>E</w:t>
      </w:r>
      <w:r w:rsidR="00406EC5">
        <w:rPr>
          <w:rFonts w:ascii="Verdana" w:hAnsi="Verdana" w:cs="Tahoma"/>
          <w:sz w:val="20"/>
          <w:szCs w:val="20"/>
        </w:rPr>
        <w:t>ste</w:t>
      </w:r>
      <w:r w:rsidRPr="004E289D">
        <w:rPr>
          <w:rFonts w:ascii="Verdana" w:hAnsi="Verdana" w:cs="Tahoma"/>
          <w:sz w:val="20"/>
          <w:szCs w:val="20"/>
        </w:rPr>
        <w:t xml:space="preserve"> proceso no ha concluido. Luego de instaurado, en 2012 </w:t>
      </w:r>
      <w:r w:rsidR="00406EC5">
        <w:rPr>
          <w:rFonts w:ascii="Verdana" w:hAnsi="Verdana" w:cs="Tahoma"/>
          <w:sz w:val="20"/>
          <w:szCs w:val="20"/>
        </w:rPr>
        <w:t>se expid</w:t>
      </w:r>
      <w:r w:rsidR="002F71F4">
        <w:rPr>
          <w:rFonts w:ascii="Verdana" w:hAnsi="Verdana" w:cs="Tahoma"/>
          <w:sz w:val="20"/>
          <w:szCs w:val="20"/>
        </w:rPr>
        <w:t>ió</w:t>
      </w:r>
      <w:r w:rsidR="00406EC5">
        <w:rPr>
          <w:rFonts w:ascii="Verdana" w:hAnsi="Verdana" w:cs="Tahoma"/>
          <w:sz w:val="20"/>
          <w:szCs w:val="20"/>
        </w:rPr>
        <w:t xml:space="preserve"> </w:t>
      </w:r>
      <w:r w:rsidRPr="004E289D">
        <w:rPr>
          <w:rFonts w:ascii="Verdana" w:hAnsi="Verdana" w:cs="Tahoma"/>
          <w:sz w:val="20"/>
          <w:szCs w:val="20"/>
        </w:rPr>
        <w:t xml:space="preserve">el Decreto 2398/12 </w:t>
      </w:r>
      <w:r w:rsidR="00406EC5">
        <w:rPr>
          <w:rFonts w:ascii="Verdana" w:hAnsi="Verdana" w:cs="Tahoma"/>
          <w:sz w:val="20"/>
          <w:szCs w:val="20"/>
        </w:rPr>
        <w:t xml:space="preserve">el cual </w:t>
      </w:r>
      <w:r w:rsidRPr="004E289D">
        <w:rPr>
          <w:rFonts w:ascii="Verdana" w:hAnsi="Verdana" w:cs="Tahoma"/>
          <w:sz w:val="20"/>
          <w:szCs w:val="20"/>
        </w:rPr>
        <w:t>previó que cada comunidad determin</w:t>
      </w:r>
      <w:r w:rsidR="00406EC5">
        <w:rPr>
          <w:rFonts w:ascii="Verdana" w:hAnsi="Verdana" w:cs="Tahoma"/>
          <w:sz w:val="20"/>
          <w:szCs w:val="20"/>
        </w:rPr>
        <w:t>ara</w:t>
      </w:r>
      <w:r w:rsidRPr="004E289D">
        <w:rPr>
          <w:rFonts w:ascii="Verdana" w:hAnsi="Verdana" w:cs="Tahoma"/>
          <w:sz w:val="20"/>
          <w:szCs w:val="20"/>
        </w:rPr>
        <w:t xml:space="preserve"> “la modalidad de título” de la tierra</w:t>
      </w:r>
      <w:r w:rsidR="00406EC5">
        <w:rPr>
          <w:rFonts w:ascii="Verdana" w:hAnsi="Verdana" w:cs="Tahoma"/>
          <w:sz w:val="20"/>
          <w:szCs w:val="20"/>
        </w:rPr>
        <w:t xml:space="preserve">, ello a pesar </w:t>
      </w:r>
      <w:r w:rsidR="00406EC5">
        <w:rPr>
          <w:rFonts w:ascii="Verdana" w:hAnsi="Verdana"/>
          <w:sz w:val="20"/>
          <w:szCs w:val="20"/>
        </w:rPr>
        <w:t xml:space="preserve">de </w:t>
      </w:r>
      <w:r w:rsidRPr="004E289D">
        <w:rPr>
          <w:rFonts w:ascii="Verdana" w:hAnsi="Verdana"/>
          <w:sz w:val="20"/>
          <w:szCs w:val="20"/>
        </w:rPr>
        <w:t>citar en sus fundamentos el Decreto 2786/07, que por remisión al Acta-Acuerdo que lo preced</w:t>
      </w:r>
      <w:r w:rsidR="00406EC5">
        <w:rPr>
          <w:rFonts w:ascii="Verdana" w:hAnsi="Verdana"/>
          <w:sz w:val="20"/>
          <w:szCs w:val="20"/>
        </w:rPr>
        <w:t>ía</w:t>
      </w:r>
      <w:r w:rsidR="00810815">
        <w:rPr>
          <w:rFonts w:ascii="Verdana" w:hAnsi="Verdana"/>
          <w:sz w:val="20"/>
          <w:szCs w:val="20"/>
        </w:rPr>
        <w:t>,</w:t>
      </w:r>
      <w:r w:rsidRPr="004E289D">
        <w:rPr>
          <w:rFonts w:ascii="Verdana" w:hAnsi="Verdana"/>
          <w:sz w:val="20"/>
          <w:szCs w:val="20"/>
        </w:rPr>
        <w:t xml:space="preserve"> mandaba que se “respet[</w:t>
      </w:r>
      <w:r w:rsidR="00406EC5">
        <w:rPr>
          <w:rFonts w:ascii="Verdana" w:hAnsi="Verdana"/>
          <w:sz w:val="20"/>
          <w:szCs w:val="20"/>
        </w:rPr>
        <w:t>ara</w:t>
      </w:r>
      <w:r w:rsidRPr="004E289D">
        <w:rPr>
          <w:rFonts w:ascii="Verdana" w:hAnsi="Verdana"/>
          <w:sz w:val="20"/>
          <w:szCs w:val="20"/>
        </w:rPr>
        <w:t>]” la “continuidad” de la tierra y las recomendaciones de la Comisión Interamericana, que instaban al Estado a “formaliza[r]” la propiedad considerando el “derecho a un territorio indiviso”.</w:t>
      </w:r>
      <w:r>
        <w:rPr>
          <w:rFonts w:ascii="Verdana" w:hAnsi="Verdana"/>
          <w:sz w:val="20"/>
          <w:szCs w:val="20"/>
        </w:rPr>
        <w:t xml:space="preserve"> </w:t>
      </w:r>
      <w:r w:rsidRPr="004E289D">
        <w:rPr>
          <w:rFonts w:ascii="Verdana" w:hAnsi="Verdana"/>
          <w:sz w:val="20"/>
          <w:szCs w:val="20"/>
        </w:rPr>
        <w:t xml:space="preserve">La Corte considera que el referido señalamiento del artículo 1 del Decreto 2398/12 sobre la </w:t>
      </w:r>
      <w:r w:rsidRPr="004E289D">
        <w:rPr>
          <w:rFonts w:ascii="Verdana" w:hAnsi="Verdana"/>
          <w:sz w:val="20"/>
          <w:szCs w:val="20"/>
        </w:rPr>
        <w:lastRenderedPageBreak/>
        <w:t xml:space="preserve">“modalidad de título” resultó contrario a la seguridad jurídica requerida para satisfacer el derecho a la propiedad de las comunidades indígenas. En 2014 el Decreto 1498/14 previó que por intermedio de la UEP y acuerdos de parte se realizaría la delimitación y determinación específica de los lotes. </w:t>
      </w:r>
      <w:r w:rsidRPr="004E289D">
        <w:rPr>
          <w:rFonts w:ascii="Verdana" w:hAnsi="Verdana"/>
          <w:b/>
          <w:sz w:val="20"/>
          <w:szCs w:val="20"/>
          <w:lang w:val="es-CR"/>
        </w:rPr>
        <w:t xml:space="preserve"> </w:t>
      </w:r>
    </w:p>
    <w:p w14:paraId="059264B8" w14:textId="77777777" w:rsidR="009805F2" w:rsidRPr="001072E7" w:rsidRDefault="009805F2" w:rsidP="009805F2">
      <w:pPr>
        <w:pStyle w:val="Prrafodelista"/>
        <w:spacing w:line="240" w:lineRule="auto"/>
        <w:rPr>
          <w:rFonts w:ascii="Verdana" w:hAnsi="Verdana"/>
          <w:sz w:val="20"/>
          <w:szCs w:val="20"/>
          <w:lang w:val="es-CR"/>
        </w:rPr>
      </w:pPr>
    </w:p>
    <w:p w14:paraId="5C2E8ABC" w14:textId="77777777" w:rsidR="009805F2"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4E289D">
        <w:rPr>
          <w:rFonts w:ascii="Verdana" w:hAnsi="Verdana"/>
          <w:sz w:val="20"/>
          <w:szCs w:val="20"/>
        </w:rPr>
        <w:t>Debe resaltarse que el Estado ha manifestado que la “entrega” del título único comunitario depende de la culminación del referido proceso de “acuerdos”</w:t>
      </w:r>
      <w:r>
        <w:rPr>
          <w:rFonts w:ascii="Verdana" w:hAnsi="Verdana"/>
          <w:sz w:val="20"/>
          <w:szCs w:val="20"/>
        </w:rPr>
        <w:t xml:space="preserve"> (</w:t>
      </w:r>
      <w:r>
        <w:rPr>
          <w:rFonts w:ascii="Verdana" w:hAnsi="Verdana"/>
          <w:i/>
          <w:sz w:val="20"/>
          <w:szCs w:val="20"/>
        </w:rPr>
        <w:t xml:space="preserve">supra </w:t>
      </w:r>
      <w:r>
        <w:rPr>
          <w:rFonts w:ascii="Verdana" w:hAnsi="Verdana"/>
          <w:sz w:val="20"/>
          <w:szCs w:val="20"/>
        </w:rPr>
        <w:t>párr. 111)</w:t>
      </w:r>
      <w:r w:rsidRPr="004E289D">
        <w:rPr>
          <w:rFonts w:ascii="Verdana" w:hAnsi="Verdana"/>
          <w:sz w:val="20"/>
          <w:szCs w:val="20"/>
        </w:rPr>
        <w:t>. Los representantes</w:t>
      </w:r>
      <w:r>
        <w:rPr>
          <w:rFonts w:ascii="Verdana" w:hAnsi="Verdana"/>
          <w:sz w:val="20"/>
          <w:szCs w:val="20"/>
        </w:rPr>
        <w:t>, por su parte,</w:t>
      </w:r>
      <w:r w:rsidRPr="004E289D">
        <w:rPr>
          <w:rFonts w:ascii="Verdana" w:hAnsi="Verdana"/>
          <w:sz w:val="20"/>
          <w:szCs w:val="20"/>
        </w:rPr>
        <w:t xml:space="preserve"> han </w:t>
      </w:r>
      <w:r>
        <w:rPr>
          <w:rFonts w:ascii="Verdana" w:hAnsi="Verdana"/>
          <w:sz w:val="20"/>
          <w:szCs w:val="20"/>
        </w:rPr>
        <w:t>aducido</w:t>
      </w:r>
      <w:r w:rsidRPr="004E289D">
        <w:rPr>
          <w:rFonts w:ascii="Verdana" w:hAnsi="Verdana"/>
          <w:sz w:val="20"/>
          <w:szCs w:val="20"/>
        </w:rPr>
        <w:t xml:space="preserve"> que la garantía de los derechos territoriales indígenas no puede supeditarse a la voluntad de terceros, por lo que debe existir algún “mecanismo alternativo” frente a la falta de acuerdos. </w:t>
      </w:r>
      <w:r w:rsidRPr="004E289D">
        <w:rPr>
          <w:rFonts w:ascii="Verdana" w:hAnsi="Verdana"/>
          <w:i/>
          <w:sz w:val="20"/>
          <w:szCs w:val="20"/>
        </w:rPr>
        <w:t>(supra</w:t>
      </w:r>
      <w:r w:rsidRPr="004E289D">
        <w:rPr>
          <w:rFonts w:ascii="Verdana" w:hAnsi="Verdana"/>
          <w:sz w:val="20"/>
          <w:szCs w:val="20"/>
        </w:rPr>
        <w:t xml:space="preserve"> párr. </w:t>
      </w:r>
      <w:r>
        <w:rPr>
          <w:rFonts w:ascii="Verdana" w:hAnsi="Verdana"/>
          <w:sz w:val="20"/>
          <w:szCs w:val="20"/>
        </w:rPr>
        <w:t>106</w:t>
      </w:r>
      <w:r w:rsidRPr="004E289D">
        <w:rPr>
          <w:rFonts w:ascii="Verdana" w:hAnsi="Verdana"/>
          <w:sz w:val="20"/>
          <w:szCs w:val="20"/>
        </w:rPr>
        <w:t xml:space="preserve">). </w:t>
      </w:r>
    </w:p>
    <w:p w14:paraId="008D285D" w14:textId="77777777" w:rsidR="009805F2" w:rsidRPr="004E289D" w:rsidRDefault="009805F2" w:rsidP="009805F2">
      <w:pPr>
        <w:pStyle w:val="Prrafodelista"/>
        <w:spacing w:line="240" w:lineRule="auto"/>
        <w:rPr>
          <w:rFonts w:ascii="Verdana" w:hAnsi="Verdana"/>
          <w:sz w:val="20"/>
          <w:szCs w:val="20"/>
        </w:rPr>
      </w:pPr>
    </w:p>
    <w:p w14:paraId="42523800" w14:textId="77777777" w:rsidR="009805F2"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4E289D">
        <w:rPr>
          <w:rFonts w:ascii="Verdana" w:hAnsi="Verdana"/>
          <w:sz w:val="20"/>
          <w:szCs w:val="20"/>
        </w:rPr>
        <w:t xml:space="preserve">A fin de valorar adecuadamente el proceso de diálogo y acuerdos referido, este Tribunal considera apropiado efectuar algunas consideraciones. Ello, fundamentalmente, dadas las características del caso, en que están implicadas no solo comunidades indígenas, sino también un número significativo de familias “criollas”, cuyo vínculo con la tierra resulta determinante para su modo de vida. </w:t>
      </w:r>
    </w:p>
    <w:p w14:paraId="673B2506" w14:textId="77777777" w:rsidR="009805F2" w:rsidRDefault="009805F2" w:rsidP="009805F2">
      <w:pPr>
        <w:pStyle w:val="Prrafodelista"/>
        <w:spacing w:line="240" w:lineRule="auto"/>
        <w:rPr>
          <w:rFonts w:ascii="Verdana" w:hAnsi="Verdana"/>
          <w:sz w:val="20"/>
          <w:szCs w:val="20"/>
        </w:rPr>
      </w:pPr>
    </w:p>
    <w:p w14:paraId="6308585B" w14:textId="77777777" w:rsidR="009805F2" w:rsidRDefault="009805F2" w:rsidP="009805F2">
      <w:pPr>
        <w:pStyle w:val="Prrafodelista"/>
        <w:tabs>
          <w:tab w:val="left" w:pos="2640"/>
        </w:tabs>
        <w:spacing w:line="240" w:lineRule="auto"/>
        <w:ind w:left="1418"/>
        <w:outlineLvl w:val="5"/>
        <w:rPr>
          <w:rFonts w:ascii="Verdana" w:hAnsi="Verdana"/>
          <w:sz w:val="20"/>
          <w:szCs w:val="20"/>
        </w:rPr>
      </w:pPr>
      <w:bookmarkStart w:id="157" w:name="_Toc32218850"/>
      <w:bookmarkStart w:id="158" w:name="_Toc32227123"/>
      <w:bookmarkStart w:id="159" w:name="_Toc34337552"/>
      <w:r>
        <w:rPr>
          <w:rFonts w:ascii="Verdana" w:hAnsi="Verdana"/>
          <w:sz w:val="20"/>
          <w:szCs w:val="20"/>
        </w:rPr>
        <w:t xml:space="preserve">B.2.2.4.1 El diálogo con la población </w:t>
      </w:r>
      <w:r w:rsidRPr="00825CF4">
        <w:rPr>
          <w:rFonts w:ascii="Verdana" w:hAnsi="Verdana"/>
          <w:sz w:val="20"/>
          <w:szCs w:val="20"/>
        </w:rPr>
        <w:t>criolla</w:t>
      </w:r>
      <w:bookmarkEnd w:id="157"/>
      <w:bookmarkEnd w:id="158"/>
      <w:bookmarkEnd w:id="159"/>
    </w:p>
    <w:p w14:paraId="52327A97" w14:textId="77777777" w:rsidR="009805F2" w:rsidRPr="004E289D" w:rsidRDefault="009805F2" w:rsidP="009805F2">
      <w:pPr>
        <w:pStyle w:val="Prrafodelista"/>
        <w:spacing w:line="240" w:lineRule="auto"/>
        <w:rPr>
          <w:rFonts w:ascii="Verdana" w:hAnsi="Verdana"/>
          <w:sz w:val="20"/>
          <w:szCs w:val="20"/>
        </w:rPr>
      </w:pPr>
    </w:p>
    <w:p w14:paraId="7595E365" w14:textId="77777777" w:rsidR="009805F2" w:rsidRPr="00EB1010"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4E289D">
        <w:rPr>
          <w:rFonts w:ascii="Verdana" w:hAnsi="Verdana"/>
          <w:sz w:val="20"/>
          <w:szCs w:val="20"/>
        </w:rPr>
        <w:t>El Estado ha caracterizado a las familias criollas como “pobladores rurales vulnerables” (</w:t>
      </w:r>
      <w:r w:rsidRPr="004E289D">
        <w:rPr>
          <w:rFonts w:ascii="Verdana" w:hAnsi="Verdana"/>
          <w:i/>
          <w:sz w:val="20"/>
          <w:szCs w:val="20"/>
        </w:rPr>
        <w:t xml:space="preserve">supra </w:t>
      </w:r>
      <w:r w:rsidRPr="004E289D">
        <w:rPr>
          <w:rFonts w:ascii="Verdana" w:hAnsi="Verdana"/>
          <w:sz w:val="20"/>
          <w:szCs w:val="20"/>
        </w:rPr>
        <w:t xml:space="preserve">párr. </w:t>
      </w:r>
      <w:r>
        <w:rPr>
          <w:rFonts w:ascii="Verdana" w:hAnsi="Verdana"/>
          <w:sz w:val="20"/>
          <w:szCs w:val="20"/>
        </w:rPr>
        <w:t>112</w:t>
      </w:r>
      <w:r w:rsidRPr="004E289D">
        <w:rPr>
          <w:rFonts w:ascii="Verdana" w:hAnsi="Verdana"/>
          <w:sz w:val="20"/>
          <w:szCs w:val="20"/>
        </w:rPr>
        <w:t>). La perita Buliubasich se refirió a ellas como un grupo “empobrecido”.</w:t>
      </w:r>
      <w:r w:rsidRPr="004E289D">
        <w:rPr>
          <w:rFonts w:ascii="Verdana" w:hAnsi="Verdana"/>
          <w:b/>
          <w:sz w:val="20"/>
          <w:szCs w:val="20"/>
        </w:rPr>
        <w:t xml:space="preserve"> </w:t>
      </w:r>
      <w:r w:rsidRPr="004E289D">
        <w:rPr>
          <w:rFonts w:ascii="Verdana" w:hAnsi="Verdana"/>
          <w:sz w:val="20"/>
          <w:szCs w:val="20"/>
        </w:rPr>
        <w:t>La visita a terreno brindó una percepción acorde a tales caracterizaciones</w:t>
      </w:r>
      <w:r>
        <w:rPr>
          <w:rStyle w:val="Refdenotaalpie"/>
          <w:rFonts w:ascii="Verdana" w:hAnsi="Verdana"/>
          <w:sz w:val="20"/>
        </w:rPr>
        <w:footnoteReference w:id="138"/>
      </w:r>
      <w:r w:rsidRPr="004E289D">
        <w:rPr>
          <w:rFonts w:ascii="Verdana" w:hAnsi="Verdana"/>
          <w:sz w:val="20"/>
          <w:szCs w:val="20"/>
        </w:rPr>
        <w:t xml:space="preserve">. </w:t>
      </w:r>
    </w:p>
    <w:p w14:paraId="12419327" w14:textId="77777777" w:rsidR="009805F2" w:rsidRDefault="009805F2" w:rsidP="009805F2">
      <w:pPr>
        <w:pStyle w:val="Prrafodelista"/>
        <w:spacing w:after="0" w:line="240" w:lineRule="auto"/>
        <w:ind w:left="0" w:right="6"/>
        <w:jc w:val="both"/>
        <w:rPr>
          <w:rFonts w:ascii="Verdana" w:eastAsia="Batang" w:hAnsi="Verdana" w:cs="Times"/>
          <w:sz w:val="20"/>
          <w:szCs w:val="20"/>
          <w:lang w:val="es-CR" w:eastAsia="es-CR"/>
        </w:rPr>
      </w:pPr>
    </w:p>
    <w:p w14:paraId="2D90BDF6" w14:textId="3120739F" w:rsidR="00DB6CFE" w:rsidRPr="00DB6CFE"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EB1010">
        <w:rPr>
          <w:rFonts w:ascii="Verdana" w:hAnsi="Verdana"/>
          <w:sz w:val="20"/>
          <w:szCs w:val="20"/>
        </w:rPr>
        <w:t>Los señalamientos estatales sobre los pobladores criollos que habitan los lotes 14 y 55 son acordes a las consideraciones que, en el ámbito de las Naciones Unidas, se ha</w:t>
      </w:r>
      <w:r>
        <w:rPr>
          <w:rFonts w:ascii="Verdana" w:hAnsi="Verdana"/>
          <w:sz w:val="20"/>
          <w:szCs w:val="20"/>
        </w:rPr>
        <w:t>n</w:t>
      </w:r>
      <w:r w:rsidRPr="00EB1010">
        <w:rPr>
          <w:rFonts w:ascii="Verdana" w:hAnsi="Verdana"/>
          <w:sz w:val="20"/>
          <w:szCs w:val="20"/>
        </w:rPr>
        <w:t xml:space="preserve"> hecho respecto de campesinos, a través de la Declaración de las Naciones Unidas sobre los Derechos de los Campesinos y de Otras Personas que Trabajan en las Zonas Rurales (en adelante “Declaración sobre campesinos”)</w:t>
      </w:r>
      <w:r>
        <w:rPr>
          <w:rStyle w:val="Refdenotaalpie"/>
          <w:rFonts w:ascii="Verdana" w:hAnsi="Verdana"/>
          <w:sz w:val="20"/>
        </w:rPr>
        <w:footnoteReference w:id="139"/>
      </w:r>
      <w:r w:rsidRPr="00EB1010">
        <w:rPr>
          <w:rFonts w:ascii="Verdana" w:hAnsi="Verdana"/>
          <w:sz w:val="20"/>
          <w:szCs w:val="20"/>
        </w:rPr>
        <w:t>. El documento señala que en general los campesinos “sufren de manera desproporcionada pobreza, hambre y malnutrición”; tienen o suelen tener, por “varios factores”, “dificulta[des para] hacerse oír [y] defender sus derechos humanos”, inclusive para “acceder a los tribunales, los agentes de policía, los fiscales y los abogados”. En particular, la Declaración</w:t>
      </w:r>
      <w:r>
        <w:rPr>
          <w:rFonts w:ascii="Verdana" w:hAnsi="Verdana"/>
          <w:sz w:val="20"/>
          <w:szCs w:val="20"/>
        </w:rPr>
        <w:t xml:space="preserve"> sobre campesinos</w:t>
      </w:r>
      <w:r w:rsidRPr="00EB1010">
        <w:rPr>
          <w:rFonts w:ascii="Verdana" w:hAnsi="Verdana"/>
          <w:sz w:val="20"/>
          <w:szCs w:val="20"/>
        </w:rPr>
        <w:t xml:space="preserve"> señala que el “acceso” a la tierra y recursos naturales “es cada vez más difícil” para los “habitantes </w:t>
      </w:r>
      <w:r w:rsidRPr="00EB1010">
        <w:rPr>
          <w:rFonts w:ascii="Verdana" w:hAnsi="Verdana"/>
          <w:sz w:val="20"/>
          <w:szCs w:val="20"/>
        </w:rPr>
        <w:lastRenderedPageBreak/>
        <w:t xml:space="preserve">de zonas rurales”, y que hay diversos “factores que dificultan” que </w:t>
      </w:r>
      <w:r>
        <w:rPr>
          <w:rFonts w:ascii="Verdana" w:hAnsi="Verdana"/>
          <w:sz w:val="20"/>
          <w:szCs w:val="20"/>
        </w:rPr>
        <w:t>esas personas</w:t>
      </w:r>
      <w:r w:rsidRPr="00EB1010">
        <w:rPr>
          <w:rFonts w:ascii="Verdana" w:hAnsi="Verdana"/>
          <w:sz w:val="20"/>
          <w:szCs w:val="20"/>
        </w:rPr>
        <w:t xml:space="preserve"> puedan “defender […] sus derechos de tenencia y garantizar el uso sostenible de los recursos naturales de los que dependen”. La Declaración </w:t>
      </w:r>
      <w:r>
        <w:rPr>
          <w:rFonts w:ascii="Verdana" w:hAnsi="Verdana"/>
          <w:sz w:val="20"/>
          <w:szCs w:val="20"/>
        </w:rPr>
        <w:t xml:space="preserve">sobre campesinos </w:t>
      </w:r>
      <w:r w:rsidRPr="00EB1010">
        <w:rPr>
          <w:rFonts w:ascii="Verdana" w:hAnsi="Verdana"/>
          <w:sz w:val="20"/>
          <w:szCs w:val="20"/>
        </w:rPr>
        <w:t xml:space="preserve">expresa que las “normas y principios </w:t>
      </w:r>
      <w:r w:rsidRPr="00334817">
        <w:rPr>
          <w:rFonts w:ascii="Verdana" w:hAnsi="Verdana"/>
          <w:sz w:val="20"/>
          <w:szCs w:val="20"/>
        </w:rPr>
        <w:t xml:space="preserve">internacionales de derechos humanos” deben “interpret[arse] y […] aplic[arse] de forma coherente” con la “necesidad de que se proteja mejor los derechos de los campesinos”. </w:t>
      </w:r>
      <w:r w:rsidR="00DB6CFE" w:rsidRPr="00334817">
        <w:rPr>
          <w:rFonts w:ascii="Verdana" w:hAnsi="Verdana"/>
          <w:sz w:val="20"/>
          <w:szCs w:val="20"/>
        </w:rPr>
        <w:t>La Corte aclara que no está evaluando la responsabilidad estatal con base en la Declaración sobre campesinos, sino que hace alusión a la misma sólo como una referencia complementaria que, en línea con los señalamientos de Argentina sobre la vulnerabilidad de la población criolla, muestra la pertinencia de tener en cuenta la situación particular de dicha población a fin de resguardar sus derechos.</w:t>
      </w:r>
    </w:p>
    <w:p w14:paraId="1358FAFD" w14:textId="77777777" w:rsidR="00DB6CFE" w:rsidRDefault="00DB6CFE" w:rsidP="009805F2">
      <w:pPr>
        <w:pStyle w:val="Prrafodelista"/>
        <w:spacing w:after="0" w:line="240" w:lineRule="auto"/>
        <w:ind w:left="0" w:right="6"/>
        <w:jc w:val="both"/>
        <w:rPr>
          <w:rFonts w:ascii="Verdana" w:eastAsia="Batang" w:hAnsi="Verdana" w:cs="Times"/>
          <w:sz w:val="20"/>
          <w:szCs w:val="20"/>
          <w:lang w:val="es-CR" w:eastAsia="es-CR"/>
        </w:rPr>
      </w:pPr>
    </w:p>
    <w:p w14:paraId="4AE15CB7" w14:textId="77777777" w:rsidR="009805F2"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EB1010">
        <w:rPr>
          <w:rFonts w:ascii="Verdana" w:hAnsi="Verdana"/>
          <w:sz w:val="20"/>
          <w:szCs w:val="20"/>
        </w:rPr>
        <w:t>La Corte no puede soslayar que el Estado tiene deberes respe</w:t>
      </w:r>
      <w:r>
        <w:rPr>
          <w:rFonts w:ascii="Verdana" w:hAnsi="Verdana"/>
          <w:sz w:val="20"/>
          <w:szCs w:val="20"/>
        </w:rPr>
        <w:t xml:space="preserve">cto de la población </w:t>
      </w:r>
      <w:r w:rsidRPr="00EB1010">
        <w:rPr>
          <w:rFonts w:ascii="Verdana" w:hAnsi="Verdana"/>
          <w:sz w:val="20"/>
          <w:szCs w:val="20"/>
        </w:rPr>
        <w:t xml:space="preserve">criolla, en tanto que, dada su situación de vulnerabilidad, debe adoptar acciones positivas tendientes a garantizar sus derechos. </w:t>
      </w:r>
    </w:p>
    <w:p w14:paraId="42AEAEA6" w14:textId="77777777" w:rsidR="009805F2" w:rsidRPr="00EB1010" w:rsidRDefault="009805F2" w:rsidP="009805F2">
      <w:pPr>
        <w:pStyle w:val="Prrafodelista"/>
        <w:spacing w:line="240" w:lineRule="auto"/>
        <w:rPr>
          <w:rFonts w:ascii="Verdana" w:hAnsi="Verdana"/>
          <w:sz w:val="20"/>
          <w:szCs w:val="20"/>
        </w:rPr>
      </w:pPr>
    </w:p>
    <w:p w14:paraId="426EEBCC" w14:textId="0511C110" w:rsidR="009805F2" w:rsidRPr="007B1599"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EB1010">
        <w:rPr>
          <w:rFonts w:ascii="Verdana" w:hAnsi="Verdana"/>
          <w:sz w:val="20"/>
          <w:szCs w:val="20"/>
        </w:rPr>
        <w:t>Ahora bien, como ya se ha dicho, no está en duda la propiedad de las comunidades indígenas sobre 400</w:t>
      </w:r>
      <w:r>
        <w:rPr>
          <w:rFonts w:ascii="Verdana" w:hAnsi="Verdana"/>
          <w:sz w:val="20"/>
          <w:szCs w:val="20"/>
        </w:rPr>
        <w:t>.</w:t>
      </w:r>
      <w:r w:rsidRPr="00EB1010">
        <w:rPr>
          <w:rFonts w:ascii="Verdana" w:hAnsi="Verdana"/>
          <w:sz w:val="20"/>
          <w:szCs w:val="20"/>
        </w:rPr>
        <w:t xml:space="preserve">000 ha de los lotes 14 y 55. El Estado, a fin de garantizar ese derecho, ha debido concretar el deslinde de la propiedad indígena, así como adoptar acciones para concretar el traslado o reubicación de población criolla fuera de la misma. Sin perjuicio de ello, no puede hacerse caso omiso al modo en que el Estado tiene que cumplir </w:t>
      </w:r>
      <w:r w:rsidR="0006409D">
        <w:rPr>
          <w:rFonts w:ascii="Verdana" w:hAnsi="Verdana"/>
          <w:sz w:val="20"/>
          <w:szCs w:val="20"/>
        </w:rPr>
        <w:t xml:space="preserve">con </w:t>
      </w:r>
      <w:r w:rsidRPr="00EB1010">
        <w:rPr>
          <w:rFonts w:ascii="Verdana" w:hAnsi="Verdana"/>
          <w:sz w:val="20"/>
          <w:szCs w:val="20"/>
        </w:rPr>
        <w:t>su obligación. En ese sentido, Argentina debe actuar observando los derechos de la población criolla</w:t>
      </w:r>
      <w:r>
        <w:rPr>
          <w:rFonts w:ascii="Verdana" w:hAnsi="Verdana"/>
          <w:sz w:val="20"/>
          <w:szCs w:val="20"/>
        </w:rPr>
        <w:t xml:space="preserve"> </w:t>
      </w:r>
      <w:r w:rsidRPr="007B1599">
        <w:rPr>
          <w:rFonts w:ascii="Verdana" w:hAnsi="Verdana"/>
          <w:sz w:val="20"/>
          <w:szCs w:val="20"/>
        </w:rPr>
        <w:t>(</w:t>
      </w:r>
      <w:r>
        <w:rPr>
          <w:rFonts w:ascii="Verdana" w:hAnsi="Verdana"/>
          <w:i/>
          <w:sz w:val="20"/>
          <w:szCs w:val="20"/>
        </w:rPr>
        <w:t>infra</w:t>
      </w:r>
      <w:r w:rsidRPr="007B1599">
        <w:rPr>
          <w:rFonts w:ascii="Verdana" w:hAnsi="Verdana"/>
          <w:sz w:val="20"/>
          <w:szCs w:val="20"/>
        </w:rPr>
        <w:t xml:space="preserve">, párr. 329 d), y nota a pie de página </w:t>
      </w:r>
      <w:r w:rsidR="004003A7">
        <w:rPr>
          <w:rFonts w:ascii="Verdana" w:hAnsi="Verdana"/>
          <w:sz w:val="20"/>
          <w:szCs w:val="20"/>
        </w:rPr>
        <w:t>323</w:t>
      </w:r>
      <w:r w:rsidRPr="007B1599">
        <w:rPr>
          <w:rFonts w:ascii="Verdana" w:hAnsi="Verdana"/>
          <w:sz w:val="20"/>
          <w:szCs w:val="20"/>
        </w:rPr>
        <w:t>)</w:t>
      </w:r>
      <w:r w:rsidRPr="007B1599">
        <w:rPr>
          <w:rFonts w:ascii="Verdana" w:hAnsi="Verdana"/>
          <w:sz w:val="20"/>
          <w:szCs w:val="20"/>
          <w:lang w:val="es-ES"/>
        </w:rPr>
        <w:t>.</w:t>
      </w:r>
    </w:p>
    <w:p w14:paraId="3458D49D" w14:textId="77777777" w:rsidR="009805F2" w:rsidRPr="00EB1010" w:rsidRDefault="009805F2" w:rsidP="009805F2">
      <w:pPr>
        <w:pStyle w:val="Prrafodelista"/>
        <w:spacing w:line="240" w:lineRule="auto"/>
        <w:rPr>
          <w:rFonts w:ascii="Verdana" w:hAnsi="Verdana"/>
          <w:sz w:val="20"/>
          <w:szCs w:val="20"/>
        </w:rPr>
      </w:pPr>
    </w:p>
    <w:p w14:paraId="4EE16D44" w14:textId="2EFE0C1A" w:rsidR="009805F2"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EB1010">
        <w:rPr>
          <w:rFonts w:ascii="Verdana" w:hAnsi="Verdana"/>
          <w:sz w:val="20"/>
          <w:szCs w:val="20"/>
        </w:rPr>
        <w:t xml:space="preserve">Lo </w:t>
      </w:r>
      <w:r w:rsidR="00884D97">
        <w:rPr>
          <w:rFonts w:ascii="Verdana" w:hAnsi="Verdana"/>
          <w:sz w:val="20"/>
          <w:szCs w:val="20"/>
        </w:rPr>
        <w:t>anterior</w:t>
      </w:r>
      <w:r w:rsidRPr="00EB1010">
        <w:rPr>
          <w:rFonts w:ascii="Verdana" w:hAnsi="Verdana"/>
          <w:sz w:val="20"/>
          <w:szCs w:val="20"/>
        </w:rPr>
        <w:t xml:space="preserve"> es relevante, pues es un dato necesario para evaluar el procedimiento seguido. El mismo, dada la extensión de la tierra y la cantidad de personas involucradas, con sus distintas características y problemáticas, resulta evidentemente complejo. La Corte destaca y valora positivamente el proceso de diálogo que se ha seguido en el caso con intervención del Estado, pobladores criollos y comunidades indígenas. Ello, por cuanto entiende que un procedimiento de tales características tiene la potencialidad de permitir al Estado cumplir sus diversas obligaciones y satisfacer los derechos implicados. </w:t>
      </w:r>
    </w:p>
    <w:p w14:paraId="3929A890" w14:textId="77777777" w:rsidR="009805F2" w:rsidRDefault="009805F2" w:rsidP="009805F2">
      <w:pPr>
        <w:pStyle w:val="Prrafodelista"/>
        <w:spacing w:line="240" w:lineRule="auto"/>
        <w:rPr>
          <w:rFonts w:ascii="Verdana" w:hAnsi="Verdana"/>
          <w:sz w:val="20"/>
          <w:szCs w:val="20"/>
        </w:rPr>
      </w:pPr>
    </w:p>
    <w:p w14:paraId="0E347482" w14:textId="77777777" w:rsidR="009805F2" w:rsidRDefault="009805F2" w:rsidP="009805F2">
      <w:pPr>
        <w:pStyle w:val="Prrafodelista"/>
        <w:tabs>
          <w:tab w:val="left" w:pos="2640"/>
        </w:tabs>
        <w:spacing w:line="240" w:lineRule="auto"/>
        <w:ind w:left="1418"/>
        <w:outlineLvl w:val="5"/>
        <w:rPr>
          <w:rFonts w:ascii="Verdana" w:hAnsi="Verdana"/>
          <w:sz w:val="20"/>
          <w:szCs w:val="20"/>
        </w:rPr>
      </w:pPr>
      <w:bookmarkStart w:id="160" w:name="_Toc32218851"/>
      <w:bookmarkStart w:id="161" w:name="_Toc32227124"/>
      <w:bookmarkStart w:id="162" w:name="_Toc34337553"/>
      <w:r>
        <w:rPr>
          <w:rFonts w:ascii="Verdana" w:hAnsi="Verdana"/>
          <w:sz w:val="20"/>
          <w:szCs w:val="20"/>
        </w:rPr>
        <w:t>B.2.2.4.2 El proceso seguido en el caso</w:t>
      </w:r>
      <w:bookmarkEnd w:id="160"/>
      <w:bookmarkEnd w:id="161"/>
      <w:bookmarkEnd w:id="162"/>
      <w:r>
        <w:rPr>
          <w:rFonts w:ascii="Verdana" w:hAnsi="Verdana"/>
          <w:sz w:val="20"/>
          <w:szCs w:val="20"/>
        </w:rPr>
        <w:t xml:space="preserve"> </w:t>
      </w:r>
    </w:p>
    <w:p w14:paraId="0D664AB0" w14:textId="77777777" w:rsidR="009805F2" w:rsidRPr="00EB1010" w:rsidRDefault="009805F2" w:rsidP="009805F2">
      <w:pPr>
        <w:pStyle w:val="Prrafodelista"/>
        <w:spacing w:line="240" w:lineRule="auto"/>
        <w:rPr>
          <w:rFonts w:ascii="Verdana" w:hAnsi="Verdana"/>
          <w:sz w:val="20"/>
          <w:szCs w:val="20"/>
        </w:rPr>
      </w:pPr>
    </w:p>
    <w:p w14:paraId="284C02E7" w14:textId="6322FE0F" w:rsidR="009805F2" w:rsidRPr="00EB1010"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EB1010">
        <w:rPr>
          <w:rFonts w:ascii="Verdana" w:hAnsi="Verdana"/>
          <w:sz w:val="20"/>
          <w:szCs w:val="20"/>
        </w:rPr>
        <w:t>En el curso del proceso aducido, que no ha concluido, sucedieron diversas circunstancias</w:t>
      </w:r>
      <w:r>
        <w:rPr>
          <w:rFonts w:ascii="Verdana" w:hAnsi="Verdana"/>
          <w:sz w:val="20"/>
          <w:szCs w:val="20"/>
        </w:rPr>
        <w:t>. Entre ellas, ocurrieron las que siguen</w:t>
      </w:r>
      <w:r w:rsidRPr="00EB1010">
        <w:rPr>
          <w:rFonts w:ascii="Verdana" w:hAnsi="Verdana"/>
          <w:sz w:val="20"/>
          <w:szCs w:val="20"/>
        </w:rPr>
        <w:t>. En 2008 se creó un equipo técnico, integrado por la UEP, para avanzar en la entrega de tierras. Desde antes se habían sucedido diversas reuniones, inclusive una convocada en 2009 para avanzar en definiciones respecto al modo de reconocimiento de la propiedad. Ese año se elaboró un cronograma de trabajo y un listado de pobladores criollos que cumplían requisitos para acreditar la ocupación de tierras. En 2013</w:t>
      </w:r>
      <w:r w:rsidR="00884D97">
        <w:rPr>
          <w:rFonts w:ascii="Verdana" w:hAnsi="Verdana"/>
          <w:sz w:val="20"/>
          <w:szCs w:val="20"/>
        </w:rPr>
        <w:t>,</w:t>
      </w:r>
      <w:r w:rsidRPr="00EB1010">
        <w:rPr>
          <w:rFonts w:ascii="Verdana" w:hAnsi="Verdana"/>
          <w:sz w:val="20"/>
          <w:szCs w:val="20"/>
        </w:rPr>
        <w:t xml:space="preserve"> Salta avanzó en acuerdos con el INAI, para que esta institución nacional apoye el proceso. El mismo año el gobierno salteño dictó el Decreto 2001/13, que dispuso un “programa” para “instrumenta[r] la propiedad comunitaria”, que contemplaba un “plan de trabajo” a partir de “talleres participativos” con indígenas y personas criollas; también el gobierno acordó tomar como base para los trabajos un mapa elaborado por las comunidades indígenas. En 2014 se dictó el Decreto 1498/14, ya mencionado, así como la Resolución No. 654, que aprobó convenios para un “plan de trabajo”, y a mediados de 2015 se concretó el “amojonamiento” de parte de la zona norte de los lotes 14 y 55. </w:t>
      </w:r>
    </w:p>
    <w:p w14:paraId="07181DE8" w14:textId="77777777" w:rsidR="009805F2" w:rsidRDefault="009805F2" w:rsidP="009805F2">
      <w:pPr>
        <w:pStyle w:val="Prrafodelista"/>
        <w:spacing w:after="0" w:line="240" w:lineRule="auto"/>
        <w:ind w:left="0" w:right="6"/>
        <w:jc w:val="both"/>
        <w:rPr>
          <w:rFonts w:ascii="Verdana" w:eastAsia="Batang" w:hAnsi="Verdana" w:cs="Times"/>
          <w:sz w:val="20"/>
          <w:szCs w:val="20"/>
          <w:lang w:val="es-CR" w:eastAsia="es-CR"/>
        </w:rPr>
      </w:pPr>
    </w:p>
    <w:p w14:paraId="433FF36B" w14:textId="394E9A93" w:rsidR="009805F2" w:rsidRPr="00EB1010"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EB1010">
        <w:rPr>
          <w:rFonts w:ascii="Verdana" w:hAnsi="Verdana"/>
          <w:sz w:val="20"/>
          <w:szCs w:val="20"/>
        </w:rPr>
        <w:t xml:space="preserve">El proceso también ha tenido desavenencias y dificultades, de las que es útil indicar algunos ejemplos. En abril de 2009 representantes de comunidades integrantes de Lhaka Honhat cuestionaron la distribución de tierras que la UEP habría pretendido implementar, como también que la UEP no diera participación a comunidades indígenas </w:t>
      </w:r>
      <w:r w:rsidRPr="00EB1010">
        <w:rPr>
          <w:rFonts w:ascii="Verdana" w:hAnsi="Verdana"/>
          <w:sz w:val="20"/>
          <w:szCs w:val="20"/>
        </w:rPr>
        <w:lastRenderedPageBreak/>
        <w:t xml:space="preserve">en la integración del equipo técnico. En mayo de ese año los representantes expresaron que el Estado intentaba efectuar una entrega de tierras “unilateral”. En 2012, luego de notificado el Informe de Fondo, se emitió el Decreto 2398/12, que como se ha explicado, no se dirigía a establecer un “título único”. </w:t>
      </w:r>
      <w:r w:rsidR="0006409D">
        <w:rPr>
          <w:rFonts w:ascii="Verdana" w:hAnsi="Verdana"/>
          <w:sz w:val="20"/>
          <w:szCs w:val="20"/>
        </w:rPr>
        <w:t>Conforme</w:t>
      </w:r>
      <w:r w:rsidRPr="00EB1010">
        <w:rPr>
          <w:rFonts w:ascii="Verdana" w:hAnsi="Verdana"/>
          <w:sz w:val="20"/>
          <w:szCs w:val="20"/>
        </w:rPr>
        <w:t xml:space="preserve"> información de los representantes, </w:t>
      </w:r>
      <w:r w:rsidR="0006409D">
        <w:rPr>
          <w:rFonts w:ascii="Verdana" w:hAnsi="Verdana"/>
          <w:sz w:val="20"/>
          <w:szCs w:val="20"/>
        </w:rPr>
        <w:t>en</w:t>
      </w:r>
      <w:r w:rsidRPr="00EB1010">
        <w:rPr>
          <w:rFonts w:ascii="Verdana" w:hAnsi="Verdana"/>
          <w:sz w:val="20"/>
          <w:szCs w:val="20"/>
        </w:rPr>
        <w:t xml:space="preserve"> 2013 </w:t>
      </w:r>
      <w:r w:rsidR="0006409D">
        <w:rPr>
          <w:rFonts w:ascii="Verdana" w:hAnsi="Verdana"/>
          <w:sz w:val="20"/>
          <w:szCs w:val="20"/>
        </w:rPr>
        <w:t>queda</w:t>
      </w:r>
      <w:r w:rsidRPr="00EB1010">
        <w:rPr>
          <w:rFonts w:ascii="Verdana" w:hAnsi="Verdana"/>
          <w:sz w:val="20"/>
          <w:szCs w:val="20"/>
        </w:rPr>
        <w:t>ba todavía un 93% de avance en procesos de acuerdos, demarcación y delimitación, y en julio de ese año criollos e indígenas señalaron “inacción” de la UEP. A fin</w:t>
      </w:r>
      <w:r w:rsidR="0006409D">
        <w:rPr>
          <w:rFonts w:ascii="Verdana" w:hAnsi="Verdana"/>
          <w:sz w:val="20"/>
          <w:szCs w:val="20"/>
        </w:rPr>
        <w:t>ales</w:t>
      </w:r>
      <w:r w:rsidRPr="00EB1010">
        <w:rPr>
          <w:rFonts w:ascii="Verdana" w:hAnsi="Verdana"/>
          <w:sz w:val="20"/>
          <w:szCs w:val="20"/>
        </w:rPr>
        <w:t xml:space="preserve"> de 2013, por un proceso de reestructuración de la UEP, hubo una suspensión de trabajos en la zona. Entre septiembre de 2015 y junio del año siguiente, según indicaron los representantes, hubo problemas presupuestarios para avanzar en traslados. </w:t>
      </w:r>
    </w:p>
    <w:p w14:paraId="076A3B2C" w14:textId="77777777" w:rsidR="009805F2" w:rsidRDefault="009805F2" w:rsidP="009805F2">
      <w:pPr>
        <w:pStyle w:val="Prrafodelista"/>
        <w:spacing w:after="0" w:line="240" w:lineRule="auto"/>
        <w:ind w:left="0" w:right="6"/>
        <w:jc w:val="both"/>
        <w:rPr>
          <w:rFonts w:ascii="Verdana" w:eastAsia="Batang" w:hAnsi="Verdana" w:cs="Times"/>
          <w:sz w:val="20"/>
          <w:szCs w:val="20"/>
          <w:lang w:val="es-CR" w:eastAsia="es-CR"/>
        </w:rPr>
      </w:pPr>
    </w:p>
    <w:p w14:paraId="116CBEA9" w14:textId="6C08A60C" w:rsidR="009805F2"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EB1010">
        <w:rPr>
          <w:rFonts w:ascii="Verdana" w:hAnsi="Verdana"/>
          <w:sz w:val="20"/>
          <w:szCs w:val="20"/>
        </w:rPr>
        <w:t xml:space="preserve">Los representantes han descrito la metodología que se sigue actualmente, a través de la labor de la UEP, refiriendo los pasos del procedimiento del siguiente modo: 1) acuerdos (entre indígenas y criollos), croquis y protocolización; 2) trabajo de agrimensura; 3) titulación; 4) relocalización de familia y ganado (y “en paralelo” la realización de </w:t>
      </w:r>
      <w:r w:rsidR="00DB6CFE">
        <w:rPr>
          <w:rFonts w:ascii="Verdana" w:hAnsi="Verdana"/>
          <w:sz w:val="20"/>
          <w:szCs w:val="20"/>
        </w:rPr>
        <w:t xml:space="preserve">“las </w:t>
      </w:r>
      <w:r w:rsidRPr="00EB1010">
        <w:rPr>
          <w:rFonts w:ascii="Verdana" w:hAnsi="Verdana"/>
          <w:sz w:val="20"/>
          <w:szCs w:val="20"/>
        </w:rPr>
        <w:t xml:space="preserve">obras de infraestructura </w:t>
      </w:r>
      <w:r w:rsidR="00DB6CFE">
        <w:rPr>
          <w:rFonts w:ascii="Verdana" w:hAnsi="Verdana"/>
          <w:sz w:val="20"/>
          <w:szCs w:val="20"/>
        </w:rPr>
        <w:t xml:space="preserve">necesarias </w:t>
      </w:r>
      <w:r w:rsidRPr="00EB1010">
        <w:rPr>
          <w:rFonts w:ascii="Verdana" w:hAnsi="Verdana"/>
          <w:sz w:val="20"/>
          <w:szCs w:val="20"/>
        </w:rPr>
        <w:t>para tal efecto”)</w:t>
      </w:r>
      <w:r>
        <w:rPr>
          <w:rStyle w:val="Refdenotaalpie"/>
        </w:rPr>
        <w:footnoteReference w:id="140"/>
      </w:r>
      <w:r w:rsidRPr="00EB1010">
        <w:rPr>
          <w:rFonts w:ascii="Verdana" w:hAnsi="Verdana"/>
          <w:sz w:val="20"/>
          <w:szCs w:val="20"/>
        </w:rPr>
        <w:t xml:space="preserve">.  </w:t>
      </w:r>
    </w:p>
    <w:p w14:paraId="13DB0B4D" w14:textId="77777777" w:rsidR="009805F2" w:rsidRPr="007B1599" w:rsidRDefault="009805F2" w:rsidP="009805F2">
      <w:pPr>
        <w:pStyle w:val="Prrafodelista"/>
        <w:spacing w:line="240" w:lineRule="auto"/>
        <w:rPr>
          <w:rFonts w:ascii="Verdana" w:hAnsi="Verdana"/>
          <w:sz w:val="20"/>
          <w:szCs w:val="20"/>
          <w:lang w:val="es-CR"/>
        </w:rPr>
      </w:pPr>
    </w:p>
    <w:p w14:paraId="554D3B66" w14:textId="77777777" w:rsidR="009805F2"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EB1010">
        <w:rPr>
          <w:rFonts w:ascii="Verdana" w:hAnsi="Verdana"/>
          <w:sz w:val="20"/>
          <w:szCs w:val="20"/>
        </w:rPr>
        <w:t>Los representantes han aducido que “[u]na de las mayores falencias del trabajo realizado por la UEP” era la falta de “garant[ía]” de “los derechos territoriales indígenas” cuando familias criollas en territorio indígena no expresaban “voluntad de traslado ni de acordar”</w:t>
      </w:r>
      <w:r w:rsidRPr="004E64F0">
        <w:rPr>
          <w:rStyle w:val="Refdenotaalpie"/>
        </w:rPr>
        <w:footnoteReference w:id="141"/>
      </w:r>
      <w:r w:rsidRPr="00EB1010">
        <w:rPr>
          <w:rFonts w:ascii="Verdana" w:hAnsi="Verdana"/>
          <w:sz w:val="20"/>
          <w:szCs w:val="20"/>
        </w:rPr>
        <w:t>, pues ello “estanca por completo” la “delimitación [y], demarcación […] del territorio”</w:t>
      </w:r>
      <w:r>
        <w:rPr>
          <w:rFonts w:ascii="Verdana" w:hAnsi="Verdana"/>
          <w:sz w:val="20"/>
          <w:szCs w:val="20"/>
        </w:rPr>
        <w:t>.</w:t>
      </w:r>
      <w:r w:rsidRPr="00EB1010">
        <w:rPr>
          <w:rFonts w:ascii="Verdana" w:hAnsi="Verdana"/>
          <w:sz w:val="16"/>
          <w:szCs w:val="16"/>
        </w:rPr>
        <w:t xml:space="preserve"> </w:t>
      </w:r>
      <w:r w:rsidRPr="00EB1010">
        <w:rPr>
          <w:rFonts w:ascii="Verdana" w:hAnsi="Verdana"/>
          <w:sz w:val="20"/>
          <w:szCs w:val="20"/>
        </w:rPr>
        <w:t>En ese sentido, aseveraron que</w:t>
      </w:r>
      <w:r w:rsidRPr="00EB1010">
        <w:rPr>
          <w:rFonts w:ascii="Verdana" w:hAnsi="Verdana"/>
          <w:b/>
          <w:sz w:val="16"/>
          <w:szCs w:val="16"/>
        </w:rPr>
        <w:t xml:space="preserve"> </w:t>
      </w:r>
      <w:r w:rsidRPr="00EB1010">
        <w:rPr>
          <w:rFonts w:ascii="Verdana" w:hAnsi="Verdana"/>
          <w:sz w:val="20"/>
          <w:szCs w:val="20"/>
        </w:rPr>
        <w:t xml:space="preserve">con el procedimiento instaurado a partir del Decreto 2786/07 el Estado “subordina[ba] la entrega de las tierras a los acuerdos […] sin brindar solución alguna para el caso en que […] no logren concretarse”. </w:t>
      </w:r>
    </w:p>
    <w:p w14:paraId="0EEC9B43" w14:textId="77777777" w:rsidR="009805F2" w:rsidRPr="00EB1010" w:rsidRDefault="009805F2" w:rsidP="009805F2">
      <w:pPr>
        <w:pStyle w:val="Prrafodelista"/>
        <w:spacing w:line="240" w:lineRule="auto"/>
        <w:rPr>
          <w:rFonts w:ascii="Verdana" w:hAnsi="Verdana"/>
          <w:sz w:val="20"/>
          <w:szCs w:val="20"/>
        </w:rPr>
      </w:pPr>
    </w:p>
    <w:p w14:paraId="260D1FB3" w14:textId="35B9E613" w:rsidR="009805F2"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EB1010">
        <w:rPr>
          <w:rFonts w:ascii="Verdana" w:hAnsi="Verdana"/>
          <w:sz w:val="20"/>
          <w:szCs w:val="20"/>
        </w:rPr>
        <w:t>La Corte, más allá de valorar positivamente el proceso de acuerdos, considera que, ciertamente, los procedimientos deben ser aptos para garantizar la propiedad de las comunidades indígenas sobre su territorio. El Estado no puede supeditar dicha garantía a la voluntad de particulares</w:t>
      </w:r>
      <w:r>
        <w:rPr>
          <w:rStyle w:val="Refdenotaalpie"/>
        </w:rPr>
        <w:footnoteReference w:id="142"/>
      </w:r>
      <w:r w:rsidRPr="00EB1010">
        <w:rPr>
          <w:rFonts w:ascii="Verdana" w:hAnsi="Verdana"/>
          <w:sz w:val="20"/>
          <w:szCs w:val="20"/>
        </w:rPr>
        <w:t>. Ahora bien, el Acta-Acuerdo aprobada por el Decreto 2786/07 señalaba que “en caso de falta de acuerdo se invitar[ía] a las partes a someterse a un proceso arbitral” y que en caso de no hacerlo “se recurrirá a la decisión jurisdiccional que corresponda”. No consta que se estableciera un modo para determinar</w:t>
      </w:r>
      <w:r w:rsidR="00810815">
        <w:rPr>
          <w:rFonts w:ascii="Verdana" w:hAnsi="Verdana"/>
          <w:sz w:val="20"/>
          <w:szCs w:val="20"/>
        </w:rPr>
        <w:t xml:space="preserve"> cuándo</w:t>
      </w:r>
      <w:r w:rsidRPr="00EB1010">
        <w:rPr>
          <w:rFonts w:ascii="Verdana" w:hAnsi="Verdana"/>
          <w:sz w:val="20"/>
          <w:szCs w:val="20"/>
        </w:rPr>
        <w:t xml:space="preserve"> el intento de lograr un acuerdo fracas</w:t>
      </w:r>
      <w:r w:rsidR="00810815">
        <w:rPr>
          <w:rFonts w:ascii="Verdana" w:hAnsi="Verdana"/>
          <w:sz w:val="20"/>
          <w:szCs w:val="20"/>
        </w:rPr>
        <w:t>ó</w:t>
      </w:r>
      <w:r w:rsidRPr="00EB1010">
        <w:rPr>
          <w:rFonts w:ascii="Verdana" w:hAnsi="Verdana"/>
          <w:sz w:val="20"/>
          <w:szCs w:val="20"/>
        </w:rPr>
        <w:t xml:space="preserve"> definitivamente, pero tampoco que se hayan intentado llevar a cabo estos procesos arbitrales o judiciales. En atención a lo dicho, la Corte no tiene elementos para concluir que </w:t>
      </w:r>
      <w:r w:rsidR="00884D97">
        <w:rPr>
          <w:rFonts w:ascii="Verdana" w:hAnsi="Verdana"/>
          <w:sz w:val="20"/>
          <w:szCs w:val="20"/>
        </w:rPr>
        <w:t xml:space="preserve">el Estado, por </w:t>
      </w:r>
      <w:r w:rsidRPr="00EB1010">
        <w:rPr>
          <w:rFonts w:ascii="Verdana" w:hAnsi="Verdana"/>
          <w:sz w:val="20"/>
          <w:szCs w:val="20"/>
        </w:rPr>
        <w:t>el motivo señalado por los representantes</w:t>
      </w:r>
      <w:r w:rsidR="00884D97">
        <w:rPr>
          <w:rFonts w:ascii="Verdana" w:hAnsi="Verdana"/>
          <w:sz w:val="20"/>
          <w:szCs w:val="20"/>
        </w:rPr>
        <w:t>,</w:t>
      </w:r>
      <w:r w:rsidRPr="00EB1010">
        <w:rPr>
          <w:rFonts w:ascii="Verdana" w:hAnsi="Verdana"/>
          <w:sz w:val="20"/>
          <w:szCs w:val="20"/>
        </w:rPr>
        <w:t xml:space="preserve"> hiciera inefectivos los procedimientos de acuerdos. </w:t>
      </w:r>
    </w:p>
    <w:p w14:paraId="6085DF01" w14:textId="77777777" w:rsidR="009805F2" w:rsidRPr="00EB1010" w:rsidRDefault="009805F2" w:rsidP="009805F2">
      <w:pPr>
        <w:pStyle w:val="Prrafodelista"/>
        <w:spacing w:line="240" w:lineRule="auto"/>
        <w:rPr>
          <w:rFonts w:ascii="Verdana" w:hAnsi="Verdana"/>
          <w:sz w:val="20"/>
          <w:szCs w:val="20"/>
          <w:lang w:val="es-CR"/>
        </w:rPr>
      </w:pPr>
    </w:p>
    <w:p w14:paraId="0AC9266C" w14:textId="119C172C" w:rsidR="009805F2"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EB1010">
        <w:rPr>
          <w:rFonts w:ascii="Verdana" w:hAnsi="Verdana"/>
          <w:sz w:val="20"/>
          <w:szCs w:val="20"/>
          <w:lang w:val="es-CR"/>
        </w:rPr>
        <w:lastRenderedPageBreak/>
        <w:t xml:space="preserve">El último Decreto que implicó un acto de reconocimiento de la propiedad, que se encuentra actualmente vigente, es el 1498/14 de 2014. En </w:t>
      </w:r>
      <w:r w:rsidR="00A2030E">
        <w:rPr>
          <w:rFonts w:ascii="Verdana" w:hAnsi="Verdana"/>
          <w:sz w:val="20"/>
          <w:szCs w:val="20"/>
          <w:lang w:val="es-CR"/>
        </w:rPr>
        <w:t>sus</w:t>
      </w:r>
      <w:r w:rsidRPr="00EB1010">
        <w:rPr>
          <w:rFonts w:ascii="Verdana" w:hAnsi="Verdana"/>
          <w:sz w:val="20"/>
          <w:szCs w:val="20"/>
          <w:lang w:val="es-CR"/>
        </w:rPr>
        <w:t xml:space="preserve"> fundamentos se manifiesta que con ese acto “se da cumplimiento con la titulación de las tierras”. </w:t>
      </w:r>
      <w:r w:rsidR="00A2030E">
        <w:rPr>
          <w:rFonts w:ascii="Verdana" w:hAnsi="Verdana"/>
          <w:sz w:val="20"/>
          <w:szCs w:val="20"/>
          <w:lang w:val="es-CR"/>
        </w:rPr>
        <w:t>S</w:t>
      </w:r>
      <w:r w:rsidRPr="00EB1010">
        <w:rPr>
          <w:rFonts w:ascii="Verdana" w:hAnsi="Verdana"/>
          <w:sz w:val="20"/>
          <w:szCs w:val="20"/>
          <w:lang w:val="es-CR"/>
        </w:rPr>
        <w:t>u articulado, establece la “propiedad comunitaria” de un 58,27% de los “inmuebles nomenclatura catastral Matrículas N° 175 y 5557 del Departamento Rivadavia” (que son los lotes 14 y 55) a 71 comunidades indígenas, y un “condominio”, de conformidad con las normas del Código Civil, de los mismos lotes, a favor de “solicitantes” criollos.</w:t>
      </w:r>
      <w:r w:rsidRPr="00EB1010">
        <w:rPr>
          <w:rFonts w:ascii="Verdana" w:hAnsi="Verdana"/>
          <w:b/>
          <w:sz w:val="20"/>
          <w:szCs w:val="20"/>
          <w:lang w:val="es-CR"/>
        </w:rPr>
        <w:t xml:space="preserve"> </w:t>
      </w:r>
      <w:r w:rsidRPr="00EB1010">
        <w:rPr>
          <w:rFonts w:ascii="Verdana" w:hAnsi="Verdana"/>
          <w:sz w:val="20"/>
          <w:szCs w:val="20"/>
          <w:lang w:val="es-CR"/>
        </w:rPr>
        <w:t xml:space="preserve">Asimismo, “reservó” 6,34% de la tierra para Salta, </w:t>
      </w:r>
      <w:r w:rsidR="00A2030E">
        <w:rPr>
          <w:rFonts w:ascii="Verdana" w:hAnsi="Verdana"/>
          <w:sz w:val="20"/>
          <w:szCs w:val="20"/>
          <w:lang w:val="es-CR"/>
        </w:rPr>
        <w:t>destinado a</w:t>
      </w:r>
      <w:r w:rsidRPr="00EB1010">
        <w:rPr>
          <w:rFonts w:ascii="Verdana" w:hAnsi="Verdana"/>
          <w:sz w:val="20"/>
          <w:szCs w:val="20"/>
          <w:lang w:val="es-CR"/>
        </w:rPr>
        <w:t xml:space="preserve"> obras de infraestructura para</w:t>
      </w:r>
      <w:r>
        <w:rPr>
          <w:rFonts w:ascii="Verdana" w:hAnsi="Verdana"/>
          <w:sz w:val="20"/>
          <w:szCs w:val="20"/>
          <w:lang w:val="es-CR"/>
        </w:rPr>
        <w:t xml:space="preserve"> “</w:t>
      </w:r>
      <w:r w:rsidRPr="00EB1010">
        <w:rPr>
          <w:rFonts w:ascii="Verdana" w:hAnsi="Verdana"/>
          <w:sz w:val="20"/>
          <w:szCs w:val="20"/>
          <w:lang w:val="es-CR"/>
        </w:rPr>
        <w:t>todo otro destino que resulte menester a los fines de la consecución de los acuerdos de parte y determinación específica de los lotes asignados”. Previó la futura “delimit[ación]” y “determinación específica de los territorios y lotes”, y que ésta “se realizar[ía] por intermedio de la U[EP]”.</w:t>
      </w:r>
      <w:r w:rsidRPr="00EB1010">
        <w:rPr>
          <w:rFonts w:ascii="Verdana" w:hAnsi="Verdana"/>
          <w:b/>
          <w:sz w:val="20"/>
          <w:szCs w:val="20"/>
          <w:lang w:val="es-CR"/>
        </w:rPr>
        <w:t xml:space="preserve"> </w:t>
      </w:r>
    </w:p>
    <w:p w14:paraId="61D3B6C7" w14:textId="77777777" w:rsidR="009805F2" w:rsidRPr="00EB1010" w:rsidRDefault="009805F2" w:rsidP="009805F2">
      <w:pPr>
        <w:pStyle w:val="Prrafodelista"/>
        <w:spacing w:line="240" w:lineRule="auto"/>
        <w:rPr>
          <w:rFonts w:ascii="Verdana" w:hAnsi="Verdana"/>
          <w:sz w:val="20"/>
          <w:szCs w:val="20"/>
        </w:rPr>
      </w:pPr>
    </w:p>
    <w:p w14:paraId="1217DD51" w14:textId="317F7DE9" w:rsidR="009805F2" w:rsidRPr="00EB1010"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EB1010">
        <w:rPr>
          <w:rFonts w:ascii="Verdana" w:hAnsi="Verdana"/>
          <w:sz w:val="20"/>
          <w:szCs w:val="20"/>
        </w:rPr>
        <w:t xml:space="preserve">El Decreto 1498/14 reconoce claramente la propiedad de comunidades indígenas sobre su territorio. No obstante, también establece sobre la tierra respectiva un “condominio” a favor de personas criollas. Por ello, y dado sus propios términos, que establecen un derecho de propiedad de criollos y comunidades indígenas sobre la misma tierra y prevén acciones futuras de “determinación” y “delimitación”, el Decreto no puede entenderse como un acto final respecto a la satisfacción estatal del derecho de propiedad de las comunidades. En ese mismo sentido, si bien el Estado aseveró que el Decreto 1498/14 constituía el “título único” reclamado por las comunidades, también </w:t>
      </w:r>
      <w:r w:rsidR="00884D97">
        <w:rPr>
          <w:rFonts w:ascii="Verdana" w:hAnsi="Verdana"/>
          <w:sz w:val="20"/>
          <w:szCs w:val="20"/>
        </w:rPr>
        <w:t>afirmó</w:t>
      </w:r>
      <w:r w:rsidRPr="00EB1010">
        <w:rPr>
          <w:rFonts w:ascii="Verdana" w:hAnsi="Verdana"/>
          <w:sz w:val="20"/>
          <w:szCs w:val="20"/>
        </w:rPr>
        <w:t xml:space="preserve"> que para “la entrega del título único” era necesario concluir acuerdos (</w:t>
      </w:r>
      <w:r w:rsidRPr="00EB1010">
        <w:rPr>
          <w:rFonts w:ascii="Verdana" w:hAnsi="Verdana"/>
          <w:i/>
          <w:sz w:val="20"/>
          <w:szCs w:val="20"/>
        </w:rPr>
        <w:t>supra</w:t>
      </w:r>
      <w:r w:rsidRPr="00EB1010">
        <w:rPr>
          <w:rFonts w:ascii="Verdana" w:hAnsi="Verdana"/>
          <w:sz w:val="20"/>
          <w:szCs w:val="20"/>
        </w:rPr>
        <w:t>, párr</w:t>
      </w:r>
      <w:r>
        <w:rPr>
          <w:rFonts w:ascii="Verdana" w:hAnsi="Verdana"/>
          <w:sz w:val="20"/>
          <w:szCs w:val="20"/>
        </w:rPr>
        <w:t>s</w:t>
      </w:r>
      <w:r w:rsidRPr="00EB1010">
        <w:rPr>
          <w:rFonts w:ascii="Verdana" w:hAnsi="Verdana"/>
          <w:sz w:val="20"/>
          <w:szCs w:val="20"/>
        </w:rPr>
        <w:t xml:space="preserve">. </w:t>
      </w:r>
      <w:r>
        <w:rPr>
          <w:rFonts w:ascii="Verdana" w:hAnsi="Verdana"/>
          <w:sz w:val="20"/>
          <w:szCs w:val="20"/>
        </w:rPr>
        <w:t>110, 111 y 133</w:t>
      </w:r>
      <w:r w:rsidRPr="00EB1010">
        <w:rPr>
          <w:rFonts w:ascii="Verdana" w:hAnsi="Verdana"/>
          <w:sz w:val="20"/>
          <w:szCs w:val="20"/>
        </w:rPr>
        <w:t>). Por ende, si bien es posible entender el Decreto 1498/14 como un acto que reconoce el derecho de propiedad de las comunidades y le brinda mayor seguridad jurídica, ello sólo es así en tanto se lo entienda como un acto que previó la ulterior modificación de la situación que estableció</w:t>
      </w:r>
      <w:r>
        <w:rPr>
          <w:rStyle w:val="Refdenotaalpie"/>
        </w:rPr>
        <w:footnoteReference w:id="143"/>
      </w:r>
      <w:r w:rsidRPr="00EB1010">
        <w:rPr>
          <w:rFonts w:ascii="Verdana" w:hAnsi="Verdana"/>
          <w:sz w:val="20"/>
          <w:szCs w:val="20"/>
        </w:rPr>
        <w:t xml:space="preserve">. No obstante, esa situación todavía permanece inalterada. </w:t>
      </w:r>
    </w:p>
    <w:p w14:paraId="38922AEB" w14:textId="77777777" w:rsidR="009805F2" w:rsidRDefault="009805F2" w:rsidP="009805F2">
      <w:pPr>
        <w:pStyle w:val="Prrafodelista"/>
        <w:spacing w:after="0" w:line="240" w:lineRule="auto"/>
        <w:ind w:left="0" w:right="6"/>
        <w:jc w:val="both"/>
        <w:rPr>
          <w:rFonts w:ascii="Verdana" w:eastAsia="Batang" w:hAnsi="Verdana" w:cs="Times"/>
          <w:sz w:val="20"/>
          <w:szCs w:val="20"/>
          <w:lang w:val="es-CR" w:eastAsia="es-CR"/>
        </w:rPr>
      </w:pPr>
    </w:p>
    <w:p w14:paraId="5A853F94" w14:textId="07C8EEAC" w:rsidR="009805F2" w:rsidRPr="00EB1010"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EB1010">
        <w:rPr>
          <w:rFonts w:ascii="Verdana" w:hAnsi="Verdana" w:cs="Tahoma"/>
          <w:sz w:val="20"/>
          <w:szCs w:val="20"/>
        </w:rPr>
        <w:t xml:space="preserve">La Corte advierte la complejidad del caso y las dificultades que ha tenido el Estado para concretar las acciones necesarias para garantizar adecuadamente el derecho de propiedad. </w:t>
      </w:r>
      <w:r>
        <w:rPr>
          <w:rFonts w:ascii="Verdana" w:hAnsi="Verdana" w:cs="Tahoma"/>
          <w:sz w:val="20"/>
          <w:szCs w:val="20"/>
        </w:rPr>
        <w:t>Argentina</w:t>
      </w:r>
      <w:r w:rsidRPr="00EB1010">
        <w:rPr>
          <w:rFonts w:ascii="Verdana" w:hAnsi="Verdana" w:cs="Tahoma"/>
          <w:sz w:val="20"/>
          <w:szCs w:val="20"/>
        </w:rPr>
        <w:t xml:space="preserve"> destacó la complejidad que conlleva “el traslado de personas criollas, adultos, adolescentes y niños y niñas, familias enteras con su ganado y unidades económicas de subsistencia, para lo cual resulta necesario, con carácter previo […], la realización de las obras de infraestructura necesarias que garanticen el acceso al agua potable, salud, seguridad, educación, energía, accesibilidad de caminos, alambrados para contener el ganado y que no invada territorio de las comunidades, entre otras”. </w:t>
      </w:r>
      <w:r>
        <w:rPr>
          <w:rFonts w:ascii="Verdana" w:hAnsi="Verdana" w:cs="Tahoma"/>
          <w:sz w:val="20"/>
          <w:szCs w:val="20"/>
        </w:rPr>
        <w:t>I</w:t>
      </w:r>
      <w:r w:rsidRPr="00EB1010">
        <w:rPr>
          <w:rFonts w:ascii="Verdana" w:hAnsi="Verdana" w:cs="Tahoma"/>
          <w:sz w:val="20"/>
          <w:szCs w:val="20"/>
        </w:rPr>
        <w:t>nform</w:t>
      </w:r>
      <w:r>
        <w:rPr>
          <w:rFonts w:ascii="Verdana" w:hAnsi="Verdana" w:cs="Tahoma"/>
          <w:sz w:val="20"/>
          <w:szCs w:val="20"/>
        </w:rPr>
        <w:t>ó, asimismo,</w:t>
      </w:r>
      <w:r w:rsidRPr="00EB1010">
        <w:rPr>
          <w:rFonts w:ascii="Verdana" w:hAnsi="Verdana" w:cs="Tahoma"/>
          <w:sz w:val="20"/>
          <w:szCs w:val="20"/>
        </w:rPr>
        <w:t xml:space="preserve"> que el “proceso participativo para la regularización dominial” ha requerido “redoblar los esfuerzos en tiempo y en la cantidad de recursos humanos”. Además, aunque no en todos sus aspectos está necesariamente vinculado a la garantía de la propiedad comunitaria, la Corte toma nota también que el Estado señaló haber avanzado en un “Plan de obras” en la zona, que según informó</w:t>
      </w:r>
      <w:r w:rsidR="0006409D">
        <w:rPr>
          <w:rFonts w:ascii="Verdana" w:hAnsi="Verdana" w:cs="Tahoma"/>
          <w:sz w:val="20"/>
          <w:szCs w:val="20"/>
        </w:rPr>
        <w:t>,</w:t>
      </w:r>
      <w:r w:rsidRPr="00EB1010">
        <w:rPr>
          <w:rFonts w:ascii="Verdana" w:hAnsi="Verdana" w:cs="Tahoma"/>
          <w:sz w:val="20"/>
          <w:szCs w:val="20"/>
        </w:rPr>
        <w:t xml:space="preserve"> conlleva importantes erogaciones económicas y continúa “en proceso”</w:t>
      </w:r>
      <w:r>
        <w:rPr>
          <w:rFonts w:ascii="Verdana" w:hAnsi="Verdana" w:cs="Tahoma"/>
          <w:sz w:val="20"/>
          <w:szCs w:val="20"/>
        </w:rPr>
        <w:t>,</w:t>
      </w:r>
      <w:r w:rsidRPr="00EB1010">
        <w:rPr>
          <w:rFonts w:ascii="Verdana" w:hAnsi="Verdana" w:cs="Tahoma"/>
          <w:sz w:val="20"/>
          <w:szCs w:val="20"/>
        </w:rPr>
        <w:t xml:space="preserve"> para garantizar “no solo el derecho de </w:t>
      </w:r>
      <w:r w:rsidRPr="00EB1010">
        <w:rPr>
          <w:rFonts w:ascii="Verdana" w:hAnsi="Verdana" w:cs="Tahoma"/>
          <w:sz w:val="20"/>
          <w:szCs w:val="20"/>
        </w:rPr>
        <w:lastRenderedPageBreak/>
        <w:t>propiedad”</w:t>
      </w:r>
      <w:r w:rsidR="0006409D">
        <w:rPr>
          <w:rFonts w:ascii="Verdana" w:hAnsi="Verdana" w:cs="Tahoma"/>
          <w:sz w:val="20"/>
          <w:szCs w:val="20"/>
        </w:rPr>
        <w:t>,</w:t>
      </w:r>
      <w:r w:rsidRPr="00EB1010">
        <w:rPr>
          <w:rFonts w:ascii="Verdana" w:hAnsi="Verdana" w:cs="Tahoma"/>
          <w:sz w:val="20"/>
          <w:szCs w:val="20"/>
        </w:rPr>
        <w:t xml:space="preserve"> sino también “el acceso a la salud y educación y la mejora en la transitividad e ingreso a la zona, entre otros”. </w:t>
      </w:r>
    </w:p>
    <w:p w14:paraId="44E4F22C" w14:textId="77777777" w:rsidR="009805F2" w:rsidRDefault="009805F2" w:rsidP="009805F2">
      <w:pPr>
        <w:pStyle w:val="Prrafodelista"/>
        <w:spacing w:after="0" w:line="240" w:lineRule="auto"/>
        <w:ind w:left="0" w:right="6"/>
        <w:jc w:val="both"/>
        <w:rPr>
          <w:rFonts w:ascii="Verdana" w:eastAsia="Batang" w:hAnsi="Verdana" w:cs="Times"/>
          <w:sz w:val="20"/>
          <w:szCs w:val="20"/>
          <w:lang w:val="es-CR" w:eastAsia="es-CR"/>
        </w:rPr>
      </w:pPr>
    </w:p>
    <w:p w14:paraId="1E2B60EC" w14:textId="3A5BC5ED" w:rsidR="009805F2"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EB1010">
        <w:rPr>
          <w:rFonts w:ascii="Verdana" w:hAnsi="Verdana" w:cs="Tahoma"/>
          <w:sz w:val="20"/>
          <w:szCs w:val="20"/>
        </w:rPr>
        <w:t xml:space="preserve">Este Tribunal, </w:t>
      </w:r>
      <w:r w:rsidR="00884D97">
        <w:rPr>
          <w:rFonts w:ascii="Verdana" w:hAnsi="Verdana" w:cs="Tahoma"/>
          <w:sz w:val="20"/>
          <w:szCs w:val="20"/>
        </w:rPr>
        <w:t>en razón de lo anterior</w:t>
      </w:r>
      <w:r w:rsidRPr="00EB1010">
        <w:rPr>
          <w:rFonts w:ascii="Verdana" w:hAnsi="Verdana" w:cs="Tahoma"/>
          <w:sz w:val="20"/>
          <w:szCs w:val="20"/>
        </w:rPr>
        <w:t xml:space="preserve">, nota y valora las acciones estatales, pero no puede dejar de advertir que el derecho a la propiedad comunitaria indígena no se encuentra plenamente concretado o garantizado, pese a que han transcurrido más de 28 años desde los primeros reclamos que pueden ser examinados por la Corte. </w:t>
      </w:r>
    </w:p>
    <w:p w14:paraId="0131F689" w14:textId="77777777" w:rsidR="009805F2" w:rsidRPr="00EB1010" w:rsidRDefault="009805F2" w:rsidP="009805F2">
      <w:pPr>
        <w:pStyle w:val="Prrafodelista"/>
        <w:spacing w:line="240" w:lineRule="auto"/>
        <w:rPr>
          <w:rFonts w:ascii="Verdana" w:hAnsi="Verdana"/>
          <w:sz w:val="20"/>
          <w:szCs w:val="20"/>
        </w:rPr>
      </w:pPr>
    </w:p>
    <w:p w14:paraId="74CB8D1B" w14:textId="35275BB4" w:rsidR="009805F2"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EB1010">
        <w:rPr>
          <w:rFonts w:ascii="Verdana" w:hAnsi="Verdana"/>
          <w:sz w:val="20"/>
          <w:szCs w:val="20"/>
        </w:rPr>
        <w:t>Por lo expuesto, la Corte entiende, por una parte, que el Estado reconoció, mediante actos jurídicos, el derecho de propiedad de las comunidades indígenas. Existe</w:t>
      </w:r>
      <w:r>
        <w:rPr>
          <w:rFonts w:ascii="Verdana" w:hAnsi="Verdana"/>
          <w:sz w:val="20"/>
          <w:szCs w:val="20"/>
        </w:rPr>
        <w:t>, en es</w:t>
      </w:r>
      <w:r w:rsidR="0006409D">
        <w:rPr>
          <w:rFonts w:ascii="Verdana" w:hAnsi="Verdana"/>
          <w:sz w:val="20"/>
          <w:szCs w:val="20"/>
        </w:rPr>
        <w:t>t</w:t>
      </w:r>
      <w:r>
        <w:rPr>
          <w:rFonts w:ascii="Verdana" w:hAnsi="Verdana"/>
          <w:sz w:val="20"/>
          <w:szCs w:val="20"/>
        </w:rPr>
        <w:t>e sentido,</w:t>
      </w:r>
      <w:r w:rsidRPr="00EB1010">
        <w:rPr>
          <w:rFonts w:ascii="Verdana" w:hAnsi="Verdana"/>
          <w:sz w:val="20"/>
          <w:szCs w:val="20"/>
        </w:rPr>
        <w:t xml:space="preserve"> un título o reconocimiento jurídico de la propiedad. </w:t>
      </w:r>
      <w:r>
        <w:rPr>
          <w:rFonts w:ascii="Verdana" w:hAnsi="Verdana"/>
          <w:sz w:val="20"/>
          <w:szCs w:val="20"/>
        </w:rPr>
        <w:t>A</w:t>
      </w:r>
      <w:r w:rsidRPr="00EB1010">
        <w:rPr>
          <w:rFonts w:ascii="Verdana" w:hAnsi="Verdana"/>
          <w:sz w:val="20"/>
          <w:szCs w:val="20"/>
        </w:rPr>
        <w:t>siste</w:t>
      </w:r>
      <w:r>
        <w:rPr>
          <w:rFonts w:ascii="Verdana" w:hAnsi="Verdana"/>
          <w:sz w:val="20"/>
          <w:szCs w:val="20"/>
        </w:rPr>
        <w:t xml:space="preserve"> entonces</w:t>
      </w:r>
      <w:r w:rsidRPr="00EB1010">
        <w:rPr>
          <w:rFonts w:ascii="Verdana" w:hAnsi="Verdana"/>
          <w:sz w:val="20"/>
          <w:szCs w:val="20"/>
        </w:rPr>
        <w:t xml:space="preserve"> razón al Estado en cuanto a que el derecho “está fehacientemente reconocido”.</w:t>
      </w:r>
      <w:r w:rsidRPr="00EB1010">
        <w:rPr>
          <w:rFonts w:ascii="Verdana" w:hAnsi="Verdana"/>
          <w:b/>
          <w:sz w:val="20"/>
          <w:szCs w:val="20"/>
        </w:rPr>
        <w:t xml:space="preserve"> </w:t>
      </w:r>
      <w:r w:rsidRPr="00EB1010">
        <w:rPr>
          <w:rFonts w:ascii="Verdana" w:hAnsi="Verdana"/>
          <w:sz w:val="20"/>
          <w:szCs w:val="20"/>
        </w:rPr>
        <w:t xml:space="preserve">No obstante, por otro lado, este Tribunal no puede soslayar que el reconocimiento de la propiedad indígena debe efectuarse dotando de seguridad jurídica al derecho, de modo que sea oponible </w:t>
      </w:r>
      <w:r w:rsidR="0006409D">
        <w:rPr>
          <w:rFonts w:ascii="Verdana" w:hAnsi="Verdana"/>
          <w:sz w:val="20"/>
          <w:szCs w:val="20"/>
        </w:rPr>
        <w:t xml:space="preserve">frente </w:t>
      </w:r>
      <w:r w:rsidRPr="00EB1010">
        <w:rPr>
          <w:rFonts w:ascii="Verdana" w:hAnsi="Verdana"/>
          <w:sz w:val="20"/>
          <w:szCs w:val="20"/>
        </w:rPr>
        <w:t>a terceros. Las acciones tendientes a esta finalidad no han sido completadas. El Decreto 1498/14, en ese sentido, debe entenderse como un acto cuya ejecución no se ha concretado, siendo que su mismo texto prevé acciones futuras. Por ello el reconocimiento jurídico existente no es todavía adecuado o suficiente para el pleno ejercicio del derecho de propiedad. Aunque este Tribunal valora los avances efectuados por el Estado, debe concluir que el derecho de propiedad de las comunidades indígenas sobre su territorio no se encuentra satisfecho.</w:t>
      </w:r>
    </w:p>
    <w:p w14:paraId="3FF12C83" w14:textId="77777777" w:rsidR="009805F2" w:rsidRPr="00EB1010" w:rsidRDefault="009805F2" w:rsidP="009805F2">
      <w:pPr>
        <w:pStyle w:val="Prrafodelista"/>
        <w:spacing w:line="240" w:lineRule="auto"/>
        <w:rPr>
          <w:rFonts w:ascii="Verdana" w:hAnsi="Verdana"/>
          <w:sz w:val="20"/>
          <w:szCs w:val="20"/>
        </w:rPr>
      </w:pPr>
    </w:p>
    <w:p w14:paraId="22456B98" w14:textId="3C60E23B" w:rsidR="009805F2"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Pr>
          <w:rFonts w:ascii="Verdana" w:hAnsi="Verdana"/>
          <w:sz w:val="20"/>
          <w:szCs w:val="20"/>
        </w:rPr>
        <w:t>Al respecto</w:t>
      </w:r>
      <w:r w:rsidRPr="00EB1010">
        <w:rPr>
          <w:rFonts w:ascii="Verdana" w:hAnsi="Verdana"/>
          <w:sz w:val="20"/>
          <w:szCs w:val="20"/>
        </w:rPr>
        <w:t>, sin perjuicio de algunas diferencias en los datos presentados por los representantes y el Estado, lo cierto es que de acuerdo a información de ambas partes, los procedimientos que Argentina indicó necesarios para la “entrega” del “título único” no han concluido, estando pendiente todavía una proporción significativa de actos por concretar</w:t>
      </w:r>
      <w:r>
        <w:rPr>
          <w:rStyle w:val="Refdenotaalpie"/>
        </w:rPr>
        <w:footnoteReference w:id="144"/>
      </w:r>
      <w:r w:rsidRPr="00EB1010">
        <w:rPr>
          <w:rFonts w:ascii="Verdana" w:hAnsi="Verdana"/>
          <w:sz w:val="20"/>
          <w:szCs w:val="20"/>
        </w:rPr>
        <w:t>. Los representantes han indicado que falta la concreción de</w:t>
      </w:r>
      <w:r>
        <w:rPr>
          <w:rFonts w:ascii="Verdana" w:hAnsi="Verdana"/>
          <w:sz w:val="20"/>
          <w:szCs w:val="20"/>
        </w:rPr>
        <w:t xml:space="preserve"> más de</w:t>
      </w:r>
      <w:r w:rsidRPr="00EB1010">
        <w:rPr>
          <w:rFonts w:ascii="Verdana" w:hAnsi="Verdana"/>
          <w:sz w:val="20"/>
          <w:szCs w:val="20"/>
        </w:rPr>
        <w:t xml:space="preserve"> un 99% de los traslados</w:t>
      </w:r>
      <w:r w:rsidR="00334817">
        <w:rPr>
          <w:rFonts w:ascii="Verdana" w:hAnsi="Verdana"/>
          <w:sz w:val="20"/>
          <w:szCs w:val="20"/>
        </w:rPr>
        <w:t xml:space="preserve"> (</w:t>
      </w:r>
      <w:r w:rsidR="00334817">
        <w:rPr>
          <w:rFonts w:ascii="Verdana" w:hAnsi="Verdana"/>
          <w:i/>
          <w:sz w:val="20"/>
          <w:szCs w:val="20"/>
        </w:rPr>
        <w:t xml:space="preserve">supra </w:t>
      </w:r>
      <w:r w:rsidR="00334817">
        <w:rPr>
          <w:rFonts w:ascii="Verdana" w:hAnsi="Verdana"/>
          <w:sz w:val="20"/>
          <w:szCs w:val="20"/>
        </w:rPr>
        <w:t>párr. 108)</w:t>
      </w:r>
      <w:r w:rsidRPr="00EB1010">
        <w:rPr>
          <w:rFonts w:ascii="Verdana" w:hAnsi="Verdana"/>
          <w:sz w:val="20"/>
          <w:szCs w:val="20"/>
        </w:rPr>
        <w:t>, y el Estado, en 2017, afirmó que necesitaría 8 años más para completar el proceso</w:t>
      </w:r>
      <w:r>
        <w:rPr>
          <w:rFonts w:ascii="Verdana" w:hAnsi="Verdana"/>
          <w:sz w:val="20"/>
          <w:szCs w:val="20"/>
        </w:rPr>
        <w:t xml:space="preserve"> (</w:t>
      </w:r>
      <w:r>
        <w:rPr>
          <w:rFonts w:ascii="Verdana" w:hAnsi="Verdana"/>
          <w:i/>
          <w:sz w:val="20"/>
          <w:szCs w:val="20"/>
        </w:rPr>
        <w:t>supra</w:t>
      </w:r>
      <w:r w:rsidR="00334817">
        <w:rPr>
          <w:rFonts w:ascii="Verdana" w:hAnsi="Verdana"/>
          <w:sz w:val="20"/>
          <w:szCs w:val="20"/>
        </w:rPr>
        <w:t xml:space="preserve"> párrs. 85</w:t>
      </w:r>
      <w:r>
        <w:rPr>
          <w:rFonts w:ascii="Verdana" w:hAnsi="Verdana"/>
          <w:sz w:val="20"/>
          <w:szCs w:val="20"/>
        </w:rPr>
        <w:t xml:space="preserve"> e </w:t>
      </w:r>
      <w:r>
        <w:rPr>
          <w:rFonts w:ascii="Verdana" w:hAnsi="Verdana"/>
          <w:i/>
          <w:sz w:val="20"/>
          <w:szCs w:val="20"/>
        </w:rPr>
        <w:t>infra</w:t>
      </w:r>
      <w:r>
        <w:rPr>
          <w:rFonts w:ascii="Verdana" w:hAnsi="Verdana"/>
          <w:sz w:val="20"/>
          <w:szCs w:val="20"/>
        </w:rPr>
        <w:t xml:space="preserve"> párr</w:t>
      </w:r>
      <w:r w:rsidR="00334817">
        <w:rPr>
          <w:rFonts w:ascii="Verdana" w:hAnsi="Verdana"/>
          <w:sz w:val="20"/>
          <w:szCs w:val="20"/>
        </w:rPr>
        <w:t>s</w:t>
      </w:r>
      <w:r>
        <w:rPr>
          <w:rFonts w:ascii="Verdana" w:hAnsi="Verdana"/>
          <w:sz w:val="20"/>
          <w:szCs w:val="20"/>
        </w:rPr>
        <w:t>. 315</w:t>
      </w:r>
      <w:r w:rsidR="00334817">
        <w:rPr>
          <w:rFonts w:ascii="Verdana" w:hAnsi="Verdana"/>
          <w:sz w:val="20"/>
          <w:szCs w:val="20"/>
        </w:rPr>
        <w:t xml:space="preserve"> y 323</w:t>
      </w:r>
      <w:r>
        <w:rPr>
          <w:rFonts w:ascii="Verdana" w:hAnsi="Verdana"/>
          <w:sz w:val="20"/>
          <w:szCs w:val="20"/>
        </w:rPr>
        <w:t>)</w:t>
      </w:r>
      <w:r w:rsidRPr="00EB1010">
        <w:rPr>
          <w:rFonts w:ascii="Verdana" w:hAnsi="Verdana"/>
          <w:sz w:val="20"/>
          <w:szCs w:val="20"/>
        </w:rPr>
        <w:t>. A su vez, el propio Estado indicó que hay tareas de demarcación pendientes (</w:t>
      </w:r>
      <w:r w:rsidRPr="00EB1010">
        <w:rPr>
          <w:rFonts w:ascii="Verdana" w:hAnsi="Verdana"/>
          <w:i/>
          <w:sz w:val="20"/>
          <w:szCs w:val="20"/>
        </w:rPr>
        <w:t xml:space="preserve">supra </w:t>
      </w:r>
      <w:r w:rsidRPr="00EB1010">
        <w:rPr>
          <w:rFonts w:ascii="Verdana" w:hAnsi="Verdana"/>
          <w:sz w:val="20"/>
          <w:szCs w:val="20"/>
        </w:rPr>
        <w:t xml:space="preserve">párr. </w:t>
      </w:r>
      <w:r>
        <w:rPr>
          <w:rFonts w:ascii="Verdana" w:hAnsi="Verdana"/>
          <w:sz w:val="20"/>
          <w:szCs w:val="20"/>
        </w:rPr>
        <w:t>111</w:t>
      </w:r>
      <w:r w:rsidRPr="00EB1010">
        <w:rPr>
          <w:rFonts w:ascii="Verdana" w:hAnsi="Verdana"/>
          <w:sz w:val="20"/>
          <w:szCs w:val="20"/>
        </w:rPr>
        <w:t xml:space="preserve">). </w:t>
      </w:r>
    </w:p>
    <w:p w14:paraId="5C3D5D11" w14:textId="77777777" w:rsidR="009805F2" w:rsidRDefault="009805F2" w:rsidP="009805F2">
      <w:pPr>
        <w:pStyle w:val="Prrafodelista"/>
        <w:spacing w:line="240" w:lineRule="auto"/>
        <w:rPr>
          <w:rFonts w:ascii="Verdana" w:hAnsi="Verdana" w:cs="Tahoma"/>
          <w:sz w:val="20"/>
          <w:szCs w:val="20"/>
        </w:rPr>
      </w:pPr>
    </w:p>
    <w:p w14:paraId="39282D84" w14:textId="77777777" w:rsidR="009805F2" w:rsidRDefault="009805F2" w:rsidP="009805F2">
      <w:pPr>
        <w:pStyle w:val="Prrafodelista"/>
        <w:spacing w:line="240" w:lineRule="auto"/>
        <w:ind w:left="851"/>
        <w:outlineLvl w:val="3"/>
        <w:rPr>
          <w:rFonts w:ascii="Verdana" w:hAnsi="Verdana" w:cs="Tahoma"/>
          <w:i/>
          <w:sz w:val="20"/>
          <w:szCs w:val="20"/>
        </w:rPr>
      </w:pPr>
      <w:bookmarkStart w:id="163" w:name="_Toc32227125"/>
      <w:bookmarkStart w:id="164" w:name="_Toc34337554"/>
      <w:r w:rsidRPr="00CE44DD">
        <w:rPr>
          <w:rFonts w:ascii="Verdana" w:hAnsi="Verdana" w:cs="Tahoma"/>
          <w:i/>
          <w:sz w:val="20"/>
          <w:szCs w:val="20"/>
        </w:rPr>
        <w:t>B.2.</w:t>
      </w:r>
      <w:r>
        <w:rPr>
          <w:rFonts w:ascii="Verdana" w:hAnsi="Verdana" w:cs="Tahoma"/>
          <w:i/>
          <w:sz w:val="20"/>
          <w:szCs w:val="20"/>
        </w:rPr>
        <w:t>3</w:t>
      </w:r>
      <w:r w:rsidRPr="00CE44DD">
        <w:rPr>
          <w:rFonts w:ascii="Verdana" w:hAnsi="Verdana" w:cs="Tahoma"/>
          <w:i/>
          <w:sz w:val="20"/>
          <w:szCs w:val="20"/>
        </w:rPr>
        <w:t xml:space="preserve"> </w:t>
      </w:r>
      <w:r w:rsidRPr="004E5289">
        <w:rPr>
          <w:rFonts w:ascii="Verdana" w:hAnsi="Verdana" w:cs="Tahoma"/>
          <w:i/>
          <w:sz w:val="20"/>
          <w:szCs w:val="20"/>
          <w:u w:val="single"/>
        </w:rPr>
        <w:t>Evaluación de la conducta estatal seguida</w:t>
      </w:r>
      <w:bookmarkEnd w:id="163"/>
      <w:bookmarkEnd w:id="164"/>
      <w:r>
        <w:rPr>
          <w:rFonts w:ascii="Verdana" w:hAnsi="Verdana" w:cs="Tahoma"/>
          <w:i/>
          <w:sz w:val="20"/>
          <w:szCs w:val="20"/>
        </w:rPr>
        <w:t xml:space="preserve"> </w:t>
      </w:r>
    </w:p>
    <w:p w14:paraId="556700B6" w14:textId="77777777" w:rsidR="009805F2" w:rsidRPr="00EB1010" w:rsidRDefault="009805F2" w:rsidP="009805F2">
      <w:pPr>
        <w:pStyle w:val="Prrafodelista"/>
        <w:spacing w:line="240" w:lineRule="auto"/>
        <w:rPr>
          <w:rFonts w:ascii="Verdana" w:hAnsi="Verdana" w:cs="Tahoma"/>
          <w:sz w:val="20"/>
          <w:szCs w:val="20"/>
        </w:rPr>
      </w:pPr>
    </w:p>
    <w:p w14:paraId="6B932533" w14:textId="77777777" w:rsidR="009805F2" w:rsidRPr="00EB1010"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EB1010">
        <w:rPr>
          <w:rFonts w:ascii="Verdana" w:hAnsi="Verdana" w:cs="Tahoma"/>
          <w:sz w:val="20"/>
          <w:szCs w:val="20"/>
        </w:rPr>
        <w:t>De acuerdo a lo expresado e</w:t>
      </w:r>
      <w:r w:rsidRPr="00EB1010">
        <w:rPr>
          <w:rFonts w:ascii="Verdana" w:hAnsi="Verdana"/>
          <w:sz w:val="20"/>
          <w:szCs w:val="20"/>
        </w:rPr>
        <w:t xml:space="preserve">s claro que los procedimientos instaurados no han </w:t>
      </w:r>
      <w:r>
        <w:rPr>
          <w:rFonts w:ascii="Verdana" w:hAnsi="Verdana"/>
          <w:sz w:val="20"/>
          <w:szCs w:val="20"/>
        </w:rPr>
        <w:t xml:space="preserve">resultado medidas suficientes, en tanto que no han </w:t>
      </w:r>
      <w:r w:rsidRPr="00EB1010">
        <w:rPr>
          <w:rFonts w:ascii="Verdana" w:hAnsi="Verdana"/>
          <w:sz w:val="20"/>
          <w:szCs w:val="20"/>
        </w:rPr>
        <w:t>logrado</w:t>
      </w:r>
      <w:r>
        <w:rPr>
          <w:rFonts w:ascii="Verdana" w:hAnsi="Verdana"/>
          <w:sz w:val="20"/>
          <w:szCs w:val="20"/>
        </w:rPr>
        <w:t>, después de más de 28 años de que fuera reclamado el reconocimiento de la propiedad,</w:t>
      </w:r>
      <w:r w:rsidRPr="00EB1010">
        <w:rPr>
          <w:rFonts w:ascii="Verdana" w:hAnsi="Verdana"/>
          <w:sz w:val="20"/>
          <w:szCs w:val="20"/>
        </w:rPr>
        <w:t xml:space="preserve"> la plena garantía de</w:t>
      </w:r>
      <w:r>
        <w:rPr>
          <w:rFonts w:ascii="Verdana" w:hAnsi="Verdana"/>
          <w:sz w:val="20"/>
          <w:szCs w:val="20"/>
        </w:rPr>
        <w:t xml:space="preserve"> ese</w:t>
      </w:r>
      <w:r w:rsidRPr="00EB1010">
        <w:rPr>
          <w:rFonts w:ascii="Verdana" w:hAnsi="Verdana"/>
          <w:sz w:val="20"/>
          <w:szCs w:val="20"/>
        </w:rPr>
        <w:t xml:space="preserve"> derecho de las comunidades indígenas habitantes de los lotes 14 y 55 sobre su territorio. </w:t>
      </w:r>
    </w:p>
    <w:p w14:paraId="070702A0" w14:textId="77777777" w:rsidR="009805F2" w:rsidRDefault="009805F2" w:rsidP="009805F2">
      <w:pPr>
        <w:pStyle w:val="Prrafodelista"/>
        <w:spacing w:after="0" w:line="240" w:lineRule="auto"/>
        <w:ind w:left="0" w:right="6"/>
        <w:jc w:val="both"/>
        <w:rPr>
          <w:rFonts w:ascii="Verdana" w:eastAsia="Batang" w:hAnsi="Verdana" w:cs="Times"/>
          <w:sz w:val="20"/>
          <w:szCs w:val="20"/>
          <w:lang w:val="es-CR" w:eastAsia="es-CR"/>
        </w:rPr>
      </w:pPr>
    </w:p>
    <w:p w14:paraId="32FC7996" w14:textId="77777777" w:rsidR="009805F2"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EB1010">
        <w:rPr>
          <w:rFonts w:ascii="Verdana" w:hAnsi="Verdana" w:cs="Tahoma"/>
          <w:sz w:val="20"/>
          <w:szCs w:val="20"/>
        </w:rPr>
        <w:t>Ahora bien, a fin de dimensionar adecuadamente las características de la falta de garantía del derecho de propiedad, debe hacerse notar algunas particularidades en cuanto a su relación con el derecho a la personalidad jurídica y con normas</w:t>
      </w:r>
      <w:r>
        <w:rPr>
          <w:rFonts w:ascii="Verdana" w:hAnsi="Verdana" w:cs="Tahoma"/>
          <w:sz w:val="20"/>
          <w:szCs w:val="20"/>
        </w:rPr>
        <w:t xml:space="preserve"> generales</w:t>
      </w:r>
      <w:r w:rsidRPr="00EB1010">
        <w:rPr>
          <w:rFonts w:ascii="Verdana" w:hAnsi="Verdana" w:cs="Tahoma"/>
          <w:sz w:val="20"/>
          <w:szCs w:val="20"/>
        </w:rPr>
        <w:t xml:space="preserve"> de derecho interno. </w:t>
      </w:r>
    </w:p>
    <w:p w14:paraId="1AD13195" w14:textId="77777777" w:rsidR="009805F2" w:rsidRDefault="009805F2" w:rsidP="009805F2">
      <w:pPr>
        <w:pStyle w:val="Prrafodelista"/>
        <w:spacing w:line="240" w:lineRule="auto"/>
        <w:rPr>
          <w:rFonts w:ascii="Verdana" w:hAnsi="Verdana" w:cs="Tahoma"/>
          <w:sz w:val="20"/>
          <w:szCs w:val="20"/>
        </w:rPr>
      </w:pPr>
    </w:p>
    <w:p w14:paraId="6667DC8C" w14:textId="77777777" w:rsidR="009805F2" w:rsidRPr="00711588" w:rsidRDefault="009805F2" w:rsidP="009805F2">
      <w:pPr>
        <w:pStyle w:val="Prrafodelista"/>
        <w:autoSpaceDE w:val="0"/>
        <w:autoSpaceDN w:val="0"/>
        <w:adjustRightInd w:val="0"/>
        <w:spacing w:after="0" w:line="240" w:lineRule="auto"/>
        <w:ind w:left="1134"/>
        <w:jc w:val="both"/>
        <w:outlineLvl w:val="4"/>
        <w:rPr>
          <w:rFonts w:ascii="Verdana" w:hAnsi="Verdana" w:cs="Tahoma"/>
          <w:i/>
          <w:sz w:val="20"/>
          <w:szCs w:val="20"/>
        </w:rPr>
      </w:pPr>
      <w:bookmarkStart w:id="165" w:name="_Toc32218852"/>
      <w:bookmarkStart w:id="166" w:name="_Toc32227126"/>
      <w:bookmarkStart w:id="167" w:name="_Toc34337555"/>
      <w:r w:rsidRPr="00711588">
        <w:rPr>
          <w:rFonts w:ascii="Verdana" w:hAnsi="Verdana" w:cs="Tahoma"/>
          <w:i/>
          <w:sz w:val="20"/>
          <w:szCs w:val="20"/>
        </w:rPr>
        <w:t>B.2.</w:t>
      </w:r>
      <w:r>
        <w:rPr>
          <w:rFonts w:ascii="Verdana" w:hAnsi="Verdana" w:cs="Tahoma"/>
          <w:i/>
          <w:sz w:val="20"/>
          <w:szCs w:val="20"/>
        </w:rPr>
        <w:t>3.</w:t>
      </w:r>
      <w:r w:rsidRPr="00711588">
        <w:rPr>
          <w:rFonts w:ascii="Verdana" w:hAnsi="Verdana" w:cs="Tahoma"/>
          <w:i/>
          <w:sz w:val="20"/>
          <w:szCs w:val="20"/>
        </w:rPr>
        <w:t>1 A</w:t>
      </w:r>
      <w:r>
        <w:rPr>
          <w:rFonts w:ascii="Verdana" w:hAnsi="Verdana" w:cs="Tahoma"/>
          <w:i/>
          <w:sz w:val="20"/>
          <w:szCs w:val="20"/>
        </w:rPr>
        <w:t>ducida a</w:t>
      </w:r>
      <w:r w:rsidRPr="00711588">
        <w:rPr>
          <w:rFonts w:ascii="Verdana" w:hAnsi="Verdana" w:cs="Tahoma"/>
          <w:i/>
          <w:sz w:val="20"/>
          <w:szCs w:val="20"/>
        </w:rPr>
        <w:t>fectación a la personalidad jurídica en el caso</w:t>
      </w:r>
      <w:bookmarkEnd w:id="165"/>
      <w:bookmarkEnd w:id="166"/>
      <w:bookmarkEnd w:id="167"/>
    </w:p>
    <w:p w14:paraId="3984C246" w14:textId="77777777" w:rsidR="009805F2" w:rsidRPr="00EB1010" w:rsidRDefault="009805F2" w:rsidP="009805F2">
      <w:pPr>
        <w:pStyle w:val="Prrafodelista"/>
        <w:spacing w:line="240" w:lineRule="auto"/>
        <w:rPr>
          <w:rFonts w:ascii="Verdana" w:hAnsi="Verdana" w:cs="Tahoma"/>
          <w:sz w:val="20"/>
          <w:szCs w:val="20"/>
        </w:rPr>
      </w:pPr>
    </w:p>
    <w:p w14:paraId="351DC1FC" w14:textId="77777777" w:rsidR="009805F2" w:rsidRPr="00EB1010"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EB1010">
        <w:rPr>
          <w:rFonts w:ascii="Verdana" w:hAnsi="Verdana" w:cs="Tahoma"/>
          <w:sz w:val="20"/>
          <w:szCs w:val="20"/>
        </w:rPr>
        <w:t xml:space="preserve">Debe destacarse que la garantía adecuada de la propiedad comunitaria no implica solo su reconocimiento nominal, sino que comporta la observancia y respeto de la autonomía y autodeterminación de las comunidades indígenas sobre sus tierras. </w:t>
      </w:r>
    </w:p>
    <w:p w14:paraId="51A7B01F" w14:textId="77777777" w:rsidR="009805F2" w:rsidRDefault="009805F2" w:rsidP="009805F2">
      <w:pPr>
        <w:pStyle w:val="Prrafodelista"/>
        <w:spacing w:after="0" w:line="240" w:lineRule="auto"/>
        <w:ind w:left="0" w:right="6"/>
        <w:jc w:val="both"/>
        <w:rPr>
          <w:rFonts w:ascii="Verdana" w:eastAsia="Batang" w:hAnsi="Verdana" w:cs="Times"/>
          <w:sz w:val="20"/>
          <w:szCs w:val="20"/>
          <w:lang w:val="es-CR" w:eastAsia="es-CR"/>
        </w:rPr>
      </w:pPr>
    </w:p>
    <w:p w14:paraId="291C6B5B" w14:textId="3494EBD9" w:rsidR="009805F2" w:rsidRPr="00EB1010" w:rsidRDefault="0006409D"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Pr>
          <w:rFonts w:ascii="Verdana" w:hAnsi="Verdana" w:cs="Tahoma"/>
          <w:sz w:val="20"/>
          <w:szCs w:val="20"/>
          <w:lang w:val="es-CR"/>
        </w:rPr>
        <w:t>S</w:t>
      </w:r>
      <w:r w:rsidR="009805F2" w:rsidRPr="00EB1010">
        <w:rPr>
          <w:rFonts w:ascii="Verdana" w:hAnsi="Verdana" w:cs="Tahoma"/>
          <w:sz w:val="20"/>
          <w:szCs w:val="20"/>
        </w:rPr>
        <w:t>obre lo anterior, es preciso recordar que “</w:t>
      </w:r>
      <w:r w:rsidR="009805F2" w:rsidRPr="00EB1010">
        <w:rPr>
          <w:rFonts w:ascii="Verdana" w:hAnsi="Verdana"/>
          <w:sz w:val="20"/>
          <w:szCs w:val="20"/>
        </w:rPr>
        <w:t>la normativa internacional relativa a pueblos y comunidades indígenas o tribales reconoce derechos a los pueblos como sujetos colectivos del Derecho Internacional y no únicamente a sus miembros</w:t>
      </w:r>
      <w:r w:rsidR="00334817">
        <w:rPr>
          <w:rFonts w:ascii="Verdana" w:hAnsi="Verdana"/>
          <w:sz w:val="20"/>
          <w:szCs w:val="20"/>
        </w:rPr>
        <w:t>[;</w:t>
      </w:r>
      <w:r w:rsidR="009805F2">
        <w:rPr>
          <w:rFonts w:ascii="Verdana" w:hAnsi="Verdana"/>
          <w:sz w:val="20"/>
          <w:szCs w:val="20"/>
        </w:rPr>
        <w:t xml:space="preserve"> …]</w:t>
      </w:r>
      <w:r w:rsidR="009805F2" w:rsidRPr="00EB1010">
        <w:rPr>
          <w:rFonts w:ascii="Verdana" w:hAnsi="Verdana"/>
          <w:sz w:val="20"/>
          <w:szCs w:val="20"/>
        </w:rPr>
        <w:t xml:space="preserve"> los pueblos y comunidades indígenas o tribales, cohesionados por sus particulares formas de vida e identidad, ejercen algunos derechos reconocidos por la Convención desde una dimensión colectiva”, entre ellos, el derecho de propiedad de la tierra</w:t>
      </w:r>
      <w:r w:rsidR="009805F2" w:rsidRPr="00190177">
        <w:rPr>
          <w:rStyle w:val="Refdenotaalpie"/>
          <w:rFonts w:ascii="Verdana" w:hAnsi="Verdana"/>
          <w:sz w:val="20"/>
        </w:rPr>
        <w:footnoteReference w:id="145"/>
      </w:r>
      <w:r w:rsidR="009805F2" w:rsidRPr="00EB1010">
        <w:rPr>
          <w:rFonts w:ascii="Verdana" w:hAnsi="Verdana"/>
          <w:sz w:val="20"/>
          <w:szCs w:val="20"/>
        </w:rPr>
        <w:t xml:space="preserve">. </w:t>
      </w:r>
      <w:r w:rsidR="009805F2" w:rsidRPr="00EB1010">
        <w:rPr>
          <w:rFonts w:ascii="Verdana" w:hAnsi="Verdana"/>
          <w:sz w:val="20"/>
          <w:szCs w:val="20"/>
          <w:lang w:val="es-CR"/>
        </w:rPr>
        <w:t>Al respecto, la Corte ha señalado el derecho a la autodeterminación de los pueblos indígenas respecto a la “disposición libre […] de sus riquezas y recursos naturales”</w:t>
      </w:r>
      <w:r w:rsidR="009805F2" w:rsidRPr="00334817">
        <w:rPr>
          <w:rFonts w:ascii="Verdana" w:hAnsi="Verdana"/>
          <w:sz w:val="20"/>
          <w:szCs w:val="20"/>
          <w:lang w:val="es-CR"/>
        </w:rPr>
        <w:t xml:space="preserve">, </w:t>
      </w:r>
      <w:r w:rsidR="00DB6CFE" w:rsidRPr="00334817">
        <w:rPr>
          <w:rFonts w:ascii="Verdana" w:hAnsi="Verdana"/>
          <w:sz w:val="20"/>
          <w:szCs w:val="20"/>
          <w:lang w:val="es-CR"/>
        </w:rPr>
        <w:t>la que es</w:t>
      </w:r>
      <w:r w:rsidR="00DB6CFE">
        <w:rPr>
          <w:rFonts w:ascii="Verdana" w:hAnsi="Verdana"/>
          <w:sz w:val="20"/>
          <w:szCs w:val="20"/>
          <w:lang w:val="es-CR"/>
        </w:rPr>
        <w:t xml:space="preserve"> </w:t>
      </w:r>
      <w:r w:rsidR="009805F2">
        <w:rPr>
          <w:rFonts w:ascii="Verdana" w:hAnsi="Verdana"/>
          <w:sz w:val="20"/>
          <w:szCs w:val="20"/>
          <w:lang w:val="es-CR"/>
        </w:rPr>
        <w:t>necesaria</w:t>
      </w:r>
      <w:r w:rsidR="009805F2" w:rsidRPr="00EB1010">
        <w:rPr>
          <w:rFonts w:ascii="Verdana" w:hAnsi="Verdana"/>
          <w:sz w:val="20"/>
          <w:szCs w:val="20"/>
          <w:lang w:val="es-CR"/>
        </w:rPr>
        <w:t xml:space="preserve"> para no verse privados de “sus propios medios de subsistencia”</w:t>
      </w:r>
      <w:r w:rsidR="009805F2">
        <w:rPr>
          <w:rStyle w:val="Refdenotaalpie"/>
          <w:rFonts w:ascii="Verdana" w:hAnsi="Verdana"/>
          <w:sz w:val="20"/>
          <w:lang w:val="es-CR"/>
        </w:rPr>
        <w:footnoteReference w:id="146"/>
      </w:r>
      <w:r w:rsidR="009805F2" w:rsidRPr="00EB1010">
        <w:rPr>
          <w:rFonts w:ascii="Verdana" w:hAnsi="Verdana"/>
          <w:sz w:val="20"/>
          <w:szCs w:val="20"/>
          <w:lang w:val="es-CR"/>
        </w:rPr>
        <w:t xml:space="preserve">. Se ha indicado ya que el derecho de propiedad comunitaria debe ser observado </w:t>
      </w:r>
      <w:r w:rsidR="009805F2">
        <w:rPr>
          <w:rFonts w:ascii="Verdana" w:hAnsi="Verdana"/>
          <w:sz w:val="20"/>
          <w:szCs w:val="20"/>
          <w:lang w:val="es-CR"/>
        </w:rPr>
        <w:t xml:space="preserve">de </w:t>
      </w:r>
      <w:r w:rsidR="009805F2" w:rsidRPr="00EB1010">
        <w:rPr>
          <w:rFonts w:ascii="Verdana" w:hAnsi="Verdana"/>
          <w:sz w:val="20"/>
          <w:szCs w:val="20"/>
          <w:lang w:val="es-CR"/>
        </w:rPr>
        <w:t>modo de garantizar el control por parte de los pueblos indígenas de los recursos naturales del territorio, así como su estilo de vida (</w:t>
      </w:r>
      <w:r w:rsidR="009805F2" w:rsidRPr="00EB1010">
        <w:rPr>
          <w:rFonts w:ascii="Verdana" w:hAnsi="Verdana"/>
          <w:i/>
          <w:sz w:val="20"/>
          <w:szCs w:val="20"/>
          <w:lang w:val="es-CR"/>
        </w:rPr>
        <w:t xml:space="preserve">supra </w:t>
      </w:r>
      <w:r w:rsidR="009805F2" w:rsidRPr="00EB1010">
        <w:rPr>
          <w:rFonts w:ascii="Verdana" w:hAnsi="Verdana"/>
          <w:sz w:val="20"/>
          <w:szCs w:val="20"/>
          <w:lang w:val="es-CR"/>
        </w:rPr>
        <w:t xml:space="preserve">párr. </w:t>
      </w:r>
      <w:r w:rsidR="009805F2">
        <w:rPr>
          <w:rFonts w:ascii="Verdana" w:hAnsi="Verdana"/>
          <w:sz w:val="20"/>
          <w:szCs w:val="20"/>
          <w:lang w:val="es-CR"/>
        </w:rPr>
        <w:t>94</w:t>
      </w:r>
      <w:r w:rsidR="009805F2" w:rsidRPr="00EB1010">
        <w:rPr>
          <w:rFonts w:ascii="Verdana" w:hAnsi="Verdana"/>
          <w:sz w:val="20"/>
          <w:szCs w:val="20"/>
          <w:lang w:val="es-CR"/>
        </w:rPr>
        <w:t xml:space="preserve">). </w:t>
      </w:r>
      <w:r w:rsidR="009805F2" w:rsidRPr="00EB1010">
        <w:rPr>
          <w:rFonts w:ascii="Verdana" w:hAnsi="Verdana"/>
          <w:sz w:val="20"/>
          <w:szCs w:val="20"/>
        </w:rPr>
        <w:t>En ese sentido, tanto el Convenio 169, como la Declaración de las Naciones Unidas sobre Derechos de los Pueblos Indígenas</w:t>
      </w:r>
      <w:r w:rsidR="009805F2">
        <w:rPr>
          <w:rFonts w:ascii="Verdana" w:hAnsi="Verdana"/>
          <w:sz w:val="20"/>
          <w:szCs w:val="20"/>
        </w:rPr>
        <w:t>,</w:t>
      </w:r>
      <w:r w:rsidR="009805F2" w:rsidRPr="00EB1010">
        <w:rPr>
          <w:rFonts w:ascii="Verdana" w:hAnsi="Verdana"/>
          <w:sz w:val="20"/>
          <w:szCs w:val="20"/>
        </w:rPr>
        <w:t xml:space="preserve"> reconocen titularidad de derechos humanos a pueblos indígenas. La Declaración Americana sobre Derechos de los Pueblos Indígenas, en sus artículos VI y IX, respectivamente, preceptúa el deber estatal de reconocer “el derecho de los pueblos indígenas a su actuar colectivo”, y “la personalidad jurídica de los pueblos indígenas, respetando las formas de organización indígenas y promoviendo el ejercicio pleno de los derechos reconocidos en esta Declaración”. </w:t>
      </w:r>
    </w:p>
    <w:p w14:paraId="424F5095" w14:textId="77777777" w:rsidR="009805F2" w:rsidRDefault="009805F2" w:rsidP="009805F2">
      <w:pPr>
        <w:pStyle w:val="Prrafodelista"/>
        <w:spacing w:after="0" w:line="240" w:lineRule="auto"/>
        <w:ind w:left="0" w:right="6"/>
        <w:jc w:val="both"/>
        <w:rPr>
          <w:rFonts w:ascii="Verdana" w:eastAsia="Batang" w:hAnsi="Verdana" w:cs="Times"/>
          <w:sz w:val="20"/>
          <w:szCs w:val="20"/>
          <w:lang w:val="es-CR" w:eastAsia="es-CR"/>
        </w:rPr>
      </w:pPr>
    </w:p>
    <w:p w14:paraId="77D34BC0" w14:textId="77777777" w:rsidR="009805F2"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EB1010">
        <w:rPr>
          <w:rFonts w:ascii="Verdana" w:hAnsi="Verdana" w:cs="Tahoma"/>
          <w:sz w:val="20"/>
          <w:szCs w:val="20"/>
        </w:rPr>
        <w:t>Lo dicho es relevante, pues la Corte ha expresado que “</w:t>
      </w:r>
      <w:r w:rsidRPr="00EB1010">
        <w:rPr>
          <w:rFonts w:ascii="Verdana" w:hAnsi="Verdana"/>
          <w:sz w:val="20"/>
          <w:szCs w:val="20"/>
        </w:rPr>
        <w:t>el derecho a que el Estado reconozca [la] personalidad jurídica es una de las medidas especiales que se debe proporcionar a los grupos indígenas y tribales a fin de garantizar que éstos puedan gozar de sus territorios según sus tradiciones”</w:t>
      </w:r>
      <w:r w:rsidRPr="004A5051">
        <w:rPr>
          <w:rStyle w:val="Refdenotaalpie"/>
          <w:rFonts w:ascii="Verdana" w:hAnsi="Verdana"/>
          <w:sz w:val="20"/>
        </w:rPr>
        <w:footnoteReference w:id="147"/>
      </w:r>
      <w:r w:rsidRPr="00EB1010">
        <w:rPr>
          <w:rFonts w:ascii="Verdana" w:hAnsi="Verdana"/>
          <w:sz w:val="20"/>
          <w:szCs w:val="20"/>
        </w:rPr>
        <w:t>. A tal efecto, la personalidad jurídica debe ser reconocida a</w:t>
      </w:r>
      <w:r>
        <w:rPr>
          <w:rFonts w:ascii="Verdana" w:hAnsi="Verdana"/>
          <w:sz w:val="20"/>
          <w:szCs w:val="20"/>
        </w:rPr>
        <w:t xml:space="preserve"> l</w:t>
      </w:r>
      <w:r w:rsidRPr="00EB1010">
        <w:rPr>
          <w:rFonts w:ascii="Verdana" w:hAnsi="Verdana"/>
          <w:sz w:val="20"/>
          <w:szCs w:val="20"/>
        </w:rPr>
        <w:t>as co</w:t>
      </w:r>
      <w:r>
        <w:rPr>
          <w:rFonts w:ascii="Verdana" w:hAnsi="Verdana"/>
          <w:sz w:val="20"/>
          <w:szCs w:val="20"/>
        </w:rPr>
        <w:t>munidades de modo que</w:t>
      </w:r>
      <w:r w:rsidRPr="00EB1010">
        <w:rPr>
          <w:rFonts w:ascii="Verdana" w:hAnsi="Verdana"/>
          <w:sz w:val="20"/>
          <w:szCs w:val="20"/>
        </w:rPr>
        <w:t xml:space="preserve"> posibilit</w:t>
      </w:r>
      <w:r>
        <w:rPr>
          <w:rFonts w:ascii="Verdana" w:hAnsi="Verdana"/>
          <w:sz w:val="20"/>
          <w:szCs w:val="20"/>
        </w:rPr>
        <w:t>e</w:t>
      </w:r>
      <w:r w:rsidRPr="00EB1010">
        <w:rPr>
          <w:rFonts w:ascii="Verdana" w:hAnsi="Verdana"/>
          <w:sz w:val="20"/>
          <w:szCs w:val="20"/>
        </w:rPr>
        <w:t xml:space="preserve"> la adopción de decisiones sobre la tierra conforme a sus tradiciones y modos de organización</w:t>
      </w:r>
      <w:r>
        <w:rPr>
          <w:rStyle w:val="Refdenotaalpie"/>
          <w:rFonts w:ascii="Verdana" w:hAnsi="Verdana"/>
          <w:sz w:val="20"/>
        </w:rPr>
        <w:footnoteReference w:id="148"/>
      </w:r>
      <w:r w:rsidRPr="00EB1010">
        <w:rPr>
          <w:rFonts w:ascii="Verdana" w:hAnsi="Verdana"/>
          <w:sz w:val="20"/>
          <w:szCs w:val="20"/>
        </w:rPr>
        <w:t xml:space="preserve">. </w:t>
      </w:r>
    </w:p>
    <w:p w14:paraId="000E0CF9" w14:textId="77777777" w:rsidR="009805F2" w:rsidRPr="00EB1010" w:rsidRDefault="009805F2" w:rsidP="009805F2">
      <w:pPr>
        <w:pStyle w:val="Prrafodelista"/>
        <w:spacing w:line="240" w:lineRule="auto"/>
        <w:rPr>
          <w:rFonts w:ascii="Verdana" w:hAnsi="Verdana"/>
          <w:sz w:val="20"/>
          <w:szCs w:val="20"/>
        </w:rPr>
      </w:pPr>
    </w:p>
    <w:p w14:paraId="361468A0" w14:textId="5D22C1B0" w:rsidR="009805F2" w:rsidRPr="00EB1010"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EB1010">
        <w:rPr>
          <w:rFonts w:ascii="Verdana" w:hAnsi="Verdana"/>
          <w:sz w:val="20"/>
          <w:szCs w:val="20"/>
        </w:rPr>
        <w:t>Ahora bien, el Decreto 1498/14 prevé acciones para el reconocimiento de la propiedad respecto de las comunidades indígenas que habitan los lotes 14 y 55. Cierto es que nombra 71 comunidades, pero dado el proceso de “fisión –fusión” que caracteriza a las mismas, debe entenderse que el mayor número de comunidades que ha surgido con posterioridad a la emisión del Decreto 1498/14 n</w:t>
      </w:r>
      <w:r>
        <w:rPr>
          <w:rFonts w:ascii="Verdana" w:hAnsi="Verdana"/>
          <w:sz w:val="20"/>
          <w:szCs w:val="20"/>
        </w:rPr>
        <w:t>o es sino una derivación de aqué</w:t>
      </w:r>
      <w:r w:rsidRPr="00EB1010">
        <w:rPr>
          <w:rFonts w:ascii="Verdana" w:hAnsi="Verdana"/>
          <w:sz w:val="20"/>
          <w:szCs w:val="20"/>
        </w:rPr>
        <w:t>llas 71. Por lo tanto, todas las comunidades indígenas habitantes de los lotes 14 y 55 que se han formado a partir de las 71 aludidas deben considerarse incluidas en el reconocimiento de propiedad efectuado por el Decreto 1498/14, en el entendido que ello abarca todas las comunidades señaladas como presuntas víctimas (</w:t>
      </w:r>
      <w:r w:rsidRPr="00EB1010">
        <w:rPr>
          <w:rFonts w:ascii="Verdana" w:hAnsi="Verdana"/>
          <w:i/>
          <w:sz w:val="20"/>
          <w:szCs w:val="20"/>
        </w:rPr>
        <w:t xml:space="preserve">supra </w:t>
      </w:r>
      <w:r w:rsidRPr="00EB1010">
        <w:rPr>
          <w:rFonts w:ascii="Verdana" w:hAnsi="Verdana"/>
          <w:sz w:val="20"/>
          <w:szCs w:val="20"/>
        </w:rPr>
        <w:t xml:space="preserve">párr. </w:t>
      </w:r>
      <w:r>
        <w:rPr>
          <w:rFonts w:ascii="Verdana" w:hAnsi="Verdana"/>
          <w:sz w:val="20"/>
          <w:szCs w:val="20"/>
        </w:rPr>
        <w:t>35</w:t>
      </w:r>
      <w:r w:rsidRPr="00EB1010">
        <w:rPr>
          <w:rFonts w:ascii="Verdana" w:hAnsi="Verdana"/>
          <w:sz w:val="20"/>
          <w:szCs w:val="20"/>
        </w:rPr>
        <w:t xml:space="preserve"> y Anexo </w:t>
      </w:r>
      <w:r>
        <w:rPr>
          <w:rFonts w:ascii="Verdana" w:hAnsi="Verdana"/>
          <w:sz w:val="20"/>
          <w:szCs w:val="20"/>
        </w:rPr>
        <w:t>V</w:t>
      </w:r>
      <w:r w:rsidRPr="00EB1010">
        <w:rPr>
          <w:rFonts w:ascii="Verdana" w:hAnsi="Verdana"/>
          <w:sz w:val="20"/>
          <w:szCs w:val="20"/>
        </w:rPr>
        <w:t xml:space="preserve">). La Corte advierte que un entendimiento distinto del Decreto 1498/14, que implicara desconocer la propiedad de comunidades bajo el pretexto de que no están explícitamente nombradas en dicho decreto, resultaría contrario a la Convención. El Estado debe abstenerse de actuaciones o interpretaciones de normas sesgadas o de excesivo rigor formal que tengan por efecto generar divisiones </w:t>
      </w:r>
      <w:r w:rsidR="00884D97">
        <w:rPr>
          <w:rFonts w:ascii="Verdana" w:hAnsi="Verdana"/>
          <w:sz w:val="20"/>
          <w:szCs w:val="20"/>
        </w:rPr>
        <w:t xml:space="preserve">artificiales </w:t>
      </w:r>
      <w:r w:rsidRPr="00EB1010">
        <w:rPr>
          <w:rFonts w:ascii="Verdana" w:hAnsi="Verdana"/>
          <w:sz w:val="20"/>
          <w:szCs w:val="20"/>
        </w:rPr>
        <w:t>en el conjunto de comunidades indígenas implicadas en el caso. Ahora bien, en el marco del entendimiento correspondiente del Decreto 1498/14, no es posible concluir que el Estado, en el modo en que ha reconocido la propiedad, impidiera el actuar colectivo de todas las comunidades titulares del derecho. En ese sentido, siendo que el Estado ha reconocido la propiedad a todas las comunidades indígenas, no se advierte una vulneración al derecho a</w:t>
      </w:r>
      <w:r w:rsidR="00884D97">
        <w:rPr>
          <w:rFonts w:ascii="Verdana" w:hAnsi="Verdana"/>
          <w:sz w:val="20"/>
          <w:szCs w:val="20"/>
        </w:rPr>
        <w:t>l reconocimiento de</w:t>
      </w:r>
      <w:r w:rsidRPr="00EB1010">
        <w:rPr>
          <w:rFonts w:ascii="Verdana" w:hAnsi="Verdana"/>
          <w:sz w:val="20"/>
          <w:szCs w:val="20"/>
        </w:rPr>
        <w:t xml:space="preserve"> la personalidad jurídica de las mismas. Cuestión distinta es si, más allá del reconocimiento formal, el derecho de propiedad se ha cumplido en cuanto a la concreción efectiva de los actos necesarios para </w:t>
      </w:r>
      <w:r>
        <w:rPr>
          <w:rFonts w:ascii="Verdana" w:hAnsi="Verdana"/>
          <w:sz w:val="20"/>
          <w:szCs w:val="20"/>
        </w:rPr>
        <w:t xml:space="preserve">la </w:t>
      </w:r>
      <w:r w:rsidRPr="00EB1010">
        <w:rPr>
          <w:rFonts w:ascii="Verdana" w:hAnsi="Verdana"/>
          <w:sz w:val="20"/>
          <w:szCs w:val="20"/>
        </w:rPr>
        <w:t>definición</w:t>
      </w:r>
      <w:r>
        <w:rPr>
          <w:rFonts w:ascii="Verdana" w:hAnsi="Verdana"/>
          <w:sz w:val="20"/>
          <w:szCs w:val="20"/>
        </w:rPr>
        <w:t>, seguridad jurídica</w:t>
      </w:r>
      <w:r w:rsidRPr="00EB1010">
        <w:rPr>
          <w:rFonts w:ascii="Verdana" w:hAnsi="Verdana"/>
          <w:sz w:val="20"/>
          <w:szCs w:val="20"/>
        </w:rPr>
        <w:t xml:space="preserve"> y libre disfrute de la propiedad. Ello también se examina en esta Sentencia, pero no resulta atinente a la cuestión de la personalidad jurídica. </w:t>
      </w:r>
      <w:r w:rsidRPr="00EB1010">
        <w:rPr>
          <w:rFonts w:ascii="Verdana" w:hAnsi="Verdana" w:cs="Tahoma"/>
          <w:sz w:val="20"/>
          <w:szCs w:val="20"/>
        </w:rPr>
        <w:t xml:space="preserve"> </w:t>
      </w:r>
    </w:p>
    <w:p w14:paraId="47FE967F" w14:textId="77777777" w:rsidR="009805F2" w:rsidRDefault="009805F2" w:rsidP="009805F2">
      <w:pPr>
        <w:pStyle w:val="Prrafodelista"/>
        <w:spacing w:after="0" w:line="240" w:lineRule="auto"/>
        <w:ind w:left="0" w:right="6"/>
        <w:jc w:val="both"/>
        <w:rPr>
          <w:rFonts w:ascii="Verdana" w:eastAsia="Batang" w:hAnsi="Verdana" w:cs="Times"/>
          <w:sz w:val="20"/>
          <w:szCs w:val="20"/>
          <w:lang w:val="es-CR" w:eastAsia="es-CR"/>
        </w:rPr>
      </w:pPr>
    </w:p>
    <w:p w14:paraId="0CE05B7C" w14:textId="2E611ED7" w:rsidR="009805F2" w:rsidRPr="00EB1010"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EB1010">
        <w:rPr>
          <w:rFonts w:ascii="Verdana" w:hAnsi="Verdana" w:cs="Tahoma"/>
          <w:sz w:val="20"/>
          <w:szCs w:val="20"/>
        </w:rPr>
        <w:t>Debe dejarse aclarado, por otra parte, que la conformación de Lhaka Honhat como asociación civil no fue una imposición estatal, sino que resultó un acto asociativo válido, determinado por las personas que decidieron realizarlo y reconocido por el Estado. Dicho reconocimiento estatal, que deriva de un acto voluntario y libre, no conlleva en sí una afectación a la personalidad jurídica, la que, como se ha indicado, tampoco se vio vulnerada de otro modo</w:t>
      </w:r>
      <w:r>
        <w:rPr>
          <w:rStyle w:val="Refdenotaalpie"/>
          <w:rFonts w:ascii="Verdana" w:hAnsi="Verdana"/>
          <w:sz w:val="20"/>
        </w:rPr>
        <w:footnoteReference w:id="149"/>
      </w:r>
      <w:r w:rsidRPr="00EB1010">
        <w:rPr>
          <w:rFonts w:ascii="Verdana" w:hAnsi="Verdana" w:cs="Tahoma"/>
          <w:sz w:val="20"/>
          <w:szCs w:val="20"/>
        </w:rPr>
        <w:t xml:space="preserve">. Asimismo, este Tribunal no encuentra motivos para determinar una violación a la libertad de asociación. </w:t>
      </w:r>
    </w:p>
    <w:p w14:paraId="16225341" w14:textId="77777777" w:rsidR="009805F2" w:rsidRDefault="009805F2" w:rsidP="009805F2">
      <w:pPr>
        <w:pStyle w:val="Prrafodelista"/>
        <w:spacing w:line="240" w:lineRule="auto"/>
        <w:rPr>
          <w:rFonts w:ascii="Verdana" w:hAnsi="Verdana" w:cs="Tahoma"/>
          <w:sz w:val="20"/>
          <w:szCs w:val="20"/>
        </w:rPr>
      </w:pPr>
    </w:p>
    <w:p w14:paraId="3DE0A8B9" w14:textId="77777777" w:rsidR="009805F2" w:rsidRDefault="009805F2" w:rsidP="009805F2">
      <w:pPr>
        <w:pStyle w:val="Prrafodelista"/>
        <w:spacing w:line="240" w:lineRule="auto"/>
        <w:ind w:left="1134"/>
        <w:outlineLvl w:val="4"/>
        <w:rPr>
          <w:rFonts w:ascii="Verdana" w:hAnsi="Verdana" w:cs="Tahoma"/>
          <w:sz w:val="20"/>
          <w:szCs w:val="20"/>
        </w:rPr>
      </w:pPr>
      <w:bookmarkStart w:id="168" w:name="_Toc32218853"/>
      <w:bookmarkStart w:id="169" w:name="_Toc32227127"/>
      <w:bookmarkStart w:id="170" w:name="_Toc34337556"/>
      <w:r w:rsidRPr="00711588">
        <w:rPr>
          <w:rFonts w:ascii="Verdana" w:hAnsi="Verdana" w:cs="Tahoma"/>
          <w:i/>
          <w:sz w:val="20"/>
          <w:szCs w:val="20"/>
        </w:rPr>
        <w:t>B.2.</w:t>
      </w:r>
      <w:r>
        <w:rPr>
          <w:rFonts w:ascii="Verdana" w:hAnsi="Verdana" w:cs="Tahoma"/>
          <w:i/>
          <w:sz w:val="20"/>
          <w:szCs w:val="20"/>
        </w:rPr>
        <w:t>3</w:t>
      </w:r>
      <w:r w:rsidRPr="00711588">
        <w:rPr>
          <w:rFonts w:ascii="Verdana" w:hAnsi="Verdana" w:cs="Tahoma"/>
          <w:i/>
          <w:sz w:val="20"/>
          <w:szCs w:val="20"/>
        </w:rPr>
        <w:t>.</w:t>
      </w:r>
      <w:r>
        <w:rPr>
          <w:rFonts w:ascii="Verdana" w:hAnsi="Verdana" w:cs="Tahoma"/>
          <w:i/>
          <w:sz w:val="20"/>
          <w:szCs w:val="20"/>
        </w:rPr>
        <w:t>2</w:t>
      </w:r>
      <w:r w:rsidRPr="00711588">
        <w:rPr>
          <w:rFonts w:ascii="Verdana" w:hAnsi="Verdana" w:cs="Tahoma"/>
          <w:i/>
          <w:sz w:val="20"/>
          <w:szCs w:val="20"/>
        </w:rPr>
        <w:t xml:space="preserve"> </w:t>
      </w:r>
      <w:r>
        <w:rPr>
          <w:rFonts w:ascii="Verdana" w:hAnsi="Verdana" w:cs="Tahoma"/>
          <w:i/>
          <w:sz w:val="20"/>
          <w:szCs w:val="20"/>
        </w:rPr>
        <w:t>Incidencia del derecho interno</w:t>
      </w:r>
      <w:bookmarkEnd w:id="168"/>
      <w:bookmarkEnd w:id="169"/>
      <w:bookmarkEnd w:id="170"/>
    </w:p>
    <w:p w14:paraId="6EB59F50" w14:textId="77777777" w:rsidR="009805F2" w:rsidRPr="00EB1010" w:rsidRDefault="009805F2" w:rsidP="009805F2">
      <w:pPr>
        <w:pStyle w:val="Prrafodelista"/>
        <w:spacing w:line="240" w:lineRule="auto"/>
        <w:rPr>
          <w:rFonts w:ascii="Verdana" w:hAnsi="Verdana" w:cs="Tahoma"/>
          <w:sz w:val="20"/>
          <w:szCs w:val="20"/>
        </w:rPr>
      </w:pPr>
    </w:p>
    <w:p w14:paraId="48ADC5A9" w14:textId="58D8B104" w:rsidR="009805F2" w:rsidRPr="00EB1010"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EB1010">
        <w:rPr>
          <w:rFonts w:ascii="Verdana" w:hAnsi="Verdana" w:cs="Tahoma"/>
          <w:sz w:val="20"/>
          <w:szCs w:val="20"/>
        </w:rPr>
        <w:t xml:space="preserve">Conforme lo que se ha indicado, el Estado no </w:t>
      </w:r>
      <w:r w:rsidRPr="00EB1010">
        <w:rPr>
          <w:rFonts w:ascii="Verdana" w:hAnsi="Verdana"/>
          <w:sz w:val="20"/>
          <w:szCs w:val="20"/>
        </w:rPr>
        <w:t xml:space="preserve">logró concretar el derecho de propiedad comunitaria y, en ese marco, no observó </w:t>
      </w:r>
      <w:r w:rsidR="0006409D">
        <w:rPr>
          <w:rFonts w:ascii="Verdana" w:hAnsi="Verdana"/>
          <w:sz w:val="20"/>
          <w:szCs w:val="20"/>
        </w:rPr>
        <w:t>el mandato de</w:t>
      </w:r>
      <w:r w:rsidRPr="00EB1010">
        <w:rPr>
          <w:rFonts w:ascii="Verdana" w:hAnsi="Verdana"/>
          <w:sz w:val="20"/>
          <w:szCs w:val="20"/>
        </w:rPr>
        <w:t xml:space="preserve"> sus propias normas internas, en particular, </w:t>
      </w:r>
      <w:r w:rsidR="0006409D">
        <w:rPr>
          <w:rFonts w:ascii="Verdana" w:hAnsi="Verdana"/>
          <w:sz w:val="20"/>
          <w:szCs w:val="20"/>
        </w:rPr>
        <w:t>de</w:t>
      </w:r>
      <w:r>
        <w:rPr>
          <w:rFonts w:ascii="Verdana" w:hAnsi="Verdana"/>
          <w:sz w:val="20"/>
          <w:szCs w:val="20"/>
        </w:rPr>
        <w:t xml:space="preserve"> </w:t>
      </w:r>
      <w:r w:rsidRPr="00EB1010">
        <w:rPr>
          <w:rFonts w:ascii="Verdana" w:hAnsi="Verdana"/>
          <w:sz w:val="20"/>
          <w:szCs w:val="20"/>
        </w:rPr>
        <w:t xml:space="preserve">los Decretos del Poder Ejecutivo de Salta </w:t>
      </w:r>
      <w:r w:rsidRPr="00EB1010">
        <w:rPr>
          <w:rFonts w:ascii="Verdana" w:hAnsi="Verdana"/>
          <w:color w:val="000000" w:themeColor="text1"/>
          <w:sz w:val="20"/>
          <w:szCs w:val="20"/>
          <w:lang w:val="es-ES"/>
        </w:rPr>
        <w:t xml:space="preserve">2609/91, </w:t>
      </w:r>
      <w:r w:rsidRPr="00EB1010">
        <w:rPr>
          <w:rFonts w:ascii="Verdana" w:hAnsi="Verdana"/>
          <w:sz w:val="20"/>
          <w:szCs w:val="20"/>
        </w:rPr>
        <w:t xml:space="preserve">2786/07 </w:t>
      </w:r>
      <w:r w:rsidRPr="00EB1010">
        <w:rPr>
          <w:rFonts w:ascii="Verdana" w:hAnsi="Verdana"/>
          <w:sz w:val="20"/>
          <w:szCs w:val="20"/>
        </w:rPr>
        <w:lastRenderedPageBreak/>
        <w:t>y 1498/14. Esta última norma mand</w:t>
      </w:r>
      <w:r>
        <w:rPr>
          <w:rFonts w:ascii="Verdana" w:hAnsi="Verdana"/>
          <w:sz w:val="20"/>
          <w:szCs w:val="20"/>
        </w:rPr>
        <w:t>ó</w:t>
      </w:r>
      <w:r w:rsidRPr="00EB1010">
        <w:rPr>
          <w:rFonts w:ascii="Verdana" w:hAnsi="Verdana"/>
          <w:sz w:val="20"/>
          <w:szCs w:val="20"/>
        </w:rPr>
        <w:t xml:space="preserve"> actos posteriores que no finalizaron y no se ha dictado otra disposición que avance en forma adecuada en el reconocimiento de la propiedad. Esta omisión de concreción ha derivado en la falta de garantía adecuada del derecho de propiedad comunitaria. </w:t>
      </w:r>
      <w:r w:rsidR="00DE5855">
        <w:rPr>
          <w:rFonts w:ascii="Verdana" w:hAnsi="Verdana"/>
          <w:sz w:val="20"/>
          <w:szCs w:val="20"/>
        </w:rPr>
        <w:t>De acuerdo a lo que</w:t>
      </w:r>
      <w:r w:rsidRPr="00EB1010">
        <w:rPr>
          <w:rFonts w:ascii="Verdana" w:hAnsi="Verdana"/>
          <w:sz w:val="20"/>
          <w:szCs w:val="20"/>
        </w:rPr>
        <w:t xml:space="preserve"> se ha indicado (</w:t>
      </w:r>
      <w:r w:rsidRPr="00EB1010">
        <w:rPr>
          <w:rFonts w:ascii="Verdana" w:hAnsi="Verdana"/>
          <w:i/>
          <w:sz w:val="20"/>
          <w:szCs w:val="20"/>
        </w:rPr>
        <w:t xml:space="preserve">supra </w:t>
      </w:r>
      <w:r w:rsidRPr="00EB1010">
        <w:rPr>
          <w:rFonts w:ascii="Verdana" w:hAnsi="Verdana"/>
          <w:sz w:val="20"/>
          <w:szCs w:val="20"/>
        </w:rPr>
        <w:t>párr</w:t>
      </w:r>
      <w:r>
        <w:rPr>
          <w:rFonts w:ascii="Verdana" w:hAnsi="Verdana"/>
          <w:sz w:val="20"/>
          <w:szCs w:val="20"/>
        </w:rPr>
        <w:t>s</w:t>
      </w:r>
      <w:r w:rsidRPr="00EB1010">
        <w:rPr>
          <w:rFonts w:ascii="Verdana" w:hAnsi="Verdana"/>
          <w:sz w:val="20"/>
          <w:szCs w:val="20"/>
        </w:rPr>
        <w:t xml:space="preserve">. </w:t>
      </w:r>
      <w:r>
        <w:rPr>
          <w:rFonts w:ascii="Verdana" w:hAnsi="Verdana"/>
          <w:sz w:val="20"/>
          <w:szCs w:val="20"/>
        </w:rPr>
        <w:t>120 y 151</w:t>
      </w:r>
      <w:r w:rsidRPr="00EB1010">
        <w:rPr>
          <w:rFonts w:ascii="Verdana" w:hAnsi="Verdana"/>
          <w:sz w:val="20"/>
          <w:szCs w:val="20"/>
        </w:rPr>
        <w:t xml:space="preserve">), esto implica una transgresión no solo del derecho de propiedad y la obligación de garantizarlo, conforme los artículos 21 y 1.1 de la Convención, sino también de la obligación de adoptar medidas prevista en el artículo 2 del tratado. </w:t>
      </w:r>
    </w:p>
    <w:p w14:paraId="4D84B923" w14:textId="77777777" w:rsidR="009805F2" w:rsidRDefault="009805F2" w:rsidP="009805F2">
      <w:pPr>
        <w:pStyle w:val="Prrafodelista"/>
        <w:spacing w:after="0" w:line="240" w:lineRule="auto"/>
        <w:ind w:left="0" w:right="6"/>
        <w:jc w:val="both"/>
        <w:rPr>
          <w:rFonts w:ascii="Verdana" w:eastAsia="Batang" w:hAnsi="Verdana" w:cs="Times"/>
          <w:sz w:val="20"/>
          <w:szCs w:val="20"/>
          <w:lang w:val="es-CR" w:eastAsia="es-CR"/>
        </w:rPr>
      </w:pPr>
    </w:p>
    <w:p w14:paraId="77BF5E43" w14:textId="5EF3D328" w:rsidR="009805F2"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EB1010">
        <w:rPr>
          <w:rFonts w:ascii="Verdana" w:hAnsi="Verdana" w:cs="Tahoma"/>
          <w:sz w:val="20"/>
          <w:szCs w:val="20"/>
        </w:rPr>
        <w:t>Dado lo anterior, co</w:t>
      </w:r>
      <w:r w:rsidR="00DE5855">
        <w:rPr>
          <w:rFonts w:ascii="Verdana" w:hAnsi="Verdana" w:cs="Tahoma"/>
          <w:sz w:val="20"/>
          <w:szCs w:val="20"/>
        </w:rPr>
        <w:t>mo fue</w:t>
      </w:r>
      <w:r w:rsidRPr="00EB1010">
        <w:rPr>
          <w:rFonts w:ascii="Verdana" w:hAnsi="Verdana" w:cs="Tahoma"/>
          <w:sz w:val="20"/>
          <w:szCs w:val="20"/>
        </w:rPr>
        <w:t xml:space="preserve"> antes explicado (</w:t>
      </w:r>
      <w:r w:rsidRPr="00EB1010">
        <w:rPr>
          <w:rFonts w:ascii="Verdana" w:hAnsi="Verdana" w:cs="Tahoma"/>
          <w:i/>
          <w:sz w:val="20"/>
          <w:szCs w:val="20"/>
        </w:rPr>
        <w:t xml:space="preserve">supra </w:t>
      </w:r>
      <w:r w:rsidRPr="00EB1010">
        <w:rPr>
          <w:rFonts w:ascii="Verdana" w:hAnsi="Verdana" w:cs="Tahoma"/>
          <w:sz w:val="20"/>
          <w:szCs w:val="20"/>
        </w:rPr>
        <w:t>párr</w:t>
      </w:r>
      <w:r>
        <w:rPr>
          <w:rFonts w:ascii="Verdana" w:hAnsi="Verdana" w:cs="Tahoma"/>
          <w:sz w:val="20"/>
          <w:szCs w:val="20"/>
        </w:rPr>
        <w:t>s</w:t>
      </w:r>
      <w:r w:rsidRPr="00EB1010">
        <w:rPr>
          <w:rFonts w:ascii="Verdana" w:hAnsi="Verdana" w:cs="Tahoma"/>
          <w:sz w:val="20"/>
          <w:szCs w:val="20"/>
        </w:rPr>
        <w:t xml:space="preserve">. </w:t>
      </w:r>
      <w:r>
        <w:rPr>
          <w:rFonts w:ascii="Verdana" w:hAnsi="Verdana" w:cs="Tahoma"/>
          <w:sz w:val="20"/>
          <w:szCs w:val="20"/>
        </w:rPr>
        <w:t>118 y 119</w:t>
      </w:r>
      <w:r w:rsidRPr="00EB1010">
        <w:rPr>
          <w:rFonts w:ascii="Verdana" w:hAnsi="Verdana" w:cs="Tahoma"/>
          <w:sz w:val="20"/>
          <w:szCs w:val="20"/>
        </w:rPr>
        <w:t>), es procedente evaluar si</w:t>
      </w:r>
      <w:r>
        <w:rPr>
          <w:rFonts w:ascii="Verdana" w:hAnsi="Verdana" w:cs="Tahoma"/>
          <w:sz w:val="20"/>
          <w:szCs w:val="20"/>
        </w:rPr>
        <w:t xml:space="preserve"> la</w:t>
      </w:r>
      <w:r w:rsidRPr="00EB1010">
        <w:rPr>
          <w:rFonts w:ascii="Verdana" w:hAnsi="Verdana" w:cs="Tahoma"/>
          <w:sz w:val="20"/>
          <w:szCs w:val="20"/>
        </w:rPr>
        <w:t xml:space="preserve"> indicada falta de una titulación adecuada se ha relacionado solo con la omisión estatal en materializar ciertas actuaciones o la demora en hacerlo, o si tiene relación también con deficiencias del orden normativo argentino general. </w:t>
      </w:r>
    </w:p>
    <w:p w14:paraId="0390156C" w14:textId="77777777" w:rsidR="009805F2" w:rsidRPr="00EB1010" w:rsidRDefault="009805F2" w:rsidP="009805F2">
      <w:pPr>
        <w:pStyle w:val="Prrafodelista"/>
        <w:spacing w:line="240" w:lineRule="auto"/>
        <w:rPr>
          <w:rFonts w:ascii="Verdana" w:hAnsi="Verdana"/>
          <w:sz w:val="20"/>
          <w:szCs w:val="20"/>
        </w:rPr>
      </w:pPr>
    </w:p>
    <w:p w14:paraId="4992850F" w14:textId="77777777" w:rsidR="009805F2"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EB1010">
        <w:rPr>
          <w:rFonts w:ascii="Verdana" w:hAnsi="Verdana"/>
          <w:sz w:val="20"/>
          <w:szCs w:val="20"/>
        </w:rPr>
        <w:t>Debe dejarse establecido que a partir de normativa de jerarquía constitucional (</w:t>
      </w:r>
      <w:r w:rsidRPr="00EB1010">
        <w:rPr>
          <w:rFonts w:ascii="Verdana" w:hAnsi="Verdana"/>
          <w:i/>
          <w:sz w:val="20"/>
          <w:szCs w:val="20"/>
        </w:rPr>
        <w:t>supra</w:t>
      </w:r>
      <w:r w:rsidRPr="00EB1010">
        <w:rPr>
          <w:rFonts w:ascii="Verdana" w:hAnsi="Verdana"/>
          <w:sz w:val="20"/>
          <w:szCs w:val="20"/>
        </w:rPr>
        <w:t xml:space="preserve"> párr. </w:t>
      </w:r>
      <w:r>
        <w:rPr>
          <w:rFonts w:ascii="Verdana" w:hAnsi="Verdana"/>
          <w:sz w:val="20"/>
          <w:szCs w:val="20"/>
        </w:rPr>
        <w:t>54)</w:t>
      </w:r>
      <w:r w:rsidRPr="00EB1010">
        <w:rPr>
          <w:rFonts w:ascii="Verdana" w:hAnsi="Verdana"/>
          <w:sz w:val="20"/>
          <w:szCs w:val="20"/>
        </w:rPr>
        <w:t>, no puede dudarse de que el Estado reconoce el derecho de propiedad comunitaria indígena</w:t>
      </w:r>
      <w:r>
        <w:rPr>
          <w:rStyle w:val="Refdenotaalpie"/>
          <w:rFonts w:ascii="Verdana" w:hAnsi="Verdana"/>
          <w:sz w:val="20"/>
        </w:rPr>
        <w:footnoteReference w:id="150"/>
      </w:r>
      <w:r w:rsidRPr="00EB1010">
        <w:rPr>
          <w:rFonts w:ascii="Verdana" w:hAnsi="Verdana"/>
          <w:sz w:val="20"/>
          <w:szCs w:val="20"/>
        </w:rPr>
        <w:t xml:space="preserve"> y que el mismo, como también ha señalado el perito Solá, debe entenderse operativo, en cuanto el Estado tiene el deber inmediato e incondicionado de observarlo. La eventual falta de disposiciones normativas internas no excusa al Estado. Sin perjuicio de ello, es procedente considerar si las particularidades del sistema normativo estatal han implicado un obstáculo adicional a la salvaguarda del derecho de propiedad relevante en el caso. </w:t>
      </w:r>
    </w:p>
    <w:p w14:paraId="15076C77" w14:textId="77777777" w:rsidR="009805F2" w:rsidRPr="00EB1010" w:rsidRDefault="009805F2" w:rsidP="009805F2">
      <w:pPr>
        <w:pStyle w:val="Prrafodelista"/>
        <w:spacing w:line="240" w:lineRule="auto"/>
        <w:rPr>
          <w:rFonts w:ascii="Verdana" w:hAnsi="Verdana" w:cs="Tahoma"/>
          <w:sz w:val="20"/>
          <w:szCs w:val="20"/>
        </w:rPr>
      </w:pPr>
    </w:p>
    <w:p w14:paraId="58D8C6CE" w14:textId="1B30EF16" w:rsidR="009805F2"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EB1010">
        <w:rPr>
          <w:rFonts w:ascii="Verdana" w:hAnsi="Verdana" w:cs="Tahoma"/>
          <w:sz w:val="20"/>
          <w:szCs w:val="20"/>
        </w:rPr>
        <w:t>A tal efecto, dado el sistema federal que rige en Argentina, en primer término</w:t>
      </w:r>
      <w:r>
        <w:rPr>
          <w:rFonts w:ascii="Verdana" w:hAnsi="Verdana" w:cs="Tahoma"/>
          <w:sz w:val="20"/>
          <w:szCs w:val="20"/>
        </w:rPr>
        <w:t>,</w:t>
      </w:r>
      <w:r w:rsidRPr="00EB1010">
        <w:rPr>
          <w:rFonts w:ascii="Verdana" w:hAnsi="Verdana" w:cs="Tahoma"/>
          <w:sz w:val="20"/>
          <w:szCs w:val="20"/>
        </w:rPr>
        <w:t xml:space="preserve"> es necesario dejar sentado que es relevante la evaluación del orden normativo nacional y provincial. </w:t>
      </w:r>
      <w:r w:rsidR="00DE5855">
        <w:rPr>
          <w:rFonts w:ascii="Verdana" w:hAnsi="Verdana" w:cs="Tahoma"/>
          <w:sz w:val="20"/>
          <w:szCs w:val="20"/>
        </w:rPr>
        <w:t>C</w:t>
      </w:r>
      <w:r w:rsidRPr="00EB1010">
        <w:rPr>
          <w:rFonts w:ascii="Verdana" w:hAnsi="Verdana"/>
          <w:sz w:val="20"/>
          <w:szCs w:val="20"/>
          <w:lang w:val="es-AR"/>
        </w:rPr>
        <w:t>omo surge de la exposición de normas efectuada en el apartado de “Hechos” de esta Sentencia (</w:t>
      </w:r>
      <w:r w:rsidRPr="00EB1010">
        <w:rPr>
          <w:rFonts w:ascii="Verdana" w:hAnsi="Verdana"/>
          <w:i/>
          <w:sz w:val="20"/>
          <w:szCs w:val="20"/>
          <w:lang w:val="es-AR"/>
        </w:rPr>
        <w:t>supra</w:t>
      </w:r>
      <w:r w:rsidRPr="00EB1010">
        <w:rPr>
          <w:rFonts w:ascii="Verdana" w:hAnsi="Verdana"/>
          <w:sz w:val="20"/>
          <w:szCs w:val="20"/>
          <w:lang w:val="es-AR"/>
        </w:rPr>
        <w:t xml:space="preserve"> párrs. </w:t>
      </w:r>
      <w:r>
        <w:rPr>
          <w:rFonts w:ascii="Verdana" w:hAnsi="Verdana"/>
          <w:sz w:val="20"/>
          <w:szCs w:val="20"/>
          <w:lang w:val="es-AR"/>
        </w:rPr>
        <w:t xml:space="preserve">54 </w:t>
      </w:r>
      <w:r w:rsidRPr="00EB1010">
        <w:rPr>
          <w:rFonts w:ascii="Verdana" w:hAnsi="Verdana"/>
          <w:sz w:val="20"/>
          <w:szCs w:val="20"/>
          <w:lang w:val="es-AR"/>
        </w:rPr>
        <w:t xml:space="preserve">y </w:t>
      </w:r>
      <w:r>
        <w:rPr>
          <w:rFonts w:ascii="Verdana" w:hAnsi="Verdana"/>
          <w:sz w:val="20"/>
          <w:szCs w:val="20"/>
          <w:lang w:val="es-AR"/>
        </w:rPr>
        <w:t>55</w:t>
      </w:r>
      <w:r w:rsidRPr="00EB1010">
        <w:rPr>
          <w:rFonts w:ascii="Verdana" w:hAnsi="Verdana"/>
          <w:sz w:val="20"/>
          <w:szCs w:val="20"/>
          <w:lang w:val="es-AR"/>
        </w:rPr>
        <w:t xml:space="preserve">), el Código Civil y Comercial, de aplicación en el ámbito nacional y también en las provincias, prevé el derecho de propiedad comunitaria. Por otra parte, las facultades provinciales y nacionales respecto a derechos de pueblos indígenas son “concurrentes”, es decir, comunes a ambos niveles estatales, y los máximos tribunales a nivel nacional y salteño han indicado que </w:t>
      </w:r>
      <w:r>
        <w:rPr>
          <w:rFonts w:ascii="Verdana" w:hAnsi="Verdana"/>
          <w:sz w:val="20"/>
          <w:szCs w:val="20"/>
          <w:lang w:val="es-AR"/>
        </w:rPr>
        <w:t>normas</w:t>
      </w:r>
      <w:r w:rsidRPr="00EB1010">
        <w:rPr>
          <w:rFonts w:ascii="Verdana" w:hAnsi="Verdana"/>
          <w:sz w:val="20"/>
          <w:szCs w:val="20"/>
          <w:lang w:val="es-AR"/>
        </w:rPr>
        <w:t xml:space="preserve"> nacional</w:t>
      </w:r>
      <w:r>
        <w:rPr>
          <w:rFonts w:ascii="Verdana" w:hAnsi="Verdana"/>
          <w:sz w:val="20"/>
          <w:szCs w:val="20"/>
          <w:lang w:val="es-AR"/>
        </w:rPr>
        <w:t>es</w:t>
      </w:r>
      <w:r w:rsidRPr="00EB1010">
        <w:rPr>
          <w:rFonts w:ascii="Verdana" w:hAnsi="Verdana"/>
          <w:sz w:val="20"/>
          <w:szCs w:val="20"/>
          <w:lang w:val="es-AR"/>
        </w:rPr>
        <w:t xml:space="preserve"> opera</w:t>
      </w:r>
      <w:r>
        <w:rPr>
          <w:rFonts w:ascii="Verdana" w:hAnsi="Verdana"/>
          <w:sz w:val="20"/>
          <w:szCs w:val="20"/>
          <w:lang w:val="es-AR"/>
        </w:rPr>
        <w:t>n</w:t>
      </w:r>
      <w:r w:rsidRPr="00EB1010">
        <w:rPr>
          <w:rFonts w:ascii="Verdana" w:hAnsi="Verdana"/>
          <w:sz w:val="20"/>
          <w:szCs w:val="20"/>
          <w:lang w:val="es-AR"/>
        </w:rPr>
        <w:t xml:space="preserve"> como un “piso mínimo” al respecto</w:t>
      </w:r>
      <w:r w:rsidRPr="002E07B4">
        <w:rPr>
          <w:rStyle w:val="Refdenotaalpie"/>
          <w:rFonts w:ascii="Verdana" w:hAnsi="Verdana"/>
          <w:sz w:val="20"/>
          <w:lang w:val="es-AR"/>
        </w:rPr>
        <w:footnoteReference w:id="151"/>
      </w:r>
      <w:r w:rsidRPr="00EB1010">
        <w:rPr>
          <w:rFonts w:ascii="Verdana" w:hAnsi="Verdana"/>
          <w:sz w:val="20"/>
          <w:szCs w:val="20"/>
          <w:lang w:val="es-AR"/>
        </w:rPr>
        <w:t xml:space="preserve">. Por lo expuesto, aunque en el caso han </w:t>
      </w:r>
      <w:r w:rsidRPr="00EB1010">
        <w:rPr>
          <w:rFonts w:ascii="Verdana" w:hAnsi="Verdana"/>
          <w:sz w:val="20"/>
          <w:szCs w:val="20"/>
          <w:lang w:val="es-AR"/>
        </w:rPr>
        <w:lastRenderedPageBreak/>
        <w:t xml:space="preserve">intervenido autoridades salteñas, y ha sido el Estado Provincial el que ha efectuado actos normativos tendientes al reconocimiento de propiedad, es relevante examinar la legislación nacional. </w:t>
      </w:r>
    </w:p>
    <w:p w14:paraId="0F4FA1CF" w14:textId="77777777" w:rsidR="009805F2" w:rsidRPr="00EB1010" w:rsidRDefault="009805F2" w:rsidP="009805F2">
      <w:pPr>
        <w:pStyle w:val="Prrafodelista"/>
        <w:spacing w:line="240" w:lineRule="auto"/>
        <w:rPr>
          <w:rFonts w:ascii="Verdana" w:hAnsi="Verdana"/>
          <w:sz w:val="20"/>
          <w:szCs w:val="20"/>
        </w:rPr>
      </w:pPr>
    </w:p>
    <w:p w14:paraId="7CFF34EC" w14:textId="17641E8F" w:rsidR="009805F2"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EB1010">
        <w:rPr>
          <w:rFonts w:ascii="Verdana" w:hAnsi="Verdana"/>
          <w:sz w:val="20"/>
          <w:szCs w:val="20"/>
        </w:rPr>
        <w:t>Dicho lo anterior, debe señalarse la in</w:t>
      </w:r>
      <w:r w:rsidR="00DE5855">
        <w:rPr>
          <w:rFonts w:ascii="Verdana" w:hAnsi="Verdana"/>
          <w:sz w:val="20"/>
          <w:szCs w:val="20"/>
        </w:rPr>
        <w:t>suficiencia</w:t>
      </w:r>
      <w:r w:rsidRPr="00EB1010">
        <w:rPr>
          <w:rFonts w:ascii="Verdana" w:hAnsi="Verdana"/>
          <w:sz w:val="20"/>
          <w:szCs w:val="20"/>
        </w:rPr>
        <w:t xml:space="preserve"> de la normativa argentina existente en cuanto a procedimientos de reclamación de la propiedad indígena. Como se ha indicado </w:t>
      </w:r>
      <w:r w:rsidRPr="00EB1010">
        <w:rPr>
          <w:rFonts w:ascii="Verdana" w:hAnsi="Verdana"/>
          <w:i/>
          <w:sz w:val="20"/>
          <w:szCs w:val="20"/>
        </w:rPr>
        <w:t>(supra</w:t>
      </w:r>
      <w:r w:rsidRPr="00EB1010">
        <w:rPr>
          <w:rFonts w:ascii="Verdana" w:hAnsi="Verdana"/>
          <w:sz w:val="20"/>
          <w:szCs w:val="20"/>
        </w:rPr>
        <w:t xml:space="preserve"> párrs. </w:t>
      </w:r>
      <w:r>
        <w:rPr>
          <w:rFonts w:ascii="Verdana" w:hAnsi="Verdana"/>
          <w:sz w:val="20"/>
          <w:szCs w:val="20"/>
        </w:rPr>
        <w:t>116 y 118</w:t>
      </w:r>
      <w:r w:rsidRPr="00EB1010">
        <w:rPr>
          <w:rFonts w:ascii="Verdana" w:hAnsi="Verdana"/>
          <w:sz w:val="20"/>
          <w:szCs w:val="20"/>
        </w:rPr>
        <w:t>), el modo en que se prevean estos procedimiento</w:t>
      </w:r>
      <w:r>
        <w:rPr>
          <w:rFonts w:ascii="Verdana" w:hAnsi="Verdana"/>
          <w:sz w:val="20"/>
          <w:szCs w:val="20"/>
        </w:rPr>
        <w:t>s</w:t>
      </w:r>
      <w:r w:rsidRPr="00EB1010">
        <w:rPr>
          <w:rFonts w:ascii="Verdana" w:hAnsi="Verdana"/>
          <w:sz w:val="20"/>
          <w:szCs w:val="20"/>
        </w:rPr>
        <w:t xml:space="preserve"> tiene relación con los artículos</w:t>
      </w:r>
      <w:r w:rsidR="00334817">
        <w:rPr>
          <w:rFonts w:ascii="Verdana" w:hAnsi="Verdana"/>
          <w:sz w:val="20"/>
          <w:szCs w:val="20"/>
        </w:rPr>
        <w:t xml:space="preserve"> 2,</w:t>
      </w:r>
      <w:r w:rsidRPr="00EB1010">
        <w:rPr>
          <w:rFonts w:ascii="Verdana" w:hAnsi="Verdana"/>
          <w:sz w:val="20"/>
          <w:szCs w:val="20"/>
        </w:rPr>
        <w:t xml:space="preserve"> 21, 8 y 25 de la Convención. </w:t>
      </w:r>
    </w:p>
    <w:p w14:paraId="659E40D0" w14:textId="77777777" w:rsidR="009805F2" w:rsidRPr="00EB1010" w:rsidRDefault="009805F2" w:rsidP="009805F2">
      <w:pPr>
        <w:pStyle w:val="Prrafodelista"/>
        <w:spacing w:line="240" w:lineRule="auto"/>
        <w:rPr>
          <w:rFonts w:ascii="Verdana" w:hAnsi="Verdana"/>
          <w:sz w:val="20"/>
          <w:szCs w:val="20"/>
          <w:lang w:val="es-AR"/>
        </w:rPr>
      </w:pPr>
    </w:p>
    <w:p w14:paraId="032947CE" w14:textId="196D781F" w:rsidR="009805F2"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EB1010">
        <w:rPr>
          <w:rFonts w:ascii="Verdana" w:hAnsi="Verdana"/>
          <w:sz w:val="20"/>
          <w:szCs w:val="20"/>
          <w:lang w:val="es-AR"/>
        </w:rPr>
        <w:t xml:space="preserve">Debe notarse, que la </w:t>
      </w:r>
      <w:r w:rsidRPr="00EB1010">
        <w:rPr>
          <w:rFonts w:ascii="Verdana" w:hAnsi="Verdana" w:cs="Arial"/>
          <w:sz w:val="20"/>
          <w:szCs w:val="20"/>
          <w:lang w:val="es-AR"/>
        </w:rPr>
        <w:t>ley 6.681 de Salta adhirió a la le</w:t>
      </w:r>
      <w:r w:rsidRPr="00EB1010">
        <w:rPr>
          <w:rFonts w:ascii="Verdana" w:hAnsi="Verdana" w:cs="Arial Narrow"/>
          <w:sz w:val="20"/>
          <w:szCs w:val="20"/>
          <w:lang w:val="es-AR"/>
        </w:rPr>
        <w:t>y nacional 23.302</w:t>
      </w:r>
      <w:r w:rsidR="00DE5855">
        <w:rPr>
          <w:rFonts w:ascii="Verdana" w:hAnsi="Verdana" w:cs="Arial Narrow"/>
          <w:sz w:val="20"/>
          <w:szCs w:val="20"/>
          <w:lang w:val="es-AR"/>
        </w:rPr>
        <w:t xml:space="preserve"> (</w:t>
      </w:r>
      <w:r w:rsidR="00DE5855">
        <w:rPr>
          <w:rFonts w:ascii="Verdana" w:hAnsi="Verdana" w:cs="Arial Narrow"/>
          <w:i/>
          <w:sz w:val="20"/>
          <w:szCs w:val="20"/>
          <w:lang w:val="es-AR"/>
        </w:rPr>
        <w:t xml:space="preserve">supra </w:t>
      </w:r>
      <w:r w:rsidR="00DE5855">
        <w:rPr>
          <w:rFonts w:ascii="Verdana" w:hAnsi="Verdana" w:cs="Arial Narrow"/>
          <w:sz w:val="20"/>
          <w:szCs w:val="20"/>
          <w:lang w:val="es-AR"/>
        </w:rPr>
        <w:t>párr. 55)</w:t>
      </w:r>
      <w:r w:rsidRPr="00EB1010">
        <w:rPr>
          <w:rFonts w:ascii="Verdana" w:hAnsi="Verdana" w:cs="Arial Narrow"/>
          <w:sz w:val="20"/>
          <w:szCs w:val="20"/>
          <w:lang w:val="es-AR"/>
        </w:rPr>
        <w:t>. Esta última, así como su Decreto reglamentario 155/1989</w:t>
      </w:r>
      <w:r w:rsidR="00DE5855">
        <w:rPr>
          <w:rFonts w:ascii="Verdana" w:hAnsi="Verdana" w:cs="Arial Narrow"/>
          <w:sz w:val="20"/>
          <w:szCs w:val="20"/>
          <w:lang w:val="es-AR"/>
        </w:rPr>
        <w:t xml:space="preserve"> (</w:t>
      </w:r>
      <w:r w:rsidR="00DE5855">
        <w:rPr>
          <w:rFonts w:ascii="Verdana" w:hAnsi="Verdana" w:cs="Arial Narrow"/>
          <w:i/>
          <w:sz w:val="20"/>
          <w:szCs w:val="20"/>
          <w:lang w:val="es-AR"/>
        </w:rPr>
        <w:t xml:space="preserve">supra </w:t>
      </w:r>
      <w:r w:rsidR="00DE5855">
        <w:rPr>
          <w:rFonts w:ascii="Verdana" w:hAnsi="Verdana" w:cs="Arial Narrow"/>
          <w:sz w:val="20"/>
          <w:szCs w:val="20"/>
          <w:lang w:val="es-AR"/>
        </w:rPr>
        <w:t>párr. 54)</w:t>
      </w:r>
      <w:r w:rsidRPr="00EB1010">
        <w:rPr>
          <w:rFonts w:ascii="Verdana" w:hAnsi="Verdana" w:cs="Arial Narrow"/>
          <w:sz w:val="20"/>
          <w:szCs w:val="20"/>
          <w:lang w:val="es-AR"/>
        </w:rPr>
        <w:t>, no prevé un procedimiento que permita reclamar, como un derecho fundamental que debe ser reconocido, el derecho de propiedad comunitaria. Las no</w:t>
      </w:r>
      <w:r w:rsidR="00884D97">
        <w:rPr>
          <w:rFonts w:ascii="Verdana" w:hAnsi="Verdana" w:cs="Arial Narrow"/>
          <w:sz w:val="20"/>
          <w:szCs w:val="20"/>
          <w:lang w:val="es-AR"/>
        </w:rPr>
        <w:t>r</w:t>
      </w:r>
      <w:r w:rsidRPr="00EB1010">
        <w:rPr>
          <w:rFonts w:ascii="Verdana" w:hAnsi="Verdana" w:cs="Arial Narrow"/>
          <w:sz w:val="20"/>
          <w:szCs w:val="20"/>
          <w:lang w:val="es-AR"/>
        </w:rPr>
        <w:t>mas indicadas solo contemplan que las autoridades realizarán “gestiones” tendientes a la entrega de tierras</w:t>
      </w:r>
      <w:r>
        <w:rPr>
          <w:rStyle w:val="Refdenotaalpie"/>
          <w:rFonts w:ascii="Verdana" w:hAnsi="Verdana"/>
          <w:sz w:val="20"/>
          <w:lang w:val="es-AR"/>
        </w:rPr>
        <w:footnoteReference w:id="152"/>
      </w:r>
      <w:r w:rsidRPr="00EB1010">
        <w:rPr>
          <w:rFonts w:ascii="Verdana" w:hAnsi="Verdana" w:cs="Arial Narrow"/>
          <w:sz w:val="20"/>
          <w:szCs w:val="20"/>
          <w:lang w:val="es-AR"/>
        </w:rPr>
        <w:t xml:space="preserve">. Por otra parte, </w:t>
      </w:r>
      <w:r w:rsidRPr="00EB1010">
        <w:rPr>
          <w:rFonts w:ascii="Verdana" w:hAnsi="Verdana" w:cs="Arial"/>
          <w:sz w:val="20"/>
          <w:szCs w:val="20"/>
          <w:lang w:val="es-AR"/>
        </w:rPr>
        <w:t xml:space="preserve">la </w:t>
      </w:r>
      <w:r w:rsidRPr="00EB1010">
        <w:rPr>
          <w:rFonts w:ascii="Verdana" w:hAnsi="Verdana"/>
          <w:sz w:val="20"/>
          <w:szCs w:val="20"/>
          <w:lang w:val="es-AR"/>
        </w:rPr>
        <w:t xml:space="preserve">ley 7.121 de Salta </w:t>
      </w:r>
      <w:r w:rsidR="00DE5855">
        <w:rPr>
          <w:rFonts w:ascii="Verdana" w:hAnsi="Verdana"/>
          <w:sz w:val="20"/>
          <w:szCs w:val="20"/>
          <w:lang w:val="es-AR"/>
        </w:rPr>
        <w:t>(</w:t>
      </w:r>
      <w:r w:rsidR="00DE5855">
        <w:rPr>
          <w:rFonts w:ascii="Verdana" w:hAnsi="Verdana"/>
          <w:i/>
          <w:sz w:val="20"/>
          <w:szCs w:val="20"/>
          <w:lang w:val="es-AR"/>
        </w:rPr>
        <w:t xml:space="preserve">supra </w:t>
      </w:r>
      <w:r w:rsidR="00DE5855">
        <w:rPr>
          <w:rFonts w:ascii="Verdana" w:hAnsi="Verdana"/>
          <w:sz w:val="20"/>
          <w:szCs w:val="20"/>
          <w:lang w:val="es-AR"/>
        </w:rPr>
        <w:t xml:space="preserve">párr. 55) </w:t>
      </w:r>
      <w:r w:rsidRPr="00EB1010">
        <w:rPr>
          <w:rFonts w:ascii="Verdana" w:hAnsi="Verdana"/>
          <w:sz w:val="20"/>
          <w:szCs w:val="20"/>
          <w:lang w:val="es-AR"/>
        </w:rPr>
        <w:t>indica que la propiedad comunitaria debe adecuarse a “una de las distintas formas admitidas por la ley”</w:t>
      </w:r>
      <w:r>
        <w:rPr>
          <w:rStyle w:val="Refdenotaalpie"/>
          <w:rFonts w:ascii="Verdana" w:hAnsi="Verdana"/>
          <w:sz w:val="20"/>
          <w:lang w:val="es-AR"/>
        </w:rPr>
        <w:footnoteReference w:id="153"/>
      </w:r>
      <w:r w:rsidRPr="00EB1010">
        <w:rPr>
          <w:rFonts w:ascii="Verdana" w:hAnsi="Verdana"/>
          <w:sz w:val="20"/>
          <w:szCs w:val="20"/>
          <w:lang w:val="es-AR"/>
        </w:rPr>
        <w:t xml:space="preserve">, pero de conformidad con la información con que cuenta la Corte, no se ha regulado </w:t>
      </w:r>
      <w:r>
        <w:rPr>
          <w:rFonts w:ascii="Verdana" w:hAnsi="Verdana"/>
          <w:sz w:val="20"/>
          <w:szCs w:val="20"/>
          <w:lang w:val="es-AR"/>
        </w:rPr>
        <w:t xml:space="preserve">en </w:t>
      </w:r>
      <w:r w:rsidR="00DE5855">
        <w:rPr>
          <w:rFonts w:ascii="Verdana" w:hAnsi="Verdana"/>
          <w:sz w:val="20"/>
          <w:szCs w:val="20"/>
          <w:lang w:val="es-AR"/>
        </w:rPr>
        <w:t xml:space="preserve">la </w:t>
      </w:r>
      <w:r>
        <w:rPr>
          <w:rFonts w:ascii="Verdana" w:hAnsi="Verdana"/>
          <w:sz w:val="20"/>
          <w:szCs w:val="20"/>
          <w:lang w:val="es-AR"/>
        </w:rPr>
        <w:t xml:space="preserve">legislación general </w:t>
      </w:r>
      <w:r w:rsidRPr="00EB1010">
        <w:rPr>
          <w:rFonts w:ascii="Verdana" w:hAnsi="Verdana"/>
          <w:sz w:val="20"/>
          <w:szCs w:val="20"/>
          <w:lang w:val="es-AR"/>
        </w:rPr>
        <w:t xml:space="preserve">una forma propia de propiedad comunitaria ni procedimientos particulares a tal efecto. </w:t>
      </w:r>
    </w:p>
    <w:p w14:paraId="61B44DF3" w14:textId="77777777" w:rsidR="009805F2" w:rsidRPr="00EB1010" w:rsidRDefault="009805F2" w:rsidP="009805F2">
      <w:pPr>
        <w:pStyle w:val="Prrafodelista"/>
        <w:spacing w:line="240" w:lineRule="auto"/>
        <w:rPr>
          <w:rFonts w:ascii="Verdana" w:hAnsi="Verdana"/>
          <w:sz w:val="20"/>
          <w:szCs w:val="20"/>
        </w:rPr>
      </w:pPr>
    </w:p>
    <w:p w14:paraId="5D1F523F" w14:textId="77777777" w:rsidR="009805F2"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EB1010">
        <w:rPr>
          <w:rFonts w:ascii="Verdana" w:hAnsi="Verdana"/>
          <w:sz w:val="20"/>
          <w:szCs w:val="20"/>
        </w:rPr>
        <w:t>La falta de aptitud del régimen normativo aludido para tratar en forma adecuada y suficiente la cuestión de la propiedad indígena se infiere de la propia normativa nacional posterior a la reforma constitucional de 1994 (</w:t>
      </w:r>
      <w:r w:rsidRPr="00EB1010">
        <w:rPr>
          <w:rFonts w:ascii="Verdana" w:hAnsi="Verdana"/>
          <w:i/>
          <w:sz w:val="20"/>
          <w:szCs w:val="20"/>
        </w:rPr>
        <w:t xml:space="preserve">supra </w:t>
      </w:r>
      <w:r w:rsidRPr="00EB1010">
        <w:rPr>
          <w:rFonts w:ascii="Verdana" w:hAnsi="Verdana"/>
          <w:sz w:val="20"/>
          <w:szCs w:val="20"/>
        </w:rPr>
        <w:t xml:space="preserve">párr. </w:t>
      </w:r>
      <w:r>
        <w:rPr>
          <w:rFonts w:ascii="Verdana" w:hAnsi="Verdana"/>
          <w:sz w:val="20"/>
          <w:szCs w:val="20"/>
        </w:rPr>
        <w:t>54</w:t>
      </w:r>
      <w:r w:rsidRPr="00EB1010">
        <w:rPr>
          <w:rFonts w:ascii="Verdana" w:hAnsi="Verdana"/>
          <w:sz w:val="20"/>
          <w:szCs w:val="20"/>
        </w:rPr>
        <w:t xml:space="preserve">). </w:t>
      </w:r>
      <w:r>
        <w:rPr>
          <w:rFonts w:ascii="Verdana" w:hAnsi="Verdana"/>
          <w:sz w:val="20"/>
          <w:szCs w:val="20"/>
        </w:rPr>
        <w:t>Aquella normativa</w:t>
      </w:r>
      <w:r w:rsidRPr="00EB1010">
        <w:rPr>
          <w:rFonts w:ascii="Verdana" w:hAnsi="Verdana"/>
          <w:sz w:val="20"/>
          <w:szCs w:val="20"/>
        </w:rPr>
        <w:t xml:space="preserve">, como se explica seguidamente, señala una situación de “emergencia” de la propiedad indígena y la necesidad de adoptar legislación y procedimientos específicos al respecto. En ese sentido, es con base en los propios señalamientos estatales, referidos en las disposiciones que se indican a continuación, que la Corte entiende que el régimen legal existente en el Estado no es apto para observar el derecho de propiedad comunitaria. </w:t>
      </w:r>
    </w:p>
    <w:p w14:paraId="15A32C1B" w14:textId="77777777" w:rsidR="009805F2" w:rsidRPr="00EB1010" w:rsidRDefault="009805F2" w:rsidP="009805F2">
      <w:pPr>
        <w:pStyle w:val="Prrafodelista"/>
        <w:spacing w:line="240" w:lineRule="auto"/>
        <w:rPr>
          <w:rFonts w:ascii="Verdana" w:hAnsi="Verdana"/>
          <w:sz w:val="20"/>
          <w:szCs w:val="20"/>
        </w:rPr>
      </w:pPr>
    </w:p>
    <w:p w14:paraId="2FDFCCE5" w14:textId="77777777" w:rsidR="009805F2" w:rsidRDefault="009805F2" w:rsidP="009805F2">
      <w:pPr>
        <w:pStyle w:val="Prrafodelista"/>
        <w:numPr>
          <w:ilvl w:val="0"/>
          <w:numId w:val="44"/>
        </w:numPr>
        <w:spacing w:after="0" w:line="240" w:lineRule="auto"/>
        <w:ind w:left="0" w:right="6" w:firstLine="0"/>
        <w:jc w:val="both"/>
        <w:rPr>
          <w:rFonts w:ascii="Verdana" w:hAnsi="Verdana"/>
          <w:sz w:val="20"/>
          <w:szCs w:val="20"/>
        </w:rPr>
      </w:pPr>
      <w:r w:rsidRPr="000F6B0B">
        <w:rPr>
          <w:rFonts w:ascii="Verdana" w:hAnsi="Verdana"/>
          <w:sz w:val="20"/>
          <w:szCs w:val="20"/>
        </w:rPr>
        <w:t xml:space="preserve">En efecto, el propio Estado ha advertido la insuficiencia de su régimen legal. Así: </w:t>
      </w:r>
    </w:p>
    <w:p w14:paraId="0F53BC9B" w14:textId="77777777" w:rsidR="00C74A78" w:rsidRDefault="00C74A78" w:rsidP="009805F2">
      <w:pPr>
        <w:pStyle w:val="Prrafodelista"/>
        <w:spacing w:after="0" w:line="240" w:lineRule="auto"/>
        <w:ind w:left="142" w:right="6"/>
        <w:jc w:val="both"/>
        <w:rPr>
          <w:rFonts w:ascii="Verdana" w:hAnsi="Verdana"/>
          <w:sz w:val="20"/>
          <w:szCs w:val="20"/>
        </w:rPr>
      </w:pPr>
    </w:p>
    <w:p w14:paraId="37C432CD" w14:textId="77777777" w:rsidR="009805F2" w:rsidRPr="000F6B0B" w:rsidRDefault="009805F2" w:rsidP="009805F2">
      <w:pPr>
        <w:pStyle w:val="Prrafodelista"/>
        <w:spacing w:after="0" w:line="240" w:lineRule="auto"/>
        <w:ind w:left="142" w:right="6"/>
        <w:jc w:val="both"/>
        <w:rPr>
          <w:rFonts w:ascii="Verdana" w:hAnsi="Verdana"/>
          <w:sz w:val="20"/>
          <w:szCs w:val="20"/>
        </w:rPr>
      </w:pPr>
      <w:r w:rsidRPr="000F6B0B">
        <w:rPr>
          <w:rFonts w:ascii="Verdana" w:hAnsi="Verdana"/>
          <w:sz w:val="20"/>
          <w:szCs w:val="20"/>
        </w:rPr>
        <w:t xml:space="preserve">a) la ley 26.160 y sus prórrogas reconocen que hay una situación de “emergencia” respecto de la propiedad indígena y prevén acciones por un tiempo determinado, las que no alteran el régimen legal existente en materia de procedimientos para el reconocimiento de la propiedad; </w:t>
      </w:r>
    </w:p>
    <w:p w14:paraId="7CDDB27E" w14:textId="71216988" w:rsidR="009805F2" w:rsidRDefault="009805F2" w:rsidP="009805F2">
      <w:pPr>
        <w:pStyle w:val="Prrafodelista"/>
        <w:spacing w:after="0" w:line="240" w:lineRule="auto"/>
        <w:ind w:left="142" w:right="6"/>
        <w:jc w:val="both"/>
        <w:rPr>
          <w:rFonts w:ascii="Verdana" w:hAnsi="Verdana"/>
          <w:sz w:val="20"/>
          <w:szCs w:val="20"/>
        </w:rPr>
      </w:pPr>
      <w:r w:rsidRPr="00EB1010">
        <w:rPr>
          <w:rFonts w:ascii="Verdana" w:hAnsi="Verdana"/>
          <w:sz w:val="20"/>
          <w:szCs w:val="20"/>
        </w:rPr>
        <w:t>b) la ley 26.994</w:t>
      </w:r>
      <w:r w:rsidR="00DE5855">
        <w:rPr>
          <w:rFonts w:ascii="Verdana" w:hAnsi="Verdana"/>
          <w:sz w:val="20"/>
          <w:szCs w:val="20"/>
        </w:rPr>
        <w:t>,</w:t>
      </w:r>
      <w:r w:rsidRPr="00EB1010">
        <w:rPr>
          <w:rFonts w:ascii="Verdana" w:hAnsi="Verdana"/>
          <w:sz w:val="20"/>
          <w:szCs w:val="20"/>
        </w:rPr>
        <w:t xml:space="preserve"> que aprobó el Código Civil y Comercial</w:t>
      </w:r>
      <w:r w:rsidR="00DE5855">
        <w:rPr>
          <w:rFonts w:ascii="Verdana" w:hAnsi="Verdana"/>
          <w:sz w:val="20"/>
          <w:szCs w:val="20"/>
        </w:rPr>
        <w:t>,</w:t>
      </w:r>
      <w:r w:rsidRPr="00EB1010">
        <w:rPr>
          <w:rFonts w:ascii="Verdana" w:hAnsi="Verdana"/>
          <w:sz w:val="20"/>
          <w:szCs w:val="20"/>
        </w:rPr>
        <w:t xml:space="preserve"> indicó que “los derechos de los pueblos indígenas”, inclusive el de propiedad comunitaria, “serán objeto de una ley especial”</w:t>
      </w:r>
      <w:r w:rsidR="00DE5855">
        <w:rPr>
          <w:rFonts w:ascii="Verdana" w:hAnsi="Verdana"/>
          <w:sz w:val="20"/>
          <w:szCs w:val="20"/>
        </w:rPr>
        <w:t>,</w:t>
      </w:r>
      <w:r w:rsidRPr="00EB1010">
        <w:rPr>
          <w:rFonts w:ascii="Verdana" w:hAnsi="Verdana"/>
          <w:sz w:val="20"/>
          <w:szCs w:val="20"/>
        </w:rPr>
        <w:t xml:space="preserve"> y dicho Código, en forma acorde, reconoce ese derecho, pero “según lo establezca la ley”, y </w:t>
      </w:r>
    </w:p>
    <w:p w14:paraId="60158BAD" w14:textId="77777777" w:rsidR="009805F2" w:rsidRPr="009F5A95" w:rsidRDefault="009805F2" w:rsidP="009805F2">
      <w:pPr>
        <w:pStyle w:val="Prrafodelista"/>
        <w:spacing w:after="0" w:line="240" w:lineRule="auto"/>
        <w:ind w:left="142" w:right="6"/>
        <w:jc w:val="both"/>
        <w:rPr>
          <w:rFonts w:ascii="Verdana" w:eastAsia="Batang" w:hAnsi="Verdana" w:cs="Times"/>
          <w:sz w:val="20"/>
          <w:szCs w:val="20"/>
          <w:lang w:val="es-CR" w:eastAsia="es-CR"/>
        </w:rPr>
      </w:pPr>
      <w:r w:rsidRPr="00EB1010">
        <w:rPr>
          <w:rFonts w:ascii="Verdana" w:hAnsi="Verdana"/>
          <w:sz w:val="20"/>
          <w:szCs w:val="20"/>
        </w:rPr>
        <w:t>c) el Decreto 700/2010 del P</w:t>
      </w:r>
      <w:r>
        <w:rPr>
          <w:rFonts w:ascii="Verdana" w:hAnsi="Verdana"/>
          <w:sz w:val="20"/>
          <w:szCs w:val="20"/>
        </w:rPr>
        <w:t xml:space="preserve">oder </w:t>
      </w:r>
      <w:r w:rsidRPr="00EB1010">
        <w:rPr>
          <w:rFonts w:ascii="Verdana" w:hAnsi="Verdana"/>
          <w:sz w:val="20"/>
          <w:szCs w:val="20"/>
        </w:rPr>
        <w:t>E</w:t>
      </w:r>
      <w:r>
        <w:rPr>
          <w:rFonts w:ascii="Verdana" w:hAnsi="Verdana"/>
          <w:sz w:val="20"/>
          <w:szCs w:val="20"/>
        </w:rPr>
        <w:t xml:space="preserve">jecutivo </w:t>
      </w:r>
      <w:r w:rsidRPr="00EB1010">
        <w:rPr>
          <w:rFonts w:ascii="Verdana" w:hAnsi="Verdana"/>
          <w:sz w:val="20"/>
          <w:szCs w:val="20"/>
        </w:rPr>
        <w:t>N</w:t>
      </w:r>
      <w:r>
        <w:rPr>
          <w:rFonts w:ascii="Verdana" w:hAnsi="Verdana"/>
          <w:sz w:val="20"/>
          <w:szCs w:val="20"/>
        </w:rPr>
        <w:t>acional</w:t>
      </w:r>
      <w:r w:rsidRPr="00EB1010">
        <w:rPr>
          <w:rFonts w:ascii="Verdana" w:hAnsi="Verdana"/>
          <w:sz w:val="20"/>
          <w:szCs w:val="20"/>
        </w:rPr>
        <w:t xml:space="preserve"> reconoce expresamente la necesidad de que se elabore una norma para “instrumentar un procedimiento” a fin de efectivizar el derecho en cuestión. En sus fundamentos expresa que el artículo 75 inciso 17 de la Constitución Nacional es directamente operativo, pero que “</w:t>
      </w:r>
      <w:r w:rsidRPr="00EB1010">
        <w:rPr>
          <w:rFonts w:ascii="Verdana" w:eastAsia="Times New Roman" w:hAnsi="Verdana" w:cs="Times New Roman"/>
          <w:color w:val="000000"/>
          <w:sz w:val="20"/>
          <w:szCs w:val="20"/>
          <w:lang w:eastAsia="es-CR"/>
        </w:rPr>
        <w:t xml:space="preserve">la ausencia de procedimientos legales tendientes a facilitar la concreción de la afirmación </w:t>
      </w:r>
      <w:r w:rsidRPr="00EB1010">
        <w:rPr>
          <w:rFonts w:ascii="Verdana" w:eastAsia="Times New Roman" w:hAnsi="Verdana" w:cs="Times New Roman"/>
          <w:color w:val="000000"/>
          <w:sz w:val="20"/>
          <w:szCs w:val="20"/>
          <w:lang w:eastAsia="es-CR"/>
        </w:rPr>
        <w:lastRenderedPageBreak/>
        <w:t>constitucional en los hechos, pone en riesgo la efectividad de la garantía consagrada” y que “las [c]omunidades [i]ndígenas han soportado desde el reconocimiento constitucional, el peligro de interpretaciones judiciales errantes y que hacen lecturas disvaliosas de la voluntad del poder constituyente”</w:t>
      </w:r>
      <w:r>
        <w:rPr>
          <w:rStyle w:val="Refdenotaalpie"/>
          <w:rFonts w:ascii="Verdana" w:eastAsia="Times New Roman" w:hAnsi="Verdana"/>
          <w:color w:val="000000"/>
          <w:sz w:val="20"/>
          <w:lang w:eastAsia="es-CR"/>
        </w:rPr>
        <w:footnoteReference w:id="154"/>
      </w:r>
      <w:r w:rsidRPr="00EB1010">
        <w:rPr>
          <w:rFonts w:ascii="Verdana" w:eastAsia="Times New Roman" w:hAnsi="Verdana" w:cs="Times New Roman"/>
          <w:color w:val="000000"/>
          <w:sz w:val="20"/>
          <w:szCs w:val="20"/>
          <w:lang w:eastAsia="es-CR"/>
        </w:rPr>
        <w:t>. T</w:t>
      </w:r>
      <w:r w:rsidRPr="00EB1010">
        <w:rPr>
          <w:rFonts w:ascii="Verdana" w:hAnsi="Verdana"/>
          <w:sz w:val="20"/>
          <w:szCs w:val="20"/>
        </w:rPr>
        <w:t>ambién indicó el perito Solá que el régimen legal nacional argentino es insuficiente</w:t>
      </w:r>
      <w:r>
        <w:rPr>
          <w:rStyle w:val="Refdenotaalpie"/>
          <w:rFonts w:ascii="Verdana" w:hAnsi="Verdana"/>
          <w:sz w:val="20"/>
        </w:rPr>
        <w:footnoteReference w:id="155"/>
      </w:r>
      <w:r w:rsidRPr="00EB1010">
        <w:rPr>
          <w:rFonts w:ascii="Verdana" w:hAnsi="Verdana"/>
          <w:sz w:val="20"/>
          <w:szCs w:val="20"/>
        </w:rPr>
        <w:t>.</w:t>
      </w:r>
    </w:p>
    <w:p w14:paraId="359C4816" w14:textId="77777777" w:rsidR="009805F2" w:rsidRDefault="009805F2" w:rsidP="009805F2">
      <w:pPr>
        <w:pStyle w:val="Prrafodelista"/>
        <w:spacing w:after="0" w:line="240" w:lineRule="auto"/>
        <w:ind w:left="0" w:right="6"/>
        <w:jc w:val="both"/>
        <w:rPr>
          <w:rFonts w:ascii="Verdana" w:eastAsia="Batang" w:hAnsi="Verdana" w:cs="Times"/>
          <w:sz w:val="20"/>
          <w:szCs w:val="20"/>
          <w:lang w:val="es-CR" w:eastAsia="es-CR"/>
        </w:rPr>
      </w:pPr>
    </w:p>
    <w:p w14:paraId="47863E79" w14:textId="77777777" w:rsidR="009805F2"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9F5A95">
        <w:rPr>
          <w:rFonts w:ascii="Verdana" w:hAnsi="Verdana"/>
          <w:sz w:val="20"/>
          <w:szCs w:val="20"/>
        </w:rPr>
        <w:t>La Corte entiende que</w:t>
      </w:r>
      <w:r>
        <w:rPr>
          <w:rFonts w:ascii="Verdana" w:hAnsi="Verdana"/>
          <w:sz w:val="20"/>
          <w:szCs w:val="20"/>
        </w:rPr>
        <w:t>,</w:t>
      </w:r>
      <w:r w:rsidRPr="009F5A95">
        <w:rPr>
          <w:rFonts w:ascii="Verdana" w:hAnsi="Verdana"/>
          <w:sz w:val="20"/>
          <w:szCs w:val="20"/>
        </w:rPr>
        <w:t xml:space="preserve"> dados los problemas normativos señalados, las comunidades indígenas implicadas en el caso no han contado con una tutela efectiva de su derecho de propiedad y han quedado, a tal efecto, sujetas al avance de negociaciones y a decisiones sobre su propiedad por medio de actos gubernativos potestativos que, en la práctica, luego de más de 28 años desde que se reclamara el reconocimiento de la propiedad, no han concretado adecuadamente su derecho.  </w:t>
      </w:r>
    </w:p>
    <w:p w14:paraId="04177091" w14:textId="77777777" w:rsidR="009805F2" w:rsidRDefault="009805F2" w:rsidP="009805F2">
      <w:pPr>
        <w:pStyle w:val="Prrafodelista"/>
        <w:spacing w:line="240" w:lineRule="auto"/>
        <w:rPr>
          <w:rFonts w:ascii="Verdana" w:hAnsi="Verdana"/>
          <w:sz w:val="20"/>
          <w:szCs w:val="20"/>
        </w:rPr>
      </w:pPr>
    </w:p>
    <w:p w14:paraId="12461E87" w14:textId="77777777" w:rsidR="009805F2" w:rsidRPr="00B26EAB" w:rsidRDefault="009805F2" w:rsidP="009805F2">
      <w:pPr>
        <w:pStyle w:val="Prrafodelista"/>
        <w:spacing w:line="240" w:lineRule="auto"/>
        <w:ind w:left="1134"/>
        <w:outlineLvl w:val="4"/>
        <w:rPr>
          <w:rFonts w:ascii="Verdana" w:hAnsi="Verdana" w:cs="Tahoma"/>
          <w:i/>
          <w:sz w:val="20"/>
          <w:szCs w:val="20"/>
        </w:rPr>
      </w:pPr>
      <w:bookmarkStart w:id="171" w:name="_Toc32227128"/>
      <w:bookmarkStart w:id="172" w:name="_Toc34337557"/>
      <w:r w:rsidRPr="00B26EAB">
        <w:rPr>
          <w:rFonts w:ascii="Verdana" w:hAnsi="Verdana" w:cs="Tahoma"/>
          <w:i/>
          <w:sz w:val="20"/>
          <w:szCs w:val="20"/>
        </w:rPr>
        <w:t>B.2.</w:t>
      </w:r>
      <w:r>
        <w:rPr>
          <w:rFonts w:ascii="Verdana" w:hAnsi="Verdana" w:cs="Tahoma"/>
          <w:i/>
          <w:sz w:val="20"/>
          <w:szCs w:val="20"/>
        </w:rPr>
        <w:t>3.3</w:t>
      </w:r>
      <w:r w:rsidRPr="00B26EAB">
        <w:rPr>
          <w:rFonts w:ascii="Verdana" w:hAnsi="Verdana" w:cs="Tahoma"/>
          <w:i/>
          <w:sz w:val="20"/>
          <w:szCs w:val="20"/>
        </w:rPr>
        <w:t xml:space="preserve"> Conclusión sobre el reconocimiento </w:t>
      </w:r>
      <w:r>
        <w:rPr>
          <w:rFonts w:ascii="Verdana" w:hAnsi="Verdana" w:cs="Tahoma"/>
          <w:i/>
          <w:sz w:val="20"/>
          <w:szCs w:val="20"/>
        </w:rPr>
        <w:t>y determinación de la propiedad</w:t>
      </w:r>
      <w:bookmarkEnd w:id="171"/>
      <w:bookmarkEnd w:id="172"/>
    </w:p>
    <w:p w14:paraId="270DEF32" w14:textId="77777777" w:rsidR="009805F2" w:rsidRPr="009F5A95" w:rsidRDefault="009805F2" w:rsidP="009805F2">
      <w:pPr>
        <w:pStyle w:val="Prrafodelista"/>
        <w:spacing w:line="240" w:lineRule="auto"/>
        <w:rPr>
          <w:rFonts w:ascii="Verdana" w:hAnsi="Verdana"/>
          <w:sz w:val="20"/>
          <w:szCs w:val="20"/>
        </w:rPr>
      </w:pPr>
    </w:p>
    <w:p w14:paraId="5C9E15F2" w14:textId="0C639649" w:rsidR="009805F2" w:rsidRPr="009F5A95"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9F5A95">
        <w:rPr>
          <w:rFonts w:ascii="Verdana" w:hAnsi="Verdana"/>
          <w:sz w:val="20"/>
          <w:szCs w:val="20"/>
        </w:rPr>
        <w:t xml:space="preserve">Como conclusión de todo lo expuesto, la Corte constata que </w:t>
      </w:r>
      <w:r w:rsidRPr="008077C4">
        <w:rPr>
          <w:rFonts w:ascii="Verdana" w:hAnsi="Verdana"/>
          <w:sz w:val="20"/>
          <w:szCs w:val="20"/>
        </w:rPr>
        <w:t>los Decretos 2786/07 y</w:t>
      </w:r>
      <w:r w:rsidRPr="009F5A95">
        <w:rPr>
          <w:rFonts w:ascii="Verdana" w:hAnsi="Verdana"/>
          <w:sz w:val="20"/>
          <w:szCs w:val="20"/>
        </w:rPr>
        <w:t xml:space="preserve"> 1498/14 constituyen actos de reconocimiento de la propiedad comunitaria sobre la tierra reclamada. No obstante</w:t>
      </w:r>
      <w:r w:rsidRPr="000F6B0B">
        <w:rPr>
          <w:rFonts w:ascii="Verdana" w:hAnsi="Verdana"/>
          <w:sz w:val="20"/>
          <w:szCs w:val="20"/>
        </w:rPr>
        <w:t>,</w:t>
      </w:r>
      <w:r w:rsidRPr="009F5A95">
        <w:rPr>
          <w:rFonts w:ascii="Verdana" w:hAnsi="Verdana"/>
          <w:b/>
          <w:sz w:val="20"/>
          <w:szCs w:val="20"/>
        </w:rPr>
        <w:t xml:space="preserve"> </w:t>
      </w:r>
      <w:r w:rsidRPr="009F5A95">
        <w:rPr>
          <w:rFonts w:ascii="Verdana" w:hAnsi="Verdana"/>
          <w:sz w:val="20"/>
          <w:szCs w:val="20"/>
        </w:rPr>
        <w:t xml:space="preserve">el Estado no ha titulado la misma de forma adecuada, de modo de dotarla de seguridad jurídica. El territorio no se ha demarcado y subsiste la permanencia de terceros. Argentina, además, no cuenta con normativa adecuada para garantizar en forma suficiente el derecho de propiedad comunitaria. </w:t>
      </w:r>
    </w:p>
    <w:p w14:paraId="37BCDB60" w14:textId="77777777" w:rsidR="009805F2" w:rsidRDefault="009805F2" w:rsidP="009805F2">
      <w:pPr>
        <w:pStyle w:val="Prrafodelista"/>
        <w:spacing w:after="0" w:line="240" w:lineRule="auto"/>
        <w:ind w:left="0" w:right="6"/>
        <w:jc w:val="both"/>
        <w:rPr>
          <w:rFonts w:ascii="Verdana" w:eastAsia="Batang" w:hAnsi="Verdana" w:cs="Times"/>
          <w:sz w:val="20"/>
          <w:szCs w:val="20"/>
          <w:lang w:val="es-CR" w:eastAsia="es-CR"/>
        </w:rPr>
      </w:pPr>
    </w:p>
    <w:p w14:paraId="6338D261" w14:textId="0D38AE24" w:rsidR="009805F2"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9F5A95">
        <w:rPr>
          <w:rFonts w:ascii="Verdana" w:hAnsi="Verdana"/>
          <w:sz w:val="20"/>
          <w:szCs w:val="20"/>
        </w:rPr>
        <w:t>Por lo expuesto, la Corte determina que el Estado violó, en perjuicio de las comunidades indígenas víctimas en este caso (</w:t>
      </w:r>
      <w:r w:rsidRPr="009F5A95">
        <w:rPr>
          <w:rFonts w:ascii="Verdana" w:hAnsi="Verdana"/>
          <w:i/>
          <w:sz w:val="20"/>
          <w:szCs w:val="20"/>
        </w:rPr>
        <w:t>supra</w:t>
      </w:r>
      <w:r w:rsidRPr="009F5A95">
        <w:rPr>
          <w:rFonts w:ascii="Verdana" w:hAnsi="Verdana"/>
          <w:sz w:val="20"/>
          <w:szCs w:val="20"/>
        </w:rPr>
        <w:t xml:space="preserve"> párr. </w:t>
      </w:r>
      <w:r>
        <w:rPr>
          <w:rFonts w:ascii="Verdana" w:hAnsi="Verdana"/>
          <w:sz w:val="20"/>
          <w:szCs w:val="20"/>
        </w:rPr>
        <w:t>35 y Anexo V a la presente Sentencia</w:t>
      </w:r>
      <w:r w:rsidRPr="009F5A95">
        <w:rPr>
          <w:rFonts w:ascii="Verdana" w:hAnsi="Verdana"/>
          <w:sz w:val="20"/>
          <w:szCs w:val="20"/>
        </w:rPr>
        <w:t xml:space="preserve">), el derecho de propiedad en relación </w:t>
      </w:r>
      <w:r w:rsidR="00F74D33">
        <w:rPr>
          <w:rFonts w:ascii="Verdana" w:hAnsi="Verdana"/>
          <w:sz w:val="20"/>
          <w:szCs w:val="20"/>
        </w:rPr>
        <w:t xml:space="preserve">con </w:t>
      </w:r>
      <w:r w:rsidRPr="009F5A95">
        <w:rPr>
          <w:rFonts w:ascii="Verdana" w:hAnsi="Verdana"/>
          <w:sz w:val="20"/>
          <w:szCs w:val="20"/>
        </w:rPr>
        <w:t>el derecho a contar con procedimientos adecuados y con las obligaciones de garantizar los derechos y adoptar disposiciones de derecho interno. Por ello, Argentina incumplió el artículo 21 de la Convención en relación con sus artículos 8</w:t>
      </w:r>
      <w:r w:rsidR="00E24403">
        <w:rPr>
          <w:rFonts w:ascii="Verdana" w:hAnsi="Verdana"/>
          <w:sz w:val="20"/>
          <w:szCs w:val="20"/>
        </w:rPr>
        <w:t>.1</w:t>
      </w:r>
      <w:r w:rsidRPr="009F5A95">
        <w:rPr>
          <w:rFonts w:ascii="Verdana" w:hAnsi="Verdana"/>
          <w:sz w:val="20"/>
          <w:szCs w:val="20"/>
        </w:rPr>
        <w:t>, 25</w:t>
      </w:r>
      <w:r w:rsidR="00E24403">
        <w:rPr>
          <w:rFonts w:ascii="Verdana" w:hAnsi="Verdana"/>
          <w:sz w:val="20"/>
          <w:szCs w:val="20"/>
        </w:rPr>
        <w:t>.1</w:t>
      </w:r>
      <w:r w:rsidR="00DE5855">
        <w:rPr>
          <w:rFonts w:ascii="Verdana" w:hAnsi="Verdana"/>
          <w:sz w:val="20"/>
          <w:szCs w:val="20"/>
        </w:rPr>
        <w:t>,</w:t>
      </w:r>
      <w:r w:rsidRPr="009F5A95">
        <w:rPr>
          <w:rFonts w:ascii="Verdana" w:hAnsi="Verdana"/>
          <w:sz w:val="20"/>
          <w:szCs w:val="20"/>
        </w:rPr>
        <w:t xml:space="preserve"> 1.1 y 2. </w:t>
      </w:r>
    </w:p>
    <w:p w14:paraId="077A3419" w14:textId="77777777" w:rsidR="009A7476" w:rsidRDefault="009A7476" w:rsidP="009805F2">
      <w:pPr>
        <w:pStyle w:val="Prrafodelista"/>
        <w:autoSpaceDE w:val="0"/>
        <w:autoSpaceDN w:val="0"/>
        <w:adjustRightInd w:val="0"/>
        <w:spacing w:after="0" w:line="240" w:lineRule="auto"/>
        <w:ind w:left="0"/>
        <w:jc w:val="both"/>
        <w:rPr>
          <w:rFonts w:ascii="Verdana" w:hAnsi="Verdana"/>
          <w:color w:val="000000" w:themeColor="text1"/>
          <w:sz w:val="20"/>
          <w:szCs w:val="20"/>
        </w:rPr>
      </w:pPr>
    </w:p>
    <w:p w14:paraId="7E6826F3" w14:textId="77777777" w:rsidR="00433F72" w:rsidRDefault="00433F72" w:rsidP="009805F2">
      <w:pPr>
        <w:pStyle w:val="Prrafodelista"/>
        <w:autoSpaceDE w:val="0"/>
        <w:autoSpaceDN w:val="0"/>
        <w:adjustRightInd w:val="0"/>
        <w:spacing w:after="0" w:line="240" w:lineRule="auto"/>
        <w:ind w:left="0"/>
        <w:jc w:val="both"/>
        <w:rPr>
          <w:rFonts w:ascii="Verdana" w:hAnsi="Verdana"/>
          <w:color w:val="000000" w:themeColor="text1"/>
          <w:sz w:val="20"/>
          <w:szCs w:val="20"/>
        </w:rPr>
      </w:pPr>
    </w:p>
    <w:p w14:paraId="7CAB3182" w14:textId="77777777" w:rsidR="00433F72" w:rsidRDefault="00433F72" w:rsidP="009805F2">
      <w:pPr>
        <w:pStyle w:val="Prrafodelista"/>
        <w:autoSpaceDE w:val="0"/>
        <w:autoSpaceDN w:val="0"/>
        <w:adjustRightInd w:val="0"/>
        <w:spacing w:after="0" w:line="240" w:lineRule="auto"/>
        <w:ind w:left="0"/>
        <w:jc w:val="both"/>
        <w:rPr>
          <w:rFonts w:ascii="Verdana" w:hAnsi="Verdana"/>
          <w:color w:val="000000" w:themeColor="text1"/>
          <w:sz w:val="20"/>
          <w:szCs w:val="20"/>
        </w:rPr>
      </w:pPr>
    </w:p>
    <w:p w14:paraId="762D6ADC" w14:textId="77777777" w:rsidR="009805F2" w:rsidRPr="004E5289" w:rsidRDefault="009805F2" w:rsidP="009805F2">
      <w:pPr>
        <w:pStyle w:val="Prrafodelista"/>
        <w:numPr>
          <w:ilvl w:val="0"/>
          <w:numId w:val="42"/>
        </w:numPr>
        <w:autoSpaceDE w:val="0"/>
        <w:autoSpaceDN w:val="0"/>
        <w:adjustRightInd w:val="0"/>
        <w:spacing w:after="0" w:line="240" w:lineRule="auto"/>
        <w:ind w:left="284" w:firstLine="0"/>
        <w:jc w:val="both"/>
        <w:outlineLvl w:val="1"/>
        <w:rPr>
          <w:rFonts w:ascii="Verdana" w:hAnsi="Verdana"/>
          <w:b/>
          <w:i/>
          <w:color w:val="000000" w:themeColor="text1"/>
          <w:sz w:val="20"/>
          <w:szCs w:val="20"/>
          <w:u w:val="single"/>
        </w:rPr>
      </w:pPr>
      <w:bookmarkStart w:id="173" w:name="_Toc32218854"/>
      <w:bookmarkStart w:id="174" w:name="_Toc32227129"/>
      <w:bookmarkStart w:id="175" w:name="_Toc34337558"/>
      <w:r w:rsidRPr="004E5289">
        <w:rPr>
          <w:rFonts w:ascii="Verdana" w:hAnsi="Verdana"/>
          <w:b/>
          <w:i/>
          <w:color w:val="000000" w:themeColor="text1"/>
          <w:sz w:val="20"/>
          <w:szCs w:val="20"/>
          <w:u w:val="single"/>
        </w:rPr>
        <w:lastRenderedPageBreak/>
        <w:t>Derecho a la participación en relación con proyectos u obras sobre la propiedad comunitaria</w:t>
      </w:r>
      <w:bookmarkEnd w:id="173"/>
      <w:bookmarkEnd w:id="174"/>
      <w:bookmarkEnd w:id="175"/>
    </w:p>
    <w:p w14:paraId="47697A93" w14:textId="77777777" w:rsidR="009805F2" w:rsidRPr="009F5A95" w:rsidRDefault="009805F2" w:rsidP="009805F2">
      <w:pPr>
        <w:pStyle w:val="Prrafodelista"/>
        <w:spacing w:line="240" w:lineRule="auto"/>
        <w:rPr>
          <w:rFonts w:ascii="Verdana" w:hAnsi="Verdana"/>
          <w:sz w:val="20"/>
          <w:szCs w:val="20"/>
          <w:lang w:val="es-ES"/>
        </w:rPr>
      </w:pPr>
    </w:p>
    <w:p w14:paraId="34902E99" w14:textId="77777777" w:rsidR="009805F2" w:rsidRPr="009F5A95"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9F5A95">
        <w:rPr>
          <w:rFonts w:ascii="Verdana" w:hAnsi="Verdana"/>
          <w:sz w:val="20"/>
          <w:szCs w:val="20"/>
          <w:lang w:val="es-ES"/>
        </w:rPr>
        <w:t xml:space="preserve">Resta considerar, en relación con el derecho de propiedad, proyectos y obras que, conforme se ha alegado, se han llevado a cabo sin respetar derechos de las comunidades indígenas. </w:t>
      </w:r>
    </w:p>
    <w:p w14:paraId="1A586B37" w14:textId="77777777" w:rsidR="009805F2" w:rsidRDefault="009805F2" w:rsidP="009805F2">
      <w:pPr>
        <w:pStyle w:val="Prrafodelista"/>
        <w:spacing w:after="0" w:line="240" w:lineRule="auto"/>
        <w:ind w:left="0" w:right="6"/>
        <w:jc w:val="both"/>
        <w:rPr>
          <w:rFonts w:ascii="Verdana" w:hAnsi="Verdana"/>
          <w:sz w:val="20"/>
          <w:szCs w:val="20"/>
          <w:lang w:val="es-ES"/>
        </w:rPr>
      </w:pPr>
    </w:p>
    <w:p w14:paraId="4D15E955" w14:textId="77777777" w:rsidR="009805F2" w:rsidRPr="004E5289" w:rsidRDefault="009805F2" w:rsidP="009805F2">
      <w:pPr>
        <w:pStyle w:val="Ttulo3"/>
        <w:spacing w:before="0" w:line="240" w:lineRule="auto"/>
        <w:ind w:left="567"/>
        <w:rPr>
          <w:rFonts w:ascii="Verdana" w:hAnsi="Verdana" w:cs="Tahoma"/>
          <w:b/>
          <w:i/>
          <w:sz w:val="20"/>
          <w:szCs w:val="20"/>
        </w:rPr>
      </w:pPr>
      <w:bookmarkStart w:id="176" w:name="_Toc32218855"/>
      <w:bookmarkStart w:id="177" w:name="_Toc32227130"/>
      <w:bookmarkStart w:id="178" w:name="_Toc34337559"/>
      <w:r w:rsidRPr="004E5289">
        <w:rPr>
          <w:rFonts w:ascii="Verdana" w:hAnsi="Verdana" w:cs="Tahoma"/>
          <w:b/>
          <w:i/>
          <w:color w:val="auto"/>
          <w:sz w:val="20"/>
          <w:szCs w:val="20"/>
        </w:rPr>
        <w:t>C.1 Argumentos de la Comisión y de las partes</w:t>
      </w:r>
      <w:bookmarkEnd w:id="176"/>
      <w:bookmarkEnd w:id="177"/>
      <w:bookmarkEnd w:id="178"/>
    </w:p>
    <w:p w14:paraId="5CA53F3D" w14:textId="77777777" w:rsidR="009805F2" w:rsidRDefault="009805F2" w:rsidP="009805F2">
      <w:pPr>
        <w:pStyle w:val="Prrafodelista"/>
        <w:spacing w:after="0" w:line="240" w:lineRule="auto"/>
        <w:ind w:left="0" w:right="6"/>
        <w:jc w:val="both"/>
        <w:rPr>
          <w:rFonts w:ascii="Verdana" w:eastAsia="Batang" w:hAnsi="Verdana" w:cs="Times"/>
          <w:sz w:val="20"/>
          <w:szCs w:val="20"/>
          <w:lang w:val="es-CR" w:eastAsia="es-CR"/>
        </w:rPr>
      </w:pPr>
    </w:p>
    <w:p w14:paraId="4A77ED70" w14:textId="0E8C9D8F" w:rsidR="009805F2" w:rsidRPr="009F5A95"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9F5A95">
        <w:rPr>
          <w:rFonts w:ascii="Verdana" w:hAnsi="Verdana"/>
          <w:sz w:val="20"/>
          <w:szCs w:val="20"/>
        </w:rPr>
        <w:t xml:space="preserve">La </w:t>
      </w:r>
      <w:r w:rsidRPr="009F5A95">
        <w:rPr>
          <w:rFonts w:ascii="Verdana" w:hAnsi="Verdana"/>
          <w:b/>
          <w:i/>
          <w:sz w:val="20"/>
          <w:szCs w:val="20"/>
        </w:rPr>
        <w:t>Comisión</w:t>
      </w:r>
      <w:r w:rsidRPr="009F5A95">
        <w:rPr>
          <w:rFonts w:ascii="Verdana" w:hAnsi="Verdana"/>
          <w:sz w:val="20"/>
          <w:szCs w:val="20"/>
        </w:rPr>
        <w:t xml:space="preserve"> sostuvo que el Estado vulneró el derecho de propiedad de las comunidades “en vinculación con derechos al acceso a la información y a la participación, por no observar obligaciones correspondientes a la realización de obras públicas o el otorgamiento de concesiones en territorio indígena</w:t>
      </w:r>
      <w:r>
        <w:rPr>
          <w:rFonts w:ascii="Verdana" w:hAnsi="Verdana"/>
          <w:sz w:val="20"/>
          <w:szCs w:val="20"/>
        </w:rPr>
        <w:t>”</w:t>
      </w:r>
      <w:r w:rsidRPr="009F5A95">
        <w:rPr>
          <w:rFonts w:ascii="Verdana" w:hAnsi="Verdana"/>
          <w:sz w:val="20"/>
          <w:szCs w:val="20"/>
        </w:rPr>
        <w:t xml:space="preserve">. </w:t>
      </w:r>
      <w:r w:rsidRPr="000F6B0B">
        <w:rPr>
          <w:rFonts w:ascii="Verdana" w:hAnsi="Verdana"/>
          <w:sz w:val="20"/>
          <w:szCs w:val="20"/>
        </w:rPr>
        <w:t>C</w:t>
      </w:r>
      <w:r w:rsidRPr="009F5A95">
        <w:rPr>
          <w:rFonts w:ascii="Verdana" w:hAnsi="Verdana"/>
          <w:sz w:val="20"/>
          <w:szCs w:val="20"/>
        </w:rPr>
        <w:t>onsideró que “ninguna de las obras públicas emprendidas por el Estado […] en territorio ancestral” cumplió las obligaciones de estar precedidas de un estudio de impacto ambiental y social y garantizar el beneficio y la participación adecuados de comunidades indígenas</w:t>
      </w:r>
      <w:r w:rsidRPr="00D27902">
        <w:rPr>
          <w:rStyle w:val="Refdenotaalpie"/>
          <w:rFonts w:ascii="Verdana" w:hAnsi="Verdana"/>
          <w:sz w:val="20"/>
        </w:rPr>
        <w:footnoteReference w:id="156"/>
      </w:r>
      <w:r w:rsidRPr="009F5A95">
        <w:rPr>
          <w:rFonts w:ascii="Verdana" w:hAnsi="Verdana"/>
          <w:sz w:val="20"/>
          <w:szCs w:val="20"/>
        </w:rPr>
        <w:t>. Adujo que tampoco se cumplió con las obligaciones estatales de realizar una consulta previa, libre e informada</w:t>
      </w:r>
      <w:r w:rsidR="00F74D33">
        <w:rPr>
          <w:rFonts w:ascii="Verdana" w:hAnsi="Verdana"/>
          <w:sz w:val="20"/>
          <w:szCs w:val="20"/>
        </w:rPr>
        <w:t>, así como de</w:t>
      </w:r>
      <w:r w:rsidRPr="009F5A95">
        <w:rPr>
          <w:rFonts w:ascii="Verdana" w:hAnsi="Verdana"/>
          <w:sz w:val="20"/>
          <w:szCs w:val="20"/>
        </w:rPr>
        <w:t xml:space="preserve"> permitir y promover el acceso a la información pública correspondiente por las comunidades indígenas afectadas. Señaló que “no se realiz[ó] una consulta propia, que cumpla con los estándares referidos”. La Comisión hizo notar que “no existe en Argentina una ley sobre consulta</w:t>
      </w:r>
      <w:r w:rsidRPr="009F5A95">
        <w:rPr>
          <w:rFonts w:ascii="Verdana" w:hAnsi="Verdana"/>
          <w:b/>
          <w:sz w:val="20"/>
          <w:szCs w:val="20"/>
        </w:rPr>
        <w:t xml:space="preserve"> </w:t>
      </w:r>
      <w:r w:rsidRPr="009F5A95">
        <w:rPr>
          <w:rFonts w:ascii="Verdana" w:hAnsi="Verdana"/>
          <w:sz w:val="20"/>
          <w:szCs w:val="20"/>
        </w:rPr>
        <w:t xml:space="preserve">previa, libre e informada”. </w:t>
      </w:r>
    </w:p>
    <w:p w14:paraId="75DCB933" w14:textId="77777777" w:rsidR="009805F2" w:rsidRDefault="009805F2" w:rsidP="009805F2">
      <w:pPr>
        <w:pStyle w:val="Prrafodelista"/>
        <w:spacing w:after="0" w:line="240" w:lineRule="auto"/>
        <w:ind w:left="0" w:right="6"/>
        <w:jc w:val="both"/>
        <w:rPr>
          <w:rFonts w:ascii="Verdana" w:eastAsia="Batang" w:hAnsi="Verdana" w:cs="Times"/>
          <w:sz w:val="20"/>
          <w:szCs w:val="20"/>
          <w:lang w:val="es-CR" w:eastAsia="es-CR"/>
        </w:rPr>
      </w:pPr>
    </w:p>
    <w:p w14:paraId="2FB9DFBA" w14:textId="77777777" w:rsidR="009805F2" w:rsidRPr="009F5A95"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9F5A95">
        <w:rPr>
          <w:rFonts w:ascii="Verdana" w:hAnsi="Verdana"/>
          <w:sz w:val="20"/>
          <w:szCs w:val="20"/>
        </w:rPr>
        <w:t xml:space="preserve">Los </w:t>
      </w:r>
      <w:r w:rsidRPr="009F5A95">
        <w:rPr>
          <w:rFonts w:ascii="Verdana" w:hAnsi="Verdana"/>
          <w:b/>
          <w:i/>
          <w:sz w:val="20"/>
          <w:szCs w:val="20"/>
        </w:rPr>
        <w:t>representantes</w:t>
      </w:r>
      <w:r w:rsidRPr="009F5A95">
        <w:rPr>
          <w:rFonts w:ascii="Verdana" w:hAnsi="Verdana"/>
          <w:sz w:val="20"/>
          <w:szCs w:val="20"/>
        </w:rPr>
        <w:t xml:space="preserve"> afirmaron que la falta de un título único “trajo severas consecuencias pues se desarrollaron diversas obras (puentes, rutas, etcétera) sin consulta previa a las comunidades”. Entendieron que el Estado es responsable por “la proyección y desarrollo inconsulto de obras sobre el territorio ancestral”, pues no cumplió los requisitos y estándares correspondientes respecto a la consulta libre, previa e informada y la participación de las comunidades en torno a los proyectos. Agregaron que las comunidades no recibieron ningún tipo de beneficio derivado de las obras y que las mismas se realizaron sin estudios de impacto ambiental y social</w:t>
      </w:r>
      <w:r w:rsidRPr="00D27902">
        <w:rPr>
          <w:rStyle w:val="Refdenotaalpie"/>
          <w:rFonts w:ascii="Verdana" w:hAnsi="Verdana"/>
          <w:sz w:val="20"/>
        </w:rPr>
        <w:footnoteReference w:id="157"/>
      </w:r>
      <w:r w:rsidRPr="009F5A95">
        <w:rPr>
          <w:rFonts w:ascii="Verdana" w:hAnsi="Verdana"/>
          <w:sz w:val="20"/>
          <w:szCs w:val="20"/>
        </w:rPr>
        <w:t>. Los representantes arguyeron también que “[e]</w:t>
      </w:r>
      <w:r w:rsidRPr="009F5A95">
        <w:rPr>
          <w:rFonts w:ascii="Verdana" w:hAnsi="Verdana" w:cs="ArialNarrow"/>
          <w:sz w:val="20"/>
          <w:szCs w:val="20"/>
        </w:rPr>
        <w:t xml:space="preserve">s indiferente para determinar la existencia de una violación, si por razones, además ajenas a los reclamos de las comunidades, se terminaron haciendo o no las obras”. Expresaron que “[a]demás, […] hay obras que efectivamente se concluyeron y otras que, aun cuando se hubieran abandonado […] llegaron a avanzar al punto de generar impactos diversos en el territorio”. Entendieron que fueron “contundentes los efectos de la construcción inconsulta de la ruta 54 sobre la comunidad La Estrella, entre otras”. </w:t>
      </w:r>
    </w:p>
    <w:p w14:paraId="08C8A257" w14:textId="77777777" w:rsidR="009805F2" w:rsidRDefault="009805F2" w:rsidP="009805F2">
      <w:pPr>
        <w:pStyle w:val="Prrafodelista"/>
        <w:spacing w:after="0" w:line="240" w:lineRule="auto"/>
        <w:ind w:left="0" w:right="6"/>
        <w:jc w:val="both"/>
        <w:rPr>
          <w:rFonts w:ascii="Verdana" w:eastAsia="Batang" w:hAnsi="Verdana" w:cs="Times"/>
          <w:sz w:val="20"/>
          <w:szCs w:val="20"/>
          <w:lang w:val="es-CR" w:eastAsia="es-CR"/>
        </w:rPr>
      </w:pPr>
    </w:p>
    <w:p w14:paraId="140886D3" w14:textId="4B309F79" w:rsidR="009805F2"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9F5A95">
        <w:rPr>
          <w:rFonts w:ascii="Verdana" w:hAnsi="Verdana"/>
          <w:sz w:val="20"/>
          <w:szCs w:val="20"/>
        </w:rPr>
        <w:t xml:space="preserve">El </w:t>
      </w:r>
      <w:r w:rsidRPr="009F5A95">
        <w:rPr>
          <w:rFonts w:ascii="Verdana" w:hAnsi="Verdana"/>
          <w:b/>
          <w:i/>
          <w:sz w:val="20"/>
          <w:szCs w:val="20"/>
        </w:rPr>
        <w:t>Estado</w:t>
      </w:r>
      <w:r w:rsidRPr="009F5A95">
        <w:rPr>
          <w:rFonts w:ascii="Verdana" w:hAnsi="Verdana"/>
          <w:sz w:val="20"/>
          <w:szCs w:val="20"/>
        </w:rPr>
        <w:t>, por su parte, advirtió que “las obras sobre las que reclaman [los representantes] no se produjeron y por lo tanto el planteo que se realiza deviene abstracto”</w:t>
      </w:r>
      <w:r w:rsidRPr="00D27902">
        <w:rPr>
          <w:rStyle w:val="Refdenotaalpie"/>
          <w:rFonts w:ascii="Verdana" w:hAnsi="Verdana"/>
          <w:sz w:val="20"/>
        </w:rPr>
        <w:footnoteReference w:id="158"/>
      </w:r>
      <w:r w:rsidR="00F74D33">
        <w:rPr>
          <w:rFonts w:ascii="Verdana" w:hAnsi="Verdana"/>
          <w:sz w:val="20"/>
          <w:szCs w:val="20"/>
        </w:rPr>
        <w:t>.</w:t>
      </w:r>
      <w:r w:rsidRPr="009F5A95">
        <w:rPr>
          <w:rFonts w:ascii="Verdana" w:hAnsi="Verdana"/>
          <w:sz w:val="20"/>
          <w:szCs w:val="20"/>
        </w:rPr>
        <w:t xml:space="preserve"> </w:t>
      </w:r>
      <w:r w:rsidR="00F74D33">
        <w:rPr>
          <w:rFonts w:ascii="Verdana" w:hAnsi="Verdana"/>
          <w:sz w:val="20"/>
          <w:szCs w:val="20"/>
        </w:rPr>
        <w:t>A</w:t>
      </w:r>
      <w:r w:rsidRPr="009F5A95">
        <w:rPr>
          <w:rFonts w:ascii="Verdana" w:hAnsi="Verdana"/>
          <w:sz w:val="20"/>
          <w:szCs w:val="20"/>
        </w:rPr>
        <w:t xml:space="preserve">demás, adujo en su contestación que en la actualidad no se encuentra </w:t>
      </w:r>
      <w:r w:rsidRPr="009F5A95">
        <w:rPr>
          <w:rFonts w:ascii="Verdana" w:hAnsi="Verdana"/>
          <w:sz w:val="20"/>
          <w:szCs w:val="20"/>
        </w:rPr>
        <w:lastRenderedPageBreak/>
        <w:t>proyectada ninguna obra pública o concesión en la zona. Manifestó también, que los representantes de Lhaka Honhat son convocados sistemáticamente a cada una de las actividades de la UEP y son informados periódicamente de los avances logrados en todo lo referido a su territorio y recursos</w:t>
      </w:r>
      <w:r w:rsidRPr="00D27902">
        <w:rPr>
          <w:rStyle w:val="Refdenotaalpie"/>
          <w:rFonts w:ascii="Verdana" w:hAnsi="Verdana"/>
          <w:sz w:val="20"/>
        </w:rPr>
        <w:footnoteReference w:id="159"/>
      </w:r>
      <w:r w:rsidRPr="009F5A95">
        <w:rPr>
          <w:rFonts w:ascii="Verdana" w:hAnsi="Verdana"/>
          <w:sz w:val="20"/>
          <w:szCs w:val="20"/>
        </w:rPr>
        <w:t xml:space="preserve">. </w:t>
      </w:r>
    </w:p>
    <w:p w14:paraId="26290E5E" w14:textId="77777777" w:rsidR="009805F2" w:rsidRDefault="009805F2" w:rsidP="009805F2">
      <w:pPr>
        <w:pStyle w:val="Prrafodelista"/>
        <w:tabs>
          <w:tab w:val="left" w:pos="2010"/>
        </w:tabs>
        <w:spacing w:line="240" w:lineRule="auto"/>
      </w:pPr>
      <w:r>
        <w:rPr>
          <w:rFonts w:ascii="Verdana" w:hAnsi="Verdana"/>
          <w:sz w:val="20"/>
          <w:szCs w:val="20"/>
          <w:lang w:val="es-ES"/>
        </w:rPr>
        <w:tab/>
      </w:r>
    </w:p>
    <w:p w14:paraId="1018EB17" w14:textId="77777777" w:rsidR="009805F2" w:rsidRPr="000B4581" w:rsidRDefault="009805F2" w:rsidP="009805F2">
      <w:pPr>
        <w:pStyle w:val="Prrafodelista"/>
        <w:autoSpaceDE w:val="0"/>
        <w:autoSpaceDN w:val="0"/>
        <w:adjustRightInd w:val="0"/>
        <w:spacing w:after="0" w:line="240" w:lineRule="auto"/>
        <w:ind w:left="567"/>
        <w:jc w:val="both"/>
        <w:outlineLvl w:val="2"/>
        <w:rPr>
          <w:rFonts w:ascii="Verdana" w:hAnsi="Verdana" w:cs="Tahoma"/>
          <w:b/>
          <w:i/>
          <w:sz w:val="20"/>
          <w:szCs w:val="20"/>
        </w:rPr>
      </w:pPr>
      <w:bookmarkStart w:id="179" w:name="_Toc32218856"/>
      <w:bookmarkStart w:id="180" w:name="_Toc32227131"/>
      <w:bookmarkStart w:id="181" w:name="_Toc34337560"/>
      <w:r>
        <w:rPr>
          <w:rFonts w:ascii="Verdana" w:hAnsi="Verdana" w:cs="Tahoma"/>
          <w:b/>
          <w:i/>
          <w:sz w:val="20"/>
          <w:szCs w:val="20"/>
        </w:rPr>
        <w:t xml:space="preserve">C.2 </w:t>
      </w:r>
      <w:r w:rsidRPr="000B4581">
        <w:rPr>
          <w:rFonts w:ascii="Verdana" w:hAnsi="Verdana" w:cs="Tahoma"/>
          <w:b/>
          <w:i/>
          <w:sz w:val="20"/>
          <w:szCs w:val="20"/>
        </w:rPr>
        <w:t>Consideraciones de la Corte</w:t>
      </w:r>
      <w:bookmarkEnd w:id="179"/>
      <w:bookmarkEnd w:id="180"/>
      <w:bookmarkEnd w:id="181"/>
    </w:p>
    <w:p w14:paraId="26FF9B03" w14:textId="77777777" w:rsidR="009805F2" w:rsidRPr="009F5A95" w:rsidRDefault="009805F2" w:rsidP="009805F2">
      <w:pPr>
        <w:pStyle w:val="Prrafodelista"/>
        <w:spacing w:line="240" w:lineRule="auto"/>
        <w:rPr>
          <w:rFonts w:ascii="Verdana" w:hAnsi="Verdana"/>
          <w:sz w:val="20"/>
          <w:szCs w:val="20"/>
          <w:lang w:val="es-ES"/>
        </w:rPr>
      </w:pPr>
    </w:p>
    <w:p w14:paraId="36EA8AC5" w14:textId="1F74B047" w:rsidR="009805F2" w:rsidRPr="009F5A95"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9F5A95">
        <w:rPr>
          <w:rFonts w:ascii="Verdana" w:hAnsi="Verdana"/>
          <w:sz w:val="20"/>
          <w:szCs w:val="20"/>
          <w:lang w:val="es-ES"/>
        </w:rPr>
        <w:t xml:space="preserve">A fin de garantizar el uso y goce de la propiedad colectiva, el Estado debe cumplir ciertas salvaguardas, que se enuncian en el párrafo siguiente. Las mismas son debidas a fin de resguardar la propiedad y también en función del derecho de los pueblos indígenas a participar en decisiones que afecten sus derechos. </w:t>
      </w:r>
      <w:r>
        <w:rPr>
          <w:rFonts w:ascii="Verdana" w:hAnsi="Verdana"/>
          <w:sz w:val="20"/>
          <w:szCs w:val="20"/>
          <w:lang w:val="es-ES"/>
        </w:rPr>
        <w:t xml:space="preserve">Conforme la </w:t>
      </w:r>
      <w:r w:rsidRPr="002F71F4">
        <w:rPr>
          <w:rFonts w:ascii="Verdana" w:hAnsi="Verdana"/>
          <w:sz w:val="20"/>
          <w:szCs w:val="20"/>
          <w:lang w:val="es-ES"/>
        </w:rPr>
        <w:t>Corte</w:t>
      </w:r>
      <w:r w:rsidRPr="009F5A95">
        <w:rPr>
          <w:rFonts w:ascii="Verdana" w:hAnsi="Verdana"/>
          <w:sz w:val="20"/>
          <w:szCs w:val="20"/>
          <w:lang w:val="es-ES"/>
        </w:rPr>
        <w:t xml:space="preserve"> ha indicado</w:t>
      </w:r>
      <w:r w:rsidR="00F74D33">
        <w:rPr>
          <w:rFonts w:ascii="Verdana" w:hAnsi="Verdana"/>
          <w:sz w:val="20"/>
          <w:szCs w:val="20"/>
          <w:lang w:val="es-ES"/>
        </w:rPr>
        <w:t>, en razón de</w:t>
      </w:r>
      <w:r w:rsidRPr="009F5A95">
        <w:rPr>
          <w:rFonts w:ascii="Verdana" w:hAnsi="Verdana"/>
          <w:sz w:val="20"/>
          <w:szCs w:val="20"/>
          <w:lang w:val="es-ES"/>
        </w:rPr>
        <w:t xml:space="preserve"> los “derechos políticos” </w:t>
      </w:r>
      <w:r>
        <w:rPr>
          <w:rFonts w:ascii="Verdana" w:hAnsi="Verdana"/>
          <w:sz w:val="20"/>
          <w:szCs w:val="20"/>
          <w:lang w:val="es-ES"/>
        </w:rPr>
        <w:t xml:space="preserve">de participación </w:t>
      </w:r>
      <w:r w:rsidRPr="009F5A95">
        <w:rPr>
          <w:rFonts w:ascii="Verdana" w:hAnsi="Verdana"/>
          <w:sz w:val="20"/>
          <w:szCs w:val="20"/>
          <w:lang w:val="es-ES"/>
        </w:rPr>
        <w:t xml:space="preserve">receptados en el artículo 23 de la Convención, en cuestiones atinentes </w:t>
      </w:r>
      <w:r w:rsidR="00C86418">
        <w:rPr>
          <w:rFonts w:ascii="Verdana" w:hAnsi="Verdana"/>
          <w:sz w:val="20"/>
          <w:szCs w:val="20"/>
          <w:lang w:val="es-ES"/>
        </w:rPr>
        <w:t xml:space="preserve">a </w:t>
      </w:r>
      <w:r w:rsidRPr="009F5A95">
        <w:rPr>
          <w:rFonts w:ascii="Verdana" w:hAnsi="Verdana"/>
          <w:sz w:val="20"/>
          <w:szCs w:val="20"/>
          <w:lang w:val="es-ES"/>
        </w:rPr>
        <w:t>sus tierras, los pueblos indígenas deben ser consultados de forma adecuada a través de instituciones representativas de los mismos</w:t>
      </w:r>
      <w:r>
        <w:rPr>
          <w:rStyle w:val="Refdenotaalpie"/>
          <w:rFonts w:ascii="Verdana" w:hAnsi="Verdana"/>
          <w:sz w:val="20"/>
          <w:lang w:val="es-ES"/>
        </w:rPr>
        <w:footnoteReference w:id="160"/>
      </w:r>
      <w:r>
        <w:rPr>
          <w:rFonts w:ascii="Verdana" w:hAnsi="Verdana"/>
          <w:sz w:val="20"/>
          <w:szCs w:val="20"/>
          <w:lang w:val="es-ES"/>
        </w:rPr>
        <w:t>.</w:t>
      </w:r>
      <w:r w:rsidRPr="009F5A95">
        <w:rPr>
          <w:rFonts w:ascii="Verdana" w:hAnsi="Verdana"/>
          <w:sz w:val="20"/>
          <w:szCs w:val="20"/>
          <w:lang w:val="es-ES"/>
        </w:rPr>
        <w:t xml:space="preserve"> </w:t>
      </w:r>
    </w:p>
    <w:p w14:paraId="5EDA88BF" w14:textId="77777777" w:rsidR="009805F2" w:rsidRDefault="009805F2" w:rsidP="009805F2">
      <w:pPr>
        <w:pStyle w:val="Prrafodelista"/>
        <w:spacing w:after="0" w:line="240" w:lineRule="auto"/>
        <w:ind w:left="0" w:right="6"/>
        <w:jc w:val="both"/>
        <w:rPr>
          <w:rFonts w:ascii="Verdana" w:eastAsia="Batang" w:hAnsi="Verdana" w:cs="Times"/>
          <w:sz w:val="20"/>
          <w:szCs w:val="20"/>
          <w:lang w:val="es-CR" w:eastAsia="es-CR"/>
        </w:rPr>
      </w:pPr>
    </w:p>
    <w:p w14:paraId="00BCF7C9" w14:textId="31AB4E79" w:rsidR="009805F2" w:rsidRPr="009F5A95"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9F5A95">
        <w:rPr>
          <w:rFonts w:ascii="Verdana" w:hAnsi="Verdana"/>
          <w:sz w:val="20"/>
          <w:lang w:val="es-ES"/>
        </w:rPr>
        <w:t>De acuerdo con lo que ha indicado la Corte, respecto a obras o actividades</w:t>
      </w:r>
      <w:r w:rsidRPr="009F5A95">
        <w:rPr>
          <w:rFonts w:ascii="Verdana" w:hAnsi="Verdana"/>
          <w:sz w:val="20"/>
        </w:rPr>
        <w:t xml:space="preserve"> dentro del territorio indígena, el Estado, por una parte, debe observar los requisitos comunes a toda limitación al derecho de propiedad por “razones de utilidad pública o de interés social” de acuerdo al artículo 21 de la Convención, lo que implica el pago de una indemnización</w:t>
      </w:r>
      <w:r>
        <w:rPr>
          <w:rStyle w:val="Refdenotaalpie"/>
          <w:rFonts w:ascii="Verdana" w:hAnsi="Verdana"/>
        </w:rPr>
        <w:footnoteReference w:id="161"/>
      </w:r>
      <w:r w:rsidR="00CE700E">
        <w:rPr>
          <w:rFonts w:ascii="Verdana" w:hAnsi="Verdana"/>
          <w:sz w:val="20"/>
        </w:rPr>
        <w:t>.</w:t>
      </w:r>
      <w:r w:rsidRPr="009F5A95">
        <w:rPr>
          <w:rFonts w:ascii="Verdana" w:hAnsi="Verdana"/>
          <w:sz w:val="20"/>
        </w:rPr>
        <w:t xml:space="preserve"> </w:t>
      </w:r>
      <w:r w:rsidR="00CE700E">
        <w:rPr>
          <w:rFonts w:ascii="Verdana" w:hAnsi="Verdana"/>
          <w:sz w:val="20"/>
        </w:rPr>
        <w:t>P</w:t>
      </w:r>
      <w:r w:rsidRPr="009F5A95">
        <w:rPr>
          <w:rFonts w:ascii="Verdana" w:hAnsi="Verdana"/>
          <w:sz w:val="20"/>
        </w:rPr>
        <w:t>or otra parte, debe cumplir “con</w:t>
      </w:r>
      <w:r w:rsidR="00CE700E">
        <w:rPr>
          <w:rFonts w:ascii="Verdana" w:hAnsi="Verdana"/>
          <w:sz w:val="20"/>
        </w:rPr>
        <w:t xml:space="preserve"> las siguientes tres garantías”:</w:t>
      </w:r>
      <w:r w:rsidRPr="009F5A95">
        <w:rPr>
          <w:rFonts w:ascii="Verdana" w:hAnsi="Verdana"/>
          <w:sz w:val="20"/>
        </w:rPr>
        <w:t xml:space="preserve"> </w:t>
      </w:r>
      <w:r w:rsidR="00CE700E">
        <w:rPr>
          <w:rFonts w:ascii="Verdana" w:hAnsi="Verdana"/>
          <w:sz w:val="20"/>
        </w:rPr>
        <w:t>e</w:t>
      </w:r>
      <w:r w:rsidRPr="009F5A95">
        <w:rPr>
          <w:rFonts w:ascii="Verdana" w:hAnsi="Verdana"/>
          <w:sz w:val="20"/>
        </w:rPr>
        <w:t>n primer lugar, “asegurar la participación efectiva” de los pueblos o comunidades, “de conformidad co</w:t>
      </w:r>
      <w:r w:rsidR="00CE700E">
        <w:rPr>
          <w:rFonts w:ascii="Verdana" w:hAnsi="Verdana"/>
          <w:sz w:val="20"/>
        </w:rPr>
        <w:t>n sus costumbres y tradiciones”,</w:t>
      </w:r>
      <w:r w:rsidRPr="009F5A95">
        <w:rPr>
          <w:rFonts w:ascii="Verdana" w:hAnsi="Verdana"/>
          <w:sz w:val="20"/>
        </w:rPr>
        <w:t xml:space="preserve"> </w:t>
      </w:r>
      <w:r w:rsidRPr="009F5A95">
        <w:rPr>
          <w:rFonts w:ascii="Verdana" w:hAnsi="Verdana"/>
          <w:sz w:val="20"/>
          <w:szCs w:val="20"/>
        </w:rPr>
        <w:t xml:space="preserve">deber </w:t>
      </w:r>
      <w:r w:rsidR="00CE700E">
        <w:rPr>
          <w:rFonts w:ascii="Verdana" w:hAnsi="Verdana"/>
          <w:sz w:val="20"/>
          <w:szCs w:val="20"/>
        </w:rPr>
        <w:t xml:space="preserve">que </w:t>
      </w:r>
      <w:r w:rsidRPr="009F5A95">
        <w:rPr>
          <w:rFonts w:ascii="Verdana" w:hAnsi="Verdana"/>
          <w:sz w:val="20"/>
          <w:szCs w:val="20"/>
        </w:rPr>
        <w:t xml:space="preserve">requiere que el Estado acepte y brinde información, </w:t>
      </w:r>
      <w:r w:rsidR="00CE700E">
        <w:rPr>
          <w:rFonts w:ascii="Verdana" w:hAnsi="Verdana"/>
          <w:sz w:val="20"/>
          <w:szCs w:val="20"/>
        </w:rPr>
        <w:t>y qu</w:t>
      </w:r>
      <w:r w:rsidRPr="009F5A95">
        <w:rPr>
          <w:rFonts w:ascii="Verdana" w:hAnsi="Verdana"/>
          <w:sz w:val="20"/>
          <w:szCs w:val="20"/>
        </w:rPr>
        <w:t>e implica una comunicación constante entre las partes. Las consultas deben realizarse de buena fe, a través de procedimientos culturalmente adecuados y deben tener como fin llegar a un acuerdo</w:t>
      </w:r>
      <w:r w:rsidRPr="00190177">
        <w:rPr>
          <w:rStyle w:val="Refdenotaalpie"/>
          <w:rFonts w:ascii="Verdana" w:hAnsi="Verdana"/>
          <w:sz w:val="20"/>
        </w:rPr>
        <w:footnoteReference w:id="162"/>
      </w:r>
      <w:r w:rsidRPr="009F5A95">
        <w:rPr>
          <w:rFonts w:ascii="Verdana" w:hAnsi="Verdana"/>
          <w:sz w:val="20"/>
          <w:szCs w:val="20"/>
        </w:rPr>
        <w:t xml:space="preserve">. En </w:t>
      </w:r>
      <w:r w:rsidRPr="009F5A95">
        <w:rPr>
          <w:rFonts w:ascii="Verdana" w:hAnsi="Verdana"/>
          <w:sz w:val="20"/>
        </w:rPr>
        <w:t xml:space="preserve">segundo lugar, debe </w:t>
      </w:r>
      <w:r w:rsidRPr="009F5A95">
        <w:rPr>
          <w:rFonts w:ascii="Verdana" w:hAnsi="Verdana"/>
          <w:sz w:val="20"/>
        </w:rPr>
        <w:lastRenderedPageBreak/>
        <w:t>“garantizar que no se emitirá ninguna concesión dentro de[l] territorio a menos y hasta que entidades independientes y técnicamente capaces, bajo la supervisión del Estado, realicen un estudio previo de impacto […] ambiental”</w:t>
      </w:r>
      <w:r w:rsidRPr="00BC371A">
        <w:rPr>
          <w:rStyle w:val="Refdenotaalpie"/>
        </w:rPr>
        <w:t xml:space="preserve"> </w:t>
      </w:r>
      <w:r>
        <w:rPr>
          <w:rStyle w:val="Refdenotaalpie"/>
        </w:rPr>
        <w:footnoteReference w:id="163"/>
      </w:r>
      <w:r w:rsidRPr="009F5A95">
        <w:rPr>
          <w:rFonts w:ascii="Verdana" w:hAnsi="Verdana"/>
          <w:sz w:val="20"/>
        </w:rPr>
        <w:t>. En tercer lugar, debe garantizar que las comunidades indígenas “se beneficien razonablemente del plan que se lleve a cabo dentro de su territorio”</w:t>
      </w:r>
      <w:r w:rsidRPr="00BC371A">
        <w:rPr>
          <w:rStyle w:val="Refdenotaalpie"/>
        </w:rPr>
        <w:t xml:space="preserve"> </w:t>
      </w:r>
      <w:r>
        <w:rPr>
          <w:rStyle w:val="Refdenotaalpie"/>
        </w:rPr>
        <w:footnoteReference w:id="164"/>
      </w:r>
      <w:r w:rsidRPr="009F5A95">
        <w:rPr>
          <w:rFonts w:ascii="Verdana" w:hAnsi="Verdana"/>
          <w:sz w:val="20"/>
        </w:rPr>
        <w:t xml:space="preserve">. </w:t>
      </w:r>
    </w:p>
    <w:p w14:paraId="6C7A78D0" w14:textId="77777777" w:rsidR="009805F2" w:rsidRDefault="009805F2" w:rsidP="009805F2">
      <w:pPr>
        <w:pStyle w:val="Prrafodelista"/>
        <w:spacing w:after="0" w:line="240" w:lineRule="auto"/>
        <w:ind w:left="0" w:right="6"/>
        <w:jc w:val="both"/>
        <w:rPr>
          <w:rFonts w:ascii="Verdana" w:eastAsia="Batang" w:hAnsi="Verdana" w:cs="Times"/>
          <w:sz w:val="20"/>
          <w:szCs w:val="20"/>
          <w:lang w:val="es-CR" w:eastAsia="es-CR"/>
        </w:rPr>
      </w:pPr>
    </w:p>
    <w:p w14:paraId="3179B681" w14:textId="5A9B5B59" w:rsidR="009805F2"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9F5A95">
        <w:rPr>
          <w:rFonts w:ascii="Verdana" w:hAnsi="Verdana"/>
          <w:sz w:val="20"/>
          <w:szCs w:val="20"/>
        </w:rPr>
        <w:t>Por medio de los requisitos anteriores, se busca “preservar, proteger y garantizar la relación especial” que los pueblos indígenas tienen con su territorio, la cual a su vez, garantiza su subsistencia.</w:t>
      </w:r>
      <w:r w:rsidRPr="009F5A95">
        <w:rPr>
          <w:rFonts w:ascii="Verdana" w:hAnsi="Verdana"/>
          <w:sz w:val="20"/>
          <w:szCs w:val="20"/>
          <w:lang w:eastAsia="es-CR"/>
        </w:rPr>
        <w:t xml:space="preserve"> Si bien la Convención no pu</w:t>
      </w:r>
      <w:r w:rsidR="00F74D33">
        <w:rPr>
          <w:rFonts w:ascii="Verdana" w:hAnsi="Verdana"/>
          <w:sz w:val="20"/>
          <w:szCs w:val="20"/>
          <w:lang w:eastAsia="es-CR"/>
        </w:rPr>
        <w:t>e</w:t>
      </w:r>
      <w:r w:rsidRPr="009F5A95">
        <w:rPr>
          <w:rFonts w:ascii="Verdana" w:hAnsi="Verdana"/>
          <w:sz w:val="20"/>
          <w:szCs w:val="20"/>
          <w:lang w:eastAsia="es-CR"/>
        </w:rPr>
        <w:t xml:space="preserve">de interpretarse de modo que impida al Estado realizar, por sí o a través de terceros, proyectos y obras sobre el territorio, el impacto de los mismos no puede </w:t>
      </w:r>
      <w:r w:rsidRPr="009F5A95">
        <w:rPr>
          <w:rStyle w:val="Refdecomentario"/>
          <w:rFonts w:ascii="Verdana" w:eastAsiaTheme="minorEastAsia" w:hAnsi="Verdana"/>
          <w:sz w:val="20"/>
          <w:szCs w:val="20"/>
          <w:lang w:eastAsia="es-CR"/>
        </w:rPr>
        <w:t>en ningún caso</w:t>
      </w:r>
      <w:r w:rsidRPr="009F5A95">
        <w:rPr>
          <w:rStyle w:val="Refdecomentario"/>
          <w:rFonts w:ascii="Verdana" w:eastAsiaTheme="minorEastAsia" w:hAnsi="Verdana"/>
          <w:lang w:eastAsia="es-CR"/>
        </w:rPr>
        <w:t xml:space="preserve"> </w:t>
      </w:r>
      <w:r w:rsidRPr="009F5A95">
        <w:rPr>
          <w:rFonts w:ascii="Verdana" w:hAnsi="Verdana"/>
          <w:sz w:val="20"/>
          <w:szCs w:val="20"/>
        </w:rPr>
        <w:t>negar la capacidad de los miembros de los pueblos indígenas y tribales a su propia supervivencia</w:t>
      </w:r>
      <w:r w:rsidRPr="00DF6C28">
        <w:rPr>
          <w:rStyle w:val="Refdenotaalpie"/>
          <w:rFonts w:ascii="Verdana" w:hAnsi="Verdana"/>
        </w:rPr>
        <w:footnoteReference w:id="165"/>
      </w:r>
      <w:r w:rsidRPr="009F5A95">
        <w:rPr>
          <w:rFonts w:ascii="Verdana" w:hAnsi="Verdana"/>
          <w:sz w:val="20"/>
          <w:szCs w:val="20"/>
        </w:rPr>
        <w:t>.</w:t>
      </w:r>
    </w:p>
    <w:p w14:paraId="255B4A4E" w14:textId="77777777" w:rsidR="009805F2" w:rsidRPr="009F5A95" w:rsidRDefault="009805F2" w:rsidP="009805F2">
      <w:pPr>
        <w:pStyle w:val="Prrafodelista"/>
        <w:spacing w:line="240" w:lineRule="auto"/>
        <w:rPr>
          <w:rFonts w:ascii="Verdana" w:hAnsi="Verdana"/>
          <w:sz w:val="20"/>
          <w:szCs w:val="20"/>
          <w:lang w:val="es-ES"/>
        </w:rPr>
      </w:pPr>
    </w:p>
    <w:p w14:paraId="3A3E6B34" w14:textId="63D9CF50" w:rsidR="009805F2" w:rsidRPr="00223D0B"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9F5A95">
        <w:rPr>
          <w:rFonts w:ascii="Verdana" w:hAnsi="Verdana"/>
          <w:sz w:val="20"/>
          <w:szCs w:val="20"/>
          <w:lang w:val="es-ES"/>
        </w:rPr>
        <w:t xml:space="preserve">En el caso, la Corte limitará su examen a aquellas obras o proyectos que están dentro del marco fáctico del caso y sobre los cuales hay suficientes elementos de prueba y argumentos para posibilitar su análisis. Sin embargo, en este sentido, este Tribunal entiende que la Comisión y las partes no han presentado información y argumentaciones precisas y suficientes para que la Corte evalúe aspectos relativos a </w:t>
      </w:r>
      <w:r>
        <w:rPr>
          <w:rFonts w:ascii="Verdana" w:hAnsi="Verdana"/>
          <w:sz w:val="20"/>
          <w:szCs w:val="20"/>
          <w:lang w:val="es-ES"/>
        </w:rPr>
        <w:t>obras sobre</w:t>
      </w:r>
      <w:r w:rsidRPr="009F5A95">
        <w:rPr>
          <w:rFonts w:ascii="Verdana" w:hAnsi="Verdana"/>
          <w:sz w:val="20"/>
          <w:szCs w:val="20"/>
        </w:rPr>
        <w:t xml:space="preserve"> tramos </w:t>
      </w:r>
      <w:r w:rsidRPr="009F5A95">
        <w:rPr>
          <w:rFonts w:ascii="Verdana" w:hAnsi="Verdana"/>
          <w:sz w:val="20"/>
          <w:szCs w:val="20"/>
        </w:rPr>
        <w:lastRenderedPageBreak/>
        <w:t>de la ruta nacional 86</w:t>
      </w:r>
      <w:r w:rsidRPr="007B6585">
        <w:rPr>
          <w:rStyle w:val="Refdenotaalpie"/>
          <w:rFonts w:ascii="Verdana" w:hAnsi="Verdana"/>
        </w:rPr>
        <w:footnoteReference w:id="166"/>
      </w:r>
      <w:r w:rsidR="00F74D33">
        <w:rPr>
          <w:rFonts w:ascii="Verdana" w:hAnsi="Verdana"/>
          <w:sz w:val="20"/>
          <w:szCs w:val="20"/>
        </w:rPr>
        <w:t>,</w:t>
      </w:r>
      <w:r w:rsidRPr="009F5A95">
        <w:rPr>
          <w:rFonts w:ascii="Verdana" w:hAnsi="Verdana"/>
          <w:sz w:val="20"/>
          <w:szCs w:val="20"/>
        </w:rPr>
        <w:t xml:space="preserve"> ni la</w:t>
      </w:r>
      <w:r w:rsidRPr="009F5A95">
        <w:rPr>
          <w:rFonts w:ascii="Verdana" w:hAnsi="Verdana"/>
          <w:b/>
          <w:sz w:val="20"/>
          <w:szCs w:val="20"/>
        </w:rPr>
        <w:t xml:space="preserve"> </w:t>
      </w:r>
      <w:r w:rsidRPr="009F5A95">
        <w:rPr>
          <w:rFonts w:ascii="Verdana" w:hAnsi="Verdana"/>
          <w:sz w:val="20"/>
          <w:szCs w:val="20"/>
        </w:rPr>
        <w:t>aducida exploración de hidrocarburos</w:t>
      </w:r>
      <w:r w:rsidRPr="007B6585">
        <w:rPr>
          <w:rStyle w:val="Refdenotaalpie"/>
          <w:rFonts w:ascii="Verdana" w:hAnsi="Verdana"/>
        </w:rPr>
        <w:footnoteReference w:id="167"/>
      </w:r>
      <w:r w:rsidRPr="009F5A95">
        <w:rPr>
          <w:rFonts w:ascii="Verdana" w:hAnsi="Verdana"/>
          <w:sz w:val="20"/>
          <w:szCs w:val="20"/>
        </w:rPr>
        <w:t>.</w:t>
      </w:r>
      <w:r>
        <w:rPr>
          <w:rFonts w:ascii="Verdana" w:eastAsia="Batang" w:hAnsi="Verdana" w:cs="Times"/>
          <w:sz w:val="20"/>
          <w:szCs w:val="20"/>
          <w:lang w:val="es-CR" w:eastAsia="es-CR"/>
        </w:rPr>
        <w:t xml:space="preserve"> </w:t>
      </w:r>
      <w:r w:rsidRPr="00223D0B">
        <w:rPr>
          <w:rFonts w:ascii="Verdana" w:hAnsi="Verdana"/>
          <w:sz w:val="20"/>
          <w:szCs w:val="20"/>
        </w:rPr>
        <w:t xml:space="preserve">La Corte, por el contrario, sí examinará lo pertinente respecto a: 1) las obras para la ruta provincial 54 y 2) la construcción del puente internacional y obras adyacentes. Luego </w:t>
      </w:r>
      <w:r w:rsidR="00AA5828">
        <w:rPr>
          <w:rFonts w:ascii="Verdana" w:hAnsi="Verdana"/>
          <w:sz w:val="20"/>
          <w:szCs w:val="20"/>
        </w:rPr>
        <w:t>3) expondrá</w:t>
      </w:r>
      <w:r w:rsidRPr="00223D0B">
        <w:rPr>
          <w:rFonts w:ascii="Verdana" w:hAnsi="Verdana"/>
          <w:sz w:val="20"/>
          <w:szCs w:val="20"/>
        </w:rPr>
        <w:t xml:space="preserve"> su conclusión. </w:t>
      </w:r>
    </w:p>
    <w:p w14:paraId="07A36DB4" w14:textId="77777777" w:rsidR="009805F2" w:rsidRDefault="009805F2" w:rsidP="009805F2">
      <w:pPr>
        <w:pStyle w:val="Prrafodelista"/>
        <w:spacing w:line="240" w:lineRule="auto"/>
        <w:rPr>
          <w:rFonts w:ascii="Verdana" w:hAnsi="Verdana" w:cs="Arial Narrow"/>
          <w:sz w:val="20"/>
          <w:szCs w:val="20"/>
        </w:rPr>
      </w:pPr>
    </w:p>
    <w:p w14:paraId="23B454A1" w14:textId="77777777" w:rsidR="009805F2" w:rsidRDefault="009805F2" w:rsidP="009805F2">
      <w:pPr>
        <w:pStyle w:val="Prrafodelista"/>
        <w:spacing w:line="240" w:lineRule="auto"/>
        <w:ind w:left="851"/>
        <w:jc w:val="both"/>
        <w:outlineLvl w:val="3"/>
        <w:rPr>
          <w:rFonts w:ascii="Verdana" w:hAnsi="Verdana"/>
          <w:i/>
          <w:sz w:val="20"/>
          <w:szCs w:val="20"/>
        </w:rPr>
      </w:pPr>
      <w:bookmarkStart w:id="182" w:name="_Toc22224925"/>
      <w:bookmarkStart w:id="183" w:name="_Toc32218857"/>
      <w:bookmarkStart w:id="184" w:name="_Toc32227132"/>
      <w:bookmarkStart w:id="185" w:name="_Toc34337561"/>
      <w:r>
        <w:rPr>
          <w:rFonts w:ascii="Verdana" w:hAnsi="Verdana"/>
          <w:i/>
          <w:sz w:val="20"/>
          <w:szCs w:val="20"/>
        </w:rPr>
        <w:t>C</w:t>
      </w:r>
      <w:r w:rsidRPr="00FB4A90">
        <w:rPr>
          <w:rFonts w:ascii="Verdana" w:hAnsi="Verdana"/>
          <w:i/>
          <w:sz w:val="20"/>
          <w:szCs w:val="20"/>
        </w:rPr>
        <w:t>.</w:t>
      </w:r>
      <w:r>
        <w:rPr>
          <w:rFonts w:ascii="Verdana" w:hAnsi="Verdana"/>
          <w:i/>
          <w:sz w:val="20"/>
          <w:szCs w:val="20"/>
        </w:rPr>
        <w:t xml:space="preserve">2.1 </w:t>
      </w:r>
      <w:r w:rsidRPr="00215F45">
        <w:rPr>
          <w:rFonts w:ascii="Verdana" w:hAnsi="Verdana"/>
          <w:i/>
          <w:sz w:val="20"/>
          <w:szCs w:val="20"/>
          <w:u w:val="single"/>
        </w:rPr>
        <w:t>Ruta provincial 54</w:t>
      </w:r>
      <w:bookmarkEnd w:id="182"/>
      <w:bookmarkEnd w:id="183"/>
      <w:bookmarkEnd w:id="184"/>
      <w:bookmarkEnd w:id="185"/>
    </w:p>
    <w:p w14:paraId="581F6DD8" w14:textId="77777777" w:rsidR="009805F2" w:rsidRDefault="009805F2" w:rsidP="009805F2">
      <w:pPr>
        <w:pStyle w:val="Prrafodelista"/>
        <w:spacing w:line="240" w:lineRule="auto"/>
        <w:rPr>
          <w:rFonts w:ascii="Verdana" w:hAnsi="Verdana" w:cs="Arial Narrow"/>
          <w:sz w:val="20"/>
          <w:szCs w:val="20"/>
        </w:rPr>
      </w:pPr>
    </w:p>
    <w:p w14:paraId="48C5CAA4" w14:textId="77777777" w:rsidR="009805F2" w:rsidRPr="009F5A95"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9F5A95">
        <w:rPr>
          <w:rFonts w:ascii="Verdana" w:hAnsi="Verdana" w:cs="Arial Narrow"/>
          <w:sz w:val="20"/>
          <w:szCs w:val="20"/>
        </w:rPr>
        <w:t xml:space="preserve">En 2001 se trabajó en el enripiado de la ruta provincial 54 entre la localidad de Santa Victoria Este y la de La Paz. Las obras finalizaron el mismo año. </w:t>
      </w:r>
      <w:r w:rsidRPr="009F5A95">
        <w:rPr>
          <w:rFonts w:ascii="Verdana" w:hAnsi="Verdana"/>
          <w:sz w:val="20"/>
          <w:szCs w:val="20"/>
          <w:lang w:val="es-ES"/>
        </w:rPr>
        <w:t>A</w:t>
      </w:r>
      <w:r w:rsidRPr="009F5A95">
        <w:rPr>
          <w:rFonts w:ascii="Verdana" w:hAnsi="Verdana" w:cs="Arial Narrow"/>
          <w:sz w:val="20"/>
          <w:szCs w:val="20"/>
        </w:rPr>
        <w:t xml:space="preserve"> principios de 2005, la Dirección Provincial de Vialidad empezó nuevamente a realizar obras en torno a la ruta Provincial 54, que une la ciudad de Tartagal con el puente internacional sobre el río Pilcomayo. </w:t>
      </w:r>
      <w:r w:rsidRPr="009F5A95">
        <w:rPr>
          <w:rFonts w:ascii="Verdana" w:hAnsi="Verdana"/>
          <w:sz w:val="20"/>
          <w:szCs w:val="20"/>
        </w:rPr>
        <w:t>E</w:t>
      </w:r>
      <w:r w:rsidRPr="009F5A95">
        <w:rPr>
          <w:rFonts w:ascii="Verdana" w:hAnsi="Verdana" w:cs="Arial Narrow"/>
          <w:sz w:val="20"/>
          <w:szCs w:val="20"/>
        </w:rPr>
        <w:t>l 8 de febrero de 2005, los representantes denunciaron la situación ante la Cancillería y el Gobernador de Salta</w:t>
      </w:r>
      <w:r>
        <w:rPr>
          <w:rStyle w:val="Refdenotaalpie"/>
          <w:rFonts w:ascii="Verdana" w:hAnsi="Verdana" w:cs="Arial Narrow"/>
        </w:rPr>
        <w:footnoteReference w:id="168"/>
      </w:r>
      <w:r w:rsidRPr="009F5A95">
        <w:rPr>
          <w:rFonts w:ascii="Verdana" w:hAnsi="Verdana" w:cs="Arial Narrow"/>
          <w:sz w:val="20"/>
          <w:szCs w:val="20"/>
        </w:rPr>
        <w:t>. En 2014 hubo nuevas obras, los representantes efectuaron un pedido de información</w:t>
      </w:r>
      <w:r>
        <w:rPr>
          <w:rStyle w:val="Refdenotaalpie"/>
          <w:rFonts w:ascii="Verdana" w:hAnsi="Verdana"/>
        </w:rPr>
        <w:footnoteReference w:id="169"/>
      </w:r>
      <w:r w:rsidRPr="009F5A95">
        <w:rPr>
          <w:rFonts w:ascii="Verdana" w:hAnsi="Verdana" w:cs="Arial Narrow"/>
          <w:sz w:val="20"/>
          <w:szCs w:val="20"/>
        </w:rPr>
        <w:t>. El proyecto continuó y se finalizó.</w:t>
      </w:r>
    </w:p>
    <w:p w14:paraId="66FBC0E1" w14:textId="77777777" w:rsidR="009805F2" w:rsidRDefault="009805F2" w:rsidP="009805F2">
      <w:pPr>
        <w:pStyle w:val="Prrafodelista"/>
        <w:spacing w:after="0" w:line="240" w:lineRule="auto"/>
        <w:ind w:left="0" w:right="6"/>
        <w:jc w:val="both"/>
        <w:rPr>
          <w:rFonts w:ascii="Verdana" w:eastAsia="Batang" w:hAnsi="Verdana" w:cs="Times"/>
          <w:sz w:val="20"/>
          <w:szCs w:val="20"/>
          <w:lang w:val="es-CR" w:eastAsia="es-CR"/>
        </w:rPr>
      </w:pPr>
    </w:p>
    <w:p w14:paraId="632366A1" w14:textId="58147A3B" w:rsidR="009805F2"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9F5A95">
        <w:rPr>
          <w:rFonts w:ascii="Verdana" w:hAnsi="Verdana" w:cs="Arial Narrow"/>
          <w:sz w:val="20"/>
          <w:szCs w:val="20"/>
        </w:rPr>
        <w:t xml:space="preserve">Los representantes señalaron que esta intervención causó la tala de árboles para la quema de ladrillos en Misión La Paz, y también que no tuvieron respuesta del pedido de información que efectuaron. </w:t>
      </w:r>
      <w:r w:rsidRPr="009F5A95">
        <w:rPr>
          <w:rFonts w:ascii="Verdana" w:hAnsi="Verdana"/>
          <w:sz w:val="20"/>
          <w:szCs w:val="20"/>
          <w:lang w:val="es-ES"/>
        </w:rPr>
        <w:t>La Corte advierte que el Estado ha aclarado que las obras realizadas fueron sobre el trazado previamente existente de la ruta 54. Es decir, no se habría tratado de obras estrictamente nuevas, sino de mejoras de otras ya existentes. En una comunicación del Secretario General de la Gobernación de Salta se explicó que “no se trat[ó] de la apertura de una nueva ruta, sino del mejoramiento de la actualmente existente” y que fueron trabajos hechos “en acuerdo con los habitantes” y “necesarios e impostergables para permitir la continuidad del acceso de los pobladores a los servicios de salud y educación que brinda el Estado – derecho</w:t>
      </w:r>
      <w:r w:rsidR="00837400">
        <w:rPr>
          <w:rFonts w:ascii="Verdana" w:hAnsi="Verdana"/>
          <w:sz w:val="20"/>
          <w:szCs w:val="20"/>
          <w:lang w:val="es-ES"/>
        </w:rPr>
        <w:t>s</w:t>
      </w:r>
      <w:r w:rsidRPr="009F5A95">
        <w:rPr>
          <w:rFonts w:ascii="Verdana" w:hAnsi="Verdana"/>
          <w:sz w:val="20"/>
          <w:szCs w:val="20"/>
          <w:lang w:val="es-ES"/>
        </w:rPr>
        <w:t xml:space="preserve"> elementales […] en una zona de alto índice de pobreza”</w:t>
      </w:r>
      <w:r>
        <w:rPr>
          <w:rStyle w:val="Refdenotaalpie"/>
          <w:rFonts w:ascii="Verdana" w:hAnsi="Verdana"/>
          <w:lang w:val="es-ES"/>
        </w:rPr>
        <w:footnoteReference w:id="170"/>
      </w:r>
      <w:r w:rsidRPr="009F5A95">
        <w:rPr>
          <w:rFonts w:ascii="Verdana" w:hAnsi="Verdana"/>
          <w:sz w:val="20"/>
          <w:szCs w:val="20"/>
          <w:lang w:val="es-ES"/>
        </w:rPr>
        <w:t xml:space="preserve">. </w:t>
      </w:r>
    </w:p>
    <w:p w14:paraId="60252818" w14:textId="77777777" w:rsidR="009805F2" w:rsidRPr="009F5A95" w:rsidRDefault="009805F2" w:rsidP="009805F2">
      <w:pPr>
        <w:pStyle w:val="Prrafodelista"/>
        <w:spacing w:line="240" w:lineRule="auto"/>
        <w:rPr>
          <w:rFonts w:ascii="Verdana" w:hAnsi="Verdana"/>
          <w:sz w:val="20"/>
          <w:szCs w:val="20"/>
          <w:lang w:val="es-ES"/>
        </w:rPr>
      </w:pPr>
    </w:p>
    <w:p w14:paraId="0C80195B" w14:textId="77777777" w:rsidR="009805F2" w:rsidRPr="009F5A95"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9F5A95">
        <w:rPr>
          <w:rFonts w:ascii="Verdana" w:hAnsi="Verdana"/>
          <w:sz w:val="20"/>
          <w:szCs w:val="20"/>
          <w:lang w:val="es-ES"/>
        </w:rPr>
        <w:t xml:space="preserve">La Corte entiende que, de acuerdo con las circunstancias, puede ser pertinente en relación con el derecho a la consulta, diferenciar entre mejora o mantenimiento de obras ya existentes y realización de obras o proyectos nuevos. En ese sentido, no siempre actividades tendientes solo al adecuado mantenimiento o mejora de obras </w:t>
      </w:r>
      <w:r w:rsidRPr="009F5A95">
        <w:rPr>
          <w:rFonts w:ascii="Verdana" w:hAnsi="Verdana"/>
          <w:sz w:val="20"/>
          <w:szCs w:val="20"/>
          <w:lang w:val="es-ES"/>
        </w:rPr>
        <w:lastRenderedPageBreak/>
        <w:t xml:space="preserve">requerirán arbitrar procesos de consulta previa. Lo contrario podría implicar un entendimiento irrazonable o excesivo de las obligaciones estatales correlativas a los derechos de consulta y participación, cuestión que debe evaluarse de acuerdo </w:t>
      </w:r>
      <w:r>
        <w:rPr>
          <w:rFonts w:ascii="Verdana" w:hAnsi="Verdana"/>
          <w:sz w:val="20"/>
          <w:szCs w:val="20"/>
          <w:lang w:val="es-ES"/>
        </w:rPr>
        <w:t>con</w:t>
      </w:r>
      <w:r w:rsidRPr="009F5A95">
        <w:rPr>
          <w:rFonts w:ascii="Verdana" w:hAnsi="Verdana"/>
          <w:sz w:val="20"/>
          <w:szCs w:val="20"/>
          <w:lang w:val="es-ES"/>
        </w:rPr>
        <w:t xml:space="preserve"> las circunstancias particulares. En el caso, aunque los representantes mencionaron que las obras requirieron la tala de árboles, no ahondaron en la precisión sobre la magnitud de ese impacto. Además, aunque no consta que las autoridades respondieran puntualmente la nota de los representantes pidiendo información, aquellas manifestaron que las obras se estaban haciendo “en acuerdo con los habitantes”. Si bien este último señalamiento es insuficiente para dar cuenta de procesos de consulta que pudieran haberse efectuado, también es insuficiente la información y argumentación de los representantes. A partir de ello, y teniendo en cuenta que se trató del mantenimiento o mejora de obras que ya existían, la Corte considera que no tiene suficientes elementos para determinar una lesión al derecho de participación y consulta en perjuicio de comunidades indígenas. </w:t>
      </w:r>
    </w:p>
    <w:p w14:paraId="29597C78" w14:textId="77777777" w:rsidR="009805F2" w:rsidRDefault="009805F2" w:rsidP="009805F2">
      <w:pPr>
        <w:pStyle w:val="Prrafodelista"/>
        <w:spacing w:after="0" w:line="240" w:lineRule="auto"/>
        <w:ind w:left="0" w:right="6"/>
        <w:jc w:val="both"/>
        <w:rPr>
          <w:rFonts w:ascii="Verdana" w:hAnsi="Verdana"/>
          <w:sz w:val="20"/>
          <w:szCs w:val="20"/>
          <w:lang w:val="es-ES"/>
        </w:rPr>
      </w:pPr>
    </w:p>
    <w:p w14:paraId="6908DB36" w14:textId="77777777" w:rsidR="009805F2" w:rsidRDefault="009805F2" w:rsidP="009805F2">
      <w:pPr>
        <w:pStyle w:val="Prrafodelista"/>
        <w:autoSpaceDE w:val="0"/>
        <w:autoSpaceDN w:val="0"/>
        <w:adjustRightInd w:val="0"/>
        <w:spacing w:after="0" w:line="240" w:lineRule="auto"/>
        <w:ind w:left="851"/>
        <w:jc w:val="both"/>
        <w:outlineLvl w:val="3"/>
        <w:rPr>
          <w:rFonts w:ascii="Verdana" w:hAnsi="Verdana"/>
          <w:i/>
          <w:sz w:val="20"/>
          <w:szCs w:val="20"/>
        </w:rPr>
      </w:pPr>
      <w:bookmarkStart w:id="186" w:name="_Toc22224926"/>
      <w:bookmarkStart w:id="187" w:name="_Toc32218858"/>
      <w:bookmarkStart w:id="188" w:name="_Toc32227133"/>
      <w:bookmarkStart w:id="189" w:name="_Toc34337562"/>
      <w:r>
        <w:rPr>
          <w:rFonts w:ascii="Verdana" w:hAnsi="Verdana"/>
          <w:i/>
          <w:sz w:val="20"/>
          <w:szCs w:val="20"/>
        </w:rPr>
        <w:t xml:space="preserve">C.2.2 </w:t>
      </w:r>
      <w:r w:rsidRPr="00215F45">
        <w:rPr>
          <w:rFonts w:ascii="Verdana" w:hAnsi="Verdana"/>
          <w:i/>
          <w:sz w:val="20"/>
          <w:szCs w:val="20"/>
          <w:u w:val="single"/>
        </w:rPr>
        <w:t>Puente internacional y obras conexas</w:t>
      </w:r>
      <w:bookmarkEnd w:id="186"/>
      <w:bookmarkEnd w:id="187"/>
      <w:bookmarkEnd w:id="188"/>
      <w:bookmarkEnd w:id="189"/>
    </w:p>
    <w:p w14:paraId="13CE9BBC" w14:textId="77777777" w:rsidR="009805F2" w:rsidRDefault="009805F2" w:rsidP="009805F2">
      <w:pPr>
        <w:pStyle w:val="Prrafodelista"/>
        <w:spacing w:after="0" w:line="240" w:lineRule="auto"/>
        <w:ind w:left="0" w:right="6"/>
        <w:jc w:val="both"/>
        <w:rPr>
          <w:rFonts w:ascii="Verdana" w:eastAsia="Batang" w:hAnsi="Verdana" w:cs="Times"/>
          <w:sz w:val="20"/>
          <w:szCs w:val="20"/>
          <w:lang w:val="es-CR" w:eastAsia="es-CR"/>
        </w:rPr>
      </w:pPr>
    </w:p>
    <w:p w14:paraId="78392B19" w14:textId="77777777" w:rsidR="009805F2" w:rsidRPr="009F5A95"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9F5A95">
        <w:rPr>
          <w:rFonts w:ascii="Verdana" w:hAnsi="Verdana"/>
          <w:sz w:val="20"/>
          <w:szCs w:val="20"/>
        </w:rPr>
        <w:t>Se desprende de los hechos que la construcción del puente inició en 1995. Entre el 25 de agosto y el 16 de septiembre de 1996, personas integrantes de comunidades indígenas ocuparon el puente internacional de manera pacífica. La construcción del puente se finalizó entre 1995 y 1996</w:t>
      </w:r>
      <w:r w:rsidRPr="009F5A95">
        <w:rPr>
          <w:rFonts w:ascii="Verdana" w:hAnsi="Verdana"/>
          <w:b/>
          <w:sz w:val="20"/>
          <w:szCs w:val="20"/>
        </w:rPr>
        <w:t xml:space="preserve"> </w:t>
      </w:r>
      <w:r w:rsidRPr="009F5A95">
        <w:rPr>
          <w:rFonts w:ascii="Verdana" w:hAnsi="Verdana"/>
          <w:sz w:val="20"/>
          <w:szCs w:val="20"/>
        </w:rPr>
        <w:t>y se continuó con la edificación de rutas y de obras de urbanización</w:t>
      </w:r>
      <w:r>
        <w:rPr>
          <w:rStyle w:val="Refdenotaalpie"/>
          <w:rFonts w:ascii="Verdana" w:hAnsi="Verdana"/>
        </w:rPr>
        <w:footnoteReference w:id="171"/>
      </w:r>
      <w:r w:rsidRPr="009F5A95">
        <w:rPr>
          <w:rFonts w:ascii="Verdana" w:hAnsi="Verdana"/>
          <w:sz w:val="20"/>
          <w:szCs w:val="20"/>
        </w:rPr>
        <w:t xml:space="preserve">. </w:t>
      </w:r>
    </w:p>
    <w:p w14:paraId="443759F0" w14:textId="77777777" w:rsidR="009805F2" w:rsidRDefault="009805F2" w:rsidP="009805F2">
      <w:pPr>
        <w:pStyle w:val="Prrafodelista"/>
        <w:spacing w:after="0" w:line="240" w:lineRule="auto"/>
        <w:ind w:left="0" w:right="6"/>
        <w:jc w:val="both"/>
        <w:rPr>
          <w:rFonts w:ascii="Verdana" w:eastAsia="Batang" w:hAnsi="Verdana" w:cs="Times"/>
          <w:sz w:val="20"/>
          <w:szCs w:val="20"/>
          <w:lang w:val="es-CR" w:eastAsia="es-CR"/>
        </w:rPr>
      </w:pPr>
    </w:p>
    <w:p w14:paraId="1A822FC5" w14:textId="63893553" w:rsidR="009805F2"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9F5A95">
        <w:rPr>
          <w:rFonts w:ascii="Verdana" w:hAnsi="Verdana"/>
          <w:sz w:val="20"/>
          <w:szCs w:val="20"/>
        </w:rPr>
        <w:t xml:space="preserve">La Corte destaca que la obra en cuestión se trató de un puente internacional. En ese sentido, resulta un emprendimiento relevante en cuanto al tránsito fronterizo y el comercio internacional. En una obra de tal tipo está involucrada la gestión y política estatal respecto de las fronteras territoriales, así como decisiones con implicancias económicas. Por ello, resulta involucrado el interés del Estado y su soberanía, así como la gestión gubernamental de </w:t>
      </w:r>
      <w:r w:rsidRPr="00533028">
        <w:rPr>
          <w:rFonts w:ascii="Verdana" w:hAnsi="Verdana"/>
          <w:sz w:val="20"/>
          <w:szCs w:val="20"/>
        </w:rPr>
        <w:t>interés</w:t>
      </w:r>
      <w:r w:rsidRPr="009F5A95">
        <w:rPr>
          <w:rFonts w:ascii="Verdana" w:hAnsi="Verdana"/>
          <w:sz w:val="20"/>
          <w:szCs w:val="20"/>
        </w:rPr>
        <w:t xml:space="preserve"> de la población argentina en general. </w:t>
      </w:r>
    </w:p>
    <w:p w14:paraId="0F6F5B68" w14:textId="77777777" w:rsidR="009805F2" w:rsidRPr="009F5A95" w:rsidRDefault="009805F2" w:rsidP="009805F2">
      <w:pPr>
        <w:pStyle w:val="Prrafodelista"/>
        <w:spacing w:line="240" w:lineRule="auto"/>
        <w:rPr>
          <w:rFonts w:ascii="Verdana" w:hAnsi="Verdana"/>
          <w:sz w:val="20"/>
          <w:szCs w:val="20"/>
        </w:rPr>
      </w:pPr>
    </w:p>
    <w:p w14:paraId="3E125928" w14:textId="77777777" w:rsidR="009805F2"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9F5A95">
        <w:rPr>
          <w:rFonts w:ascii="Verdana" w:hAnsi="Verdana"/>
          <w:sz w:val="20"/>
          <w:szCs w:val="20"/>
        </w:rPr>
        <w:t xml:space="preserve">La Corte reconoce, entonces, que la importancia de la obra ameritaba una evaluación cuidadosa, que tuviera en cuenta las implicancias expuestas. Ello, no obstante, no autoriza al </w:t>
      </w:r>
      <w:r>
        <w:rPr>
          <w:rFonts w:ascii="Verdana" w:hAnsi="Verdana"/>
          <w:sz w:val="20"/>
          <w:szCs w:val="20"/>
        </w:rPr>
        <w:t>E</w:t>
      </w:r>
      <w:r w:rsidRPr="009F5A95">
        <w:rPr>
          <w:rFonts w:ascii="Verdana" w:hAnsi="Verdana"/>
          <w:sz w:val="20"/>
          <w:szCs w:val="20"/>
        </w:rPr>
        <w:t xml:space="preserve">stado a inobservar el derecho de las comunidades a ser consultadas. Al respecto, debe destacarse que en su contestación, Argentina manifestó que el Instituto Nacional de Asuntos Indígenas había “considera[do] que la construcción del Puente Internacional sobre el río Pilcomayo Misión La Paz (Argentina) – Pozo Hondo (Paraguay), así como otros caminos y edificios diversos, modifica sensiblemente la forma de vida de las comunidades indígenas y que habría sido oportuna la celebración de consultas, así como un </w:t>
      </w:r>
      <w:r>
        <w:rPr>
          <w:rFonts w:ascii="Verdana" w:hAnsi="Verdana"/>
          <w:sz w:val="20"/>
          <w:szCs w:val="20"/>
        </w:rPr>
        <w:t>[</w:t>
      </w:r>
      <w:r w:rsidRPr="009F5A95">
        <w:rPr>
          <w:rFonts w:ascii="Verdana" w:hAnsi="Verdana"/>
          <w:sz w:val="20"/>
          <w:szCs w:val="20"/>
        </w:rPr>
        <w:t>i</w:t>
      </w:r>
      <w:r>
        <w:rPr>
          <w:rFonts w:ascii="Verdana" w:hAnsi="Verdana"/>
          <w:sz w:val="20"/>
          <w:szCs w:val="20"/>
        </w:rPr>
        <w:t>]</w:t>
      </w:r>
      <w:r w:rsidRPr="009F5A95">
        <w:rPr>
          <w:rFonts w:ascii="Verdana" w:hAnsi="Verdana"/>
          <w:sz w:val="20"/>
          <w:szCs w:val="20"/>
        </w:rPr>
        <w:t xml:space="preserve">nforme sobre el impacto medioambiental de esas obras”.  </w:t>
      </w:r>
    </w:p>
    <w:p w14:paraId="60F32C18" w14:textId="77777777" w:rsidR="009805F2" w:rsidRPr="009F5A95" w:rsidRDefault="009805F2" w:rsidP="009805F2">
      <w:pPr>
        <w:pStyle w:val="Prrafodelista"/>
        <w:spacing w:line="240" w:lineRule="auto"/>
        <w:rPr>
          <w:rFonts w:ascii="Verdana" w:hAnsi="Verdana"/>
          <w:sz w:val="20"/>
          <w:szCs w:val="20"/>
          <w:lang w:val="es-ES"/>
        </w:rPr>
      </w:pPr>
    </w:p>
    <w:p w14:paraId="6BEF8961" w14:textId="77777777" w:rsidR="009805F2"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9F5A95">
        <w:rPr>
          <w:rFonts w:ascii="Verdana" w:hAnsi="Verdana"/>
          <w:sz w:val="20"/>
          <w:szCs w:val="20"/>
          <w:lang w:val="es-ES"/>
        </w:rPr>
        <w:t>La Corte advierte, en concordancia con lo anterior, que en efecto no consta que hubiera existido proceso de consulta previa.</w:t>
      </w:r>
    </w:p>
    <w:p w14:paraId="70CF44FB" w14:textId="77777777" w:rsidR="009A7476" w:rsidRDefault="009A7476" w:rsidP="009805F2">
      <w:pPr>
        <w:pStyle w:val="Prrafodelista"/>
        <w:autoSpaceDE w:val="0"/>
        <w:autoSpaceDN w:val="0"/>
        <w:adjustRightInd w:val="0"/>
        <w:spacing w:after="0" w:line="240" w:lineRule="auto"/>
        <w:ind w:left="0"/>
        <w:jc w:val="both"/>
        <w:rPr>
          <w:rFonts w:ascii="Verdana" w:hAnsi="Verdana"/>
          <w:sz w:val="20"/>
          <w:szCs w:val="20"/>
          <w:lang w:val="es-ES"/>
        </w:rPr>
      </w:pPr>
    </w:p>
    <w:p w14:paraId="4E974488" w14:textId="77777777" w:rsidR="00433F72" w:rsidRDefault="00433F72" w:rsidP="009805F2">
      <w:pPr>
        <w:pStyle w:val="Prrafodelista"/>
        <w:autoSpaceDE w:val="0"/>
        <w:autoSpaceDN w:val="0"/>
        <w:adjustRightInd w:val="0"/>
        <w:spacing w:after="0" w:line="240" w:lineRule="auto"/>
        <w:ind w:left="0"/>
        <w:jc w:val="both"/>
        <w:rPr>
          <w:rFonts w:ascii="Verdana" w:hAnsi="Verdana"/>
          <w:sz w:val="20"/>
          <w:szCs w:val="20"/>
          <w:lang w:val="es-ES"/>
        </w:rPr>
      </w:pPr>
    </w:p>
    <w:p w14:paraId="2D27B519" w14:textId="77777777" w:rsidR="00433F72" w:rsidRDefault="00433F72" w:rsidP="009805F2">
      <w:pPr>
        <w:pStyle w:val="Prrafodelista"/>
        <w:autoSpaceDE w:val="0"/>
        <w:autoSpaceDN w:val="0"/>
        <w:adjustRightInd w:val="0"/>
        <w:spacing w:after="0" w:line="240" w:lineRule="auto"/>
        <w:ind w:left="0"/>
        <w:jc w:val="both"/>
        <w:rPr>
          <w:rFonts w:ascii="Verdana" w:hAnsi="Verdana"/>
          <w:sz w:val="20"/>
          <w:szCs w:val="20"/>
          <w:lang w:val="es-ES"/>
        </w:rPr>
      </w:pPr>
    </w:p>
    <w:p w14:paraId="5A96488B" w14:textId="77777777" w:rsidR="009805F2" w:rsidRPr="00FB4A90" w:rsidRDefault="009805F2" w:rsidP="009805F2">
      <w:pPr>
        <w:pStyle w:val="Prrafodelista"/>
        <w:spacing w:line="240" w:lineRule="auto"/>
        <w:ind w:left="851"/>
        <w:jc w:val="both"/>
        <w:outlineLvl w:val="3"/>
        <w:rPr>
          <w:rFonts w:ascii="Verdana" w:hAnsi="Verdana"/>
          <w:i/>
          <w:sz w:val="20"/>
          <w:szCs w:val="20"/>
        </w:rPr>
      </w:pPr>
      <w:bookmarkStart w:id="190" w:name="_Toc22224929"/>
      <w:bookmarkStart w:id="191" w:name="_Toc32218859"/>
      <w:bookmarkStart w:id="192" w:name="_Toc32227134"/>
      <w:bookmarkStart w:id="193" w:name="_Toc34337563"/>
      <w:r>
        <w:rPr>
          <w:rFonts w:ascii="Verdana" w:hAnsi="Verdana"/>
          <w:i/>
          <w:sz w:val="20"/>
          <w:szCs w:val="20"/>
        </w:rPr>
        <w:lastRenderedPageBreak/>
        <w:t xml:space="preserve">C.2.3 </w:t>
      </w:r>
      <w:r w:rsidRPr="00215F45">
        <w:rPr>
          <w:rFonts w:ascii="Verdana" w:hAnsi="Verdana"/>
          <w:i/>
          <w:sz w:val="20"/>
          <w:szCs w:val="20"/>
          <w:u w:val="single"/>
        </w:rPr>
        <w:t>Conclusión</w:t>
      </w:r>
      <w:bookmarkEnd w:id="190"/>
      <w:bookmarkEnd w:id="191"/>
      <w:bookmarkEnd w:id="192"/>
      <w:bookmarkEnd w:id="193"/>
    </w:p>
    <w:p w14:paraId="5269E3F9" w14:textId="77777777" w:rsidR="009805F2" w:rsidRPr="009F5A95" w:rsidRDefault="009805F2" w:rsidP="009805F2">
      <w:pPr>
        <w:pStyle w:val="Prrafodelista"/>
        <w:spacing w:line="240" w:lineRule="auto"/>
        <w:rPr>
          <w:rFonts w:ascii="Verdana" w:hAnsi="Verdana"/>
          <w:sz w:val="20"/>
          <w:szCs w:val="20"/>
          <w:lang w:val="es-ES"/>
        </w:rPr>
      </w:pPr>
    </w:p>
    <w:p w14:paraId="435B9B60" w14:textId="277D8310" w:rsidR="009805F2" w:rsidRPr="003631EB"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9F5A95">
        <w:rPr>
          <w:rFonts w:ascii="Verdana" w:hAnsi="Verdana"/>
          <w:sz w:val="20"/>
          <w:szCs w:val="20"/>
          <w:lang w:val="es-ES"/>
        </w:rPr>
        <w:t>Por los motivos expuestos, en relación con la construcción del puente internacional, la Corte concluye que el Estado incumplió su obligación de procurar mecanismos adecuados de consulta libre, previa e informada a las comunidades indígenas afectadas. Por ende, vulneró en su perjuicio el derecho de propiedad</w:t>
      </w:r>
      <w:r>
        <w:rPr>
          <w:rFonts w:ascii="Verdana" w:hAnsi="Verdana"/>
          <w:sz w:val="20"/>
          <w:szCs w:val="20"/>
          <w:lang w:val="es-ES"/>
        </w:rPr>
        <w:t xml:space="preserve"> y a la participación</w:t>
      </w:r>
      <w:r w:rsidRPr="009F5A95">
        <w:rPr>
          <w:rFonts w:ascii="Verdana" w:hAnsi="Verdana"/>
          <w:sz w:val="20"/>
          <w:szCs w:val="20"/>
          <w:lang w:val="es-ES"/>
        </w:rPr>
        <w:t>, en relación</w:t>
      </w:r>
      <w:r>
        <w:rPr>
          <w:rFonts w:ascii="Verdana" w:hAnsi="Verdana"/>
          <w:sz w:val="20"/>
          <w:szCs w:val="20"/>
          <w:lang w:val="es-ES"/>
        </w:rPr>
        <w:t xml:space="preserve"> con</w:t>
      </w:r>
      <w:r w:rsidRPr="009F5A95">
        <w:rPr>
          <w:rFonts w:ascii="Verdana" w:hAnsi="Verdana"/>
          <w:sz w:val="20"/>
          <w:szCs w:val="20"/>
          <w:lang w:val="es-ES"/>
        </w:rPr>
        <w:t xml:space="preserve"> las obligaciones estatales de respetar y garantizar los derechos. Por ese motivo, incumplió los artículos 21 y 23</w:t>
      </w:r>
      <w:r w:rsidR="003035C9">
        <w:rPr>
          <w:rFonts w:ascii="Verdana" w:hAnsi="Verdana"/>
          <w:sz w:val="20"/>
          <w:szCs w:val="20"/>
          <w:lang w:val="es-ES"/>
        </w:rPr>
        <w:t>.1</w:t>
      </w:r>
      <w:r w:rsidRPr="009F5A95">
        <w:rPr>
          <w:rFonts w:ascii="Verdana" w:hAnsi="Verdana"/>
          <w:sz w:val="20"/>
          <w:szCs w:val="20"/>
          <w:lang w:val="es-ES"/>
        </w:rPr>
        <w:t xml:space="preserve"> de la Convención, en relación con el artículo 1.1 del tratado.</w:t>
      </w:r>
    </w:p>
    <w:p w14:paraId="2C649C80" w14:textId="77777777" w:rsidR="009805F2" w:rsidRDefault="009805F2" w:rsidP="009805F2">
      <w:pPr>
        <w:pStyle w:val="Prrafodelista"/>
        <w:spacing w:after="0" w:line="240" w:lineRule="auto"/>
        <w:ind w:left="0" w:right="6"/>
        <w:jc w:val="both"/>
        <w:rPr>
          <w:rFonts w:ascii="Verdana" w:eastAsia="Batang" w:hAnsi="Verdana" w:cs="Times"/>
          <w:sz w:val="20"/>
          <w:szCs w:val="20"/>
          <w:lang w:val="es-CR" w:eastAsia="es-CR"/>
        </w:rPr>
      </w:pPr>
    </w:p>
    <w:p w14:paraId="2AD4A02F" w14:textId="77777777" w:rsidR="009805F2" w:rsidRPr="009F5A95"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9F5A95">
        <w:rPr>
          <w:rFonts w:ascii="Verdana" w:hAnsi="Verdana"/>
          <w:sz w:val="20"/>
          <w:szCs w:val="20"/>
          <w:lang w:val="es-ES"/>
        </w:rPr>
        <w:t xml:space="preserve">La Corte considera que no cuenta con elementos específicos para determinar una lesión al derecho a acceder a la información en forma adicional a la violación al derecho a la participación. Por ello, entiende que no corresponde pronunciarse sobre la alegada vulneración al artículo 13 de la Convención.  </w:t>
      </w:r>
    </w:p>
    <w:p w14:paraId="3A120211" w14:textId="77777777" w:rsidR="007C7E7C" w:rsidRDefault="007C7E7C" w:rsidP="007C7E7C">
      <w:pPr>
        <w:pStyle w:val="Prrafodelista"/>
        <w:spacing w:after="0" w:line="240" w:lineRule="auto"/>
        <w:rPr>
          <w:rFonts w:ascii="Verdana" w:hAnsi="Verdana"/>
          <w:sz w:val="20"/>
          <w:szCs w:val="20"/>
        </w:rPr>
      </w:pPr>
    </w:p>
    <w:p w14:paraId="5FE61B98" w14:textId="77777777" w:rsidR="007C7E7C" w:rsidRPr="008F640E" w:rsidRDefault="007C7E7C" w:rsidP="007C7E7C">
      <w:pPr>
        <w:pStyle w:val="Ttulo1"/>
        <w:spacing w:before="0" w:line="240" w:lineRule="auto"/>
        <w:jc w:val="center"/>
        <w:rPr>
          <w:rFonts w:ascii="Verdana" w:hAnsi="Verdana"/>
          <w:b w:val="0"/>
          <w:color w:val="auto"/>
          <w:sz w:val="20"/>
          <w:szCs w:val="20"/>
        </w:rPr>
      </w:pPr>
      <w:bookmarkStart w:id="194" w:name="_Toc30667636"/>
      <w:bookmarkStart w:id="195" w:name="_Toc32218860"/>
      <w:bookmarkStart w:id="196" w:name="_Toc32227135"/>
      <w:bookmarkStart w:id="197" w:name="_Toc34337564"/>
      <w:r w:rsidRPr="008F640E">
        <w:rPr>
          <w:rFonts w:ascii="Verdana" w:hAnsi="Verdana"/>
          <w:color w:val="auto"/>
          <w:sz w:val="20"/>
          <w:szCs w:val="20"/>
        </w:rPr>
        <w:t>VII.2</w:t>
      </w:r>
      <w:bookmarkEnd w:id="194"/>
      <w:bookmarkEnd w:id="195"/>
      <w:bookmarkEnd w:id="196"/>
      <w:bookmarkEnd w:id="197"/>
    </w:p>
    <w:p w14:paraId="19BD72C2" w14:textId="77777777" w:rsidR="007C7E7C" w:rsidRPr="008F640E" w:rsidRDefault="007C7E7C" w:rsidP="007C7E7C">
      <w:pPr>
        <w:pStyle w:val="Ttulo1"/>
        <w:spacing w:before="0" w:line="240" w:lineRule="auto"/>
        <w:jc w:val="center"/>
        <w:rPr>
          <w:rFonts w:ascii="Verdana" w:hAnsi="Verdana"/>
          <w:b w:val="0"/>
          <w:color w:val="auto"/>
          <w:sz w:val="20"/>
          <w:szCs w:val="20"/>
        </w:rPr>
      </w:pPr>
      <w:bookmarkStart w:id="198" w:name="_Toc30667637"/>
      <w:bookmarkStart w:id="199" w:name="_Toc32218861"/>
      <w:bookmarkStart w:id="200" w:name="_Toc32227136"/>
      <w:bookmarkStart w:id="201" w:name="_Toc34337565"/>
      <w:r>
        <w:rPr>
          <w:rFonts w:ascii="Verdana" w:hAnsi="Verdana"/>
          <w:color w:val="auto"/>
          <w:sz w:val="20"/>
          <w:szCs w:val="20"/>
        </w:rPr>
        <w:t>DERECHOS DE CIRCULACIÓN Y DE RESIDENCIA,</w:t>
      </w:r>
      <w:r w:rsidRPr="008F640E">
        <w:rPr>
          <w:rFonts w:ascii="Verdana" w:hAnsi="Verdana"/>
          <w:color w:val="auto"/>
          <w:sz w:val="20"/>
          <w:szCs w:val="20"/>
        </w:rPr>
        <w:t xml:space="preserve"> A UN MEDIO AMBIENTE SANO</w:t>
      </w:r>
      <w:r>
        <w:rPr>
          <w:rFonts w:ascii="Verdana" w:hAnsi="Verdana"/>
          <w:color w:val="auto"/>
          <w:sz w:val="20"/>
          <w:szCs w:val="20"/>
        </w:rPr>
        <w:t>,</w:t>
      </w:r>
      <w:r w:rsidRPr="008F640E">
        <w:rPr>
          <w:rFonts w:ascii="Verdana" w:hAnsi="Verdana"/>
          <w:color w:val="auto"/>
          <w:sz w:val="20"/>
          <w:szCs w:val="20"/>
        </w:rPr>
        <w:t xml:space="preserve"> A</w:t>
      </w:r>
      <w:r>
        <w:rPr>
          <w:rFonts w:ascii="Verdana" w:hAnsi="Verdana"/>
          <w:color w:val="auto"/>
          <w:sz w:val="20"/>
          <w:szCs w:val="20"/>
        </w:rPr>
        <w:t xml:space="preserve"> UNA</w:t>
      </w:r>
      <w:r w:rsidRPr="008F640E">
        <w:rPr>
          <w:rFonts w:ascii="Verdana" w:hAnsi="Verdana"/>
          <w:color w:val="auto"/>
          <w:sz w:val="20"/>
          <w:szCs w:val="20"/>
        </w:rPr>
        <w:t xml:space="preserve"> ALIMENTACIÓN ADECUADA</w:t>
      </w:r>
      <w:r>
        <w:rPr>
          <w:rFonts w:ascii="Verdana" w:hAnsi="Verdana"/>
          <w:color w:val="auto"/>
          <w:sz w:val="20"/>
          <w:szCs w:val="20"/>
        </w:rPr>
        <w:t>, AL AGUA Y A PARTICIPAR EN LA VIDA CULTURAL</w:t>
      </w:r>
      <w:r w:rsidRPr="008F640E">
        <w:rPr>
          <w:rFonts w:ascii="Verdana" w:hAnsi="Verdana"/>
          <w:color w:val="auto"/>
          <w:sz w:val="20"/>
          <w:szCs w:val="20"/>
        </w:rPr>
        <w:t xml:space="preserve"> EN RELACIÓN CON LAS OBLIGACIONES DE RESPETAR Y GARANTIZAR LOS DERECHOS</w:t>
      </w:r>
      <w:bookmarkEnd w:id="198"/>
      <w:bookmarkEnd w:id="199"/>
      <w:bookmarkEnd w:id="200"/>
      <w:r w:rsidRPr="00BF0EF1">
        <w:rPr>
          <w:rStyle w:val="Refdenotaalpie"/>
          <w:rFonts w:ascii="Verdana" w:hAnsi="Verdana"/>
          <w:b w:val="0"/>
          <w:color w:val="auto"/>
          <w:sz w:val="20"/>
        </w:rPr>
        <w:footnoteReference w:id="172"/>
      </w:r>
      <w:bookmarkEnd w:id="201"/>
      <w:r w:rsidRPr="008F640E">
        <w:rPr>
          <w:rFonts w:ascii="Verdana" w:hAnsi="Verdana"/>
          <w:color w:val="auto"/>
          <w:sz w:val="20"/>
          <w:szCs w:val="20"/>
        </w:rPr>
        <w:t xml:space="preserve"> </w:t>
      </w:r>
    </w:p>
    <w:p w14:paraId="13E83C78" w14:textId="77777777" w:rsidR="007C7E7C" w:rsidRPr="008F640E" w:rsidRDefault="007C7E7C" w:rsidP="007C7E7C">
      <w:pPr>
        <w:pStyle w:val="Ttulo2"/>
        <w:spacing w:before="0" w:line="240" w:lineRule="auto"/>
        <w:ind w:left="284"/>
        <w:rPr>
          <w:rFonts w:ascii="Verdana" w:hAnsi="Verdana"/>
          <w:b w:val="0"/>
          <w:color w:val="auto"/>
          <w:sz w:val="20"/>
          <w:szCs w:val="20"/>
        </w:rPr>
      </w:pPr>
    </w:p>
    <w:p w14:paraId="4F647FB7" w14:textId="77777777" w:rsidR="007C7E7C" w:rsidRPr="008F640E" w:rsidRDefault="007C7E7C" w:rsidP="007C7E7C">
      <w:pPr>
        <w:pStyle w:val="Ttulo2"/>
        <w:numPr>
          <w:ilvl w:val="0"/>
          <w:numId w:val="21"/>
        </w:numPr>
        <w:spacing w:before="0" w:line="240" w:lineRule="auto"/>
        <w:rPr>
          <w:rFonts w:ascii="Verdana" w:hAnsi="Verdana"/>
          <w:b w:val="0"/>
          <w:i/>
          <w:color w:val="auto"/>
          <w:sz w:val="20"/>
          <w:szCs w:val="20"/>
        </w:rPr>
      </w:pPr>
      <w:bookmarkStart w:id="202" w:name="_Toc24799268"/>
      <w:bookmarkStart w:id="203" w:name="_Toc25169777"/>
      <w:bookmarkStart w:id="204" w:name="_Toc30667639"/>
      <w:bookmarkStart w:id="205" w:name="_Toc32218863"/>
      <w:bookmarkStart w:id="206" w:name="_Toc32227138"/>
      <w:bookmarkStart w:id="207" w:name="_Toc34337566"/>
      <w:r w:rsidRPr="004E4A46">
        <w:rPr>
          <w:rFonts w:ascii="Verdana" w:hAnsi="Verdana"/>
          <w:i/>
          <w:color w:val="auto"/>
          <w:sz w:val="20"/>
          <w:szCs w:val="20"/>
          <w:u w:val="single"/>
        </w:rPr>
        <w:t>Argumentos de las partes</w:t>
      </w:r>
      <w:r w:rsidRPr="000350C2">
        <w:rPr>
          <w:rStyle w:val="Refdenotaalpie"/>
          <w:rFonts w:ascii="Verdana" w:hAnsi="Verdana"/>
          <w:b w:val="0"/>
          <w:color w:val="auto"/>
          <w:sz w:val="20"/>
        </w:rPr>
        <w:footnoteReference w:id="173"/>
      </w:r>
      <w:bookmarkEnd w:id="202"/>
      <w:bookmarkEnd w:id="203"/>
      <w:bookmarkEnd w:id="204"/>
      <w:bookmarkEnd w:id="205"/>
      <w:bookmarkEnd w:id="206"/>
      <w:bookmarkEnd w:id="207"/>
    </w:p>
    <w:p w14:paraId="5D846B31" w14:textId="77777777" w:rsidR="007C7E7C" w:rsidRDefault="007C7E7C" w:rsidP="007C7E7C">
      <w:pPr>
        <w:pStyle w:val="Prrafodelista"/>
        <w:spacing w:after="0" w:line="240" w:lineRule="auto"/>
        <w:ind w:left="0" w:right="6"/>
        <w:jc w:val="both"/>
        <w:rPr>
          <w:rFonts w:ascii="Verdana" w:eastAsia="Batang" w:hAnsi="Verdana" w:cs="Times"/>
          <w:sz w:val="20"/>
          <w:szCs w:val="20"/>
          <w:lang w:val="es-CR" w:eastAsia="es-CR"/>
        </w:rPr>
      </w:pPr>
    </w:p>
    <w:p w14:paraId="3C111D3A" w14:textId="7E005130" w:rsidR="007C7E7C" w:rsidRPr="009F5A95" w:rsidRDefault="007C7E7C" w:rsidP="007C7E7C">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9F5A95">
        <w:rPr>
          <w:rFonts w:ascii="Verdana" w:hAnsi="Verdana"/>
          <w:sz w:val="20"/>
          <w:szCs w:val="20"/>
        </w:rPr>
        <w:t xml:space="preserve">Los </w:t>
      </w:r>
      <w:r w:rsidRPr="009F5A95">
        <w:rPr>
          <w:rFonts w:ascii="Verdana" w:hAnsi="Verdana"/>
          <w:b/>
          <w:i/>
          <w:sz w:val="20"/>
          <w:szCs w:val="20"/>
        </w:rPr>
        <w:t>representantes</w:t>
      </w:r>
      <w:r w:rsidRPr="009F5A95">
        <w:rPr>
          <w:rFonts w:ascii="Verdana" w:hAnsi="Verdana"/>
          <w:b/>
          <w:sz w:val="20"/>
          <w:szCs w:val="20"/>
        </w:rPr>
        <w:t xml:space="preserve"> </w:t>
      </w:r>
      <w:r w:rsidRPr="009F5A95">
        <w:rPr>
          <w:rFonts w:ascii="Verdana" w:hAnsi="Verdana"/>
          <w:sz w:val="20"/>
          <w:szCs w:val="20"/>
        </w:rPr>
        <w:t xml:space="preserve">alegaron que la instalación de alambrados por parte de terceros implicó una </w:t>
      </w:r>
      <w:r>
        <w:rPr>
          <w:rFonts w:ascii="Verdana" w:hAnsi="Verdana"/>
          <w:sz w:val="20"/>
          <w:szCs w:val="20"/>
        </w:rPr>
        <w:t>“</w:t>
      </w:r>
      <w:r w:rsidRPr="009F5A95">
        <w:rPr>
          <w:rFonts w:ascii="Verdana" w:hAnsi="Verdana"/>
          <w:sz w:val="20"/>
          <w:szCs w:val="20"/>
        </w:rPr>
        <w:t>interferencia ilegítima e injustificada</w:t>
      </w:r>
      <w:r>
        <w:rPr>
          <w:rFonts w:ascii="Verdana" w:hAnsi="Verdana"/>
          <w:sz w:val="20"/>
          <w:szCs w:val="20"/>
        </w:rPr>
        <w:t>”</w:t>
      </w:r>
      <w:r w:rsidRPr="009F5A95">
        <w:rPr>
          <w:rFonts w:ascii="Verdana" w:hAnsi="Verdana"/>
          <w:sz w:val="20"/>
          <w:szCs w:val="20"/>
        </w:rPr>
        <w:t xml:space="preserve"> en el ejercicio de la libertad de circulación de las comunidades indígenas, que no tuvo respuesta por parte de las autoridades.</w:t>
      </w:r>
      <w:r>
        <w:rPr>
          <w:rFonts w:ascii="Verdana" w:hAnsi="Verdana"/>
          <w:sz w:val="20"/>
          <w:szCs w:val="20"/>
        </w:rPr>
        <w:t xml:space="preserve"> Afirmaron, por ello, que hubo una violación del artículo 22 de la Convención.</w:t>
      </w:r>
      <w:r w:rsidRPr="009F5A95">
        <w:rPr>
          <w:rFonts w:ascii="Verdana" w:hAnsi="Verdana"/>
          <w:sz w:val="20"/>
          <w:szCs w:val="20"/>
        </w:rPr>
        <w:t xml:space="preserve"> Además, sostuvieron que el Estado vulneró “los derechos al medio ambiente</w:t>
      </w:r>
      <w:r w:rsidR="00D10B17">
        <w:rPr>
          <w:rFonts w:ascii="Verdana" w:hAnsi="Verdana"/>
          <w:sz w:val="20"/>
          <w:szCs w:val="20"/>
        </w:rPr>
        <w:t xml:space="preserve"> [sano]</w:t>
      </w:r>
      <w:r w:rsidRPr="009F5A95">
        <w:rPr>
          <w:rFonts w:ascii="Verdana" w:hAnsi="Verdana"/>
          <w:sz w:val="20"/>
          <w:szCs w:val="20"/>
        </w:rPr>
        <w:t>, a la identidad cultural y a la alimentación</w:t>
      </w:r>
      <w:r w:rsidR="00D10B17">
        <w:rPr>
          <w:rFonts w:ascii="Verdana" w:hAnsi="Verdana"/>
          <w:sz w:val="20"/>
          <w:szCs w:val="20"/>
        </w:rPr>
        <w:t xml:space="preserve"> [adecuada]</w:t>
      </w:r>
      <w:r>
        <w:rPr>
          <w:rFonts w:ascii="Verdana" w:hAnsi="Verdana"/>
          <w:sz w:val="20"/>
          <w:szCs w:val="20"/>
        </w:rPr>
        <w:t>”</w:t>
      </w:r>
      <w:r w:rsidRPr="009F5A95">
        <w:rPr>
          <w:rFonts w:ascii="Verdana" w:hAnsi="Verdana"/>
          <w:sz w:val="20"/>
          <w:szCs w:val="20"/>
        </w:rPr>
        <w:t>, como derechos autónomos, que entendieron contenidos en el artículo 26 de la Convención</w:t>
      </w:r>
      <w:r w:rsidRPr="008F640E">
        <w:rPr>
          <w:rStyle w:val="Refdenotaalpie"/>
          <w:rFonts w:ascii="Verdana" w:hAnsi="Verdana"/>
          <w:sz w:val="20"/>
        </w:rPr>
        <w:footnoteReference w:id="174"/>
      </w:r>
      <w:r w:rsidRPr="009F5A95">
        <w:rPr>
          <w:rFonts w:ascii="Verdana" w:hAnsi="Verdana"/>
          <w:sz w:val="20"/>
          <w:szCs w:val="20"/>
        </w:rPr>
        <w:t xml:space="preserve">. Adujeron que estos </w:t>
      </w:r>
      <w:r w:rsidRPr="009F5A95">
        <w:rPr>
          <w:rFonts w:ascii="Verdana" w:hAnsi="Verdana"/>
          <w:sz w:val="20"/>
          <w:szCs w:val="20"/>
        </w:rPr>
        <w:lastRenderedPageBreak/>
        <w:t xml:space="preserve">derechos resultaron </w:t>
      </w:r>
      <w:r>
        <w:rPr>
          <w:rFonts w:ascii="Verdana" w:hAnsi="Verdana"/>
          <w:sz w:val="20"/>
          <w:szCs w:val="20"/>
        </w:rPr>
        <w:t>menoscabados</w:t>
      </w:r>
      <w:r w:rsidRPr="009F5A95">
        <w:rPr>
          <w:rFonts w:ascii="Verdana" w:hAnsi="Verdana"/>
          <w:sz w:val="20"/>
          <w:szCs w:val="20"/>
        </w:rPr>
        <w:t xml:space="preserve"> a partir del con</w:t>
      </w:r>
      <w:r>
        <w:rPr>
          <w:rFonts w:ascii="Verdana" w:hAnsi="Verdana"/>
          <w:sz w:val="20"/>
          <w:szCs w:val="20"/>
        </w:rPr>
        <w:t>ocimiento</w:t>
      </w:r>
      <w:r w:rsidRPr="009F5A95">
        <w:rPr>
          <w:rFonts w:ascii="Verdana" w:hAnsi="Verdana"/>
          <w:sz w:val="20"/>
          <w:szCs w:val="20"/>
        </w:rPr>
        <w:t xml:space="preserve"> y</w:t>
      </w:r>
      <w:r>
        <w:rPr>
          <w:rFonts w:ascii="Verdana" w:hAnsi="Verdana"/>
          <w:sz w:val="20"/>
          <w:szCs w:val="20"/>
        </w:rPr>
        <w:t xml:space="preserve"> falta de actuación suficiente</w:t>
      </w:r>
      <w:r w:rsidRPr="009F5A95">
        <w:rPr>
          <w:rFonts w:ascii="Verdana" w:hAnsi="Verdana"/>
          <w:sz w:val="20"/>
          <w:szCs w:val="20"/>
        </w:rPr>
        <w:t xml:space="preserve"> del </w:t>
      </w:r>
      <w:r>
        <w:rPr>
          <w:rFonts w:ascii="Verdana" w:hAnsi="Verdana"/>
          <w:sz w:val="20"/>
          <w:szCs w:val="20"/>
        </w:rPr>
        <w:t xml:space="preserve">Estado respecto </w:t>
      </w:r>
      <w:r w:rsidRPr="009F5A95">
        <w:rPr>
          <w:rFonts w:ascii="Verdana" w:hAnsi="Verdana"/>
          <w:sz w:val="20"/>
          <w:szCs w:val="20"/>
        </w:rPr>
        <w:t>a</w:t>
      </w:r>
      <w:r>
        <w:rPr>
          <w:rFonts w:ascii="Verdana" w:hAnsi="Verdana"/>
          <w:sz w:val="20"/>
          <w:szCs w:val="20"/>
        </w:rPr>
        <w:t xml:space="preserve"> la presencia y a</w:t>
      </w:r>
      <w:r w:rsidRPr="009F5A95">
        <w:rPr>
          <w:rFonts w:ascii="Verdana" w:hAnsi="Verdana"/>
          <w:sz w:val="20"/>
          <w:szCs w:val="20"/>
        </w:rPr>
        <w:t>ccionar de particulares que dañaron la integridad del territorio a través de la instalación de alambrados</w:t>
      </w:r>
      <w:r>
        <w:rPr>
          <w:rFonts w:ascii="Verdana" w:hAnsi="Verdana"/>
          <w:sz w:val="20"/>
          <w:szCs w:val="20"/>
        </w:rPr>
        <w:t xml:space="preserve"> y el pastoreo de ganado vacuno, como también por</w:t>
      </w:r>
      <w:r w:rsidRPr="009F5A95">
        <w:rPr>
          <w:rFonts w:ascii="Verdana" w:hAnsi="Verdana"/>
          <w:sz w:val="20"/>
          <w:szCs w:val="20"/>
        </w:rPr>
        <w:t xml:space="preserve"> la tala </w:t>
      </w:r>
      <w:r>
        <w:rPr>
          <w:rFonts w:ascii="Verdana" w:hAnsi="Verdana"/>
          <w:sz w:val="20"/>
          <w:szCs w:val="20"/>
        </w:rPr>
        <w:t xml:space="preserve">ilegal </w:t>
      </w:r>
      <w:r w:rsidRPr="009F5A95">
        <w:rPr>
          <w:rFonts w:ascii="Verdana" w:hAnsi="Verdana"/>
          <w:sz w:val="20"/>
          <w:szCs w:val="20"/>
        </w:rPr>
        <w:t>de maderas.</w:t>
      </w:r>
    </w:p>
    <w:p w14:paraId="779B1F85" w14:textId="77777777" w:rsidR="007C7E7C" w:rsidRDefault="007C7E7C" w:rsidP="007C7E7C">
      <w:pPr>
        <w:pStyle w:val="Prrafodelista"/>
        <w:spacing w:after="0" w:line="240" w:lineRule="auto"/>
        <w:ind w:left="0" w:right="6"/>
        <w:jc w:val="both"/>
        <w:rPr>
          <w:rFonts w:ascii="Verdana" w:eastAsia="Batang" w:hAnsi="Verdana" w:cs="Times"/>
          <w:sz w:val="20"/>
          <w:szCs w:val="20"/>
          <w:lang w:val="es-CR" w:eastAsia="es-CR"/>
        </w:rPr>
      </w:pPr>
    </w:p>
    <w:p w14:paraId="15152F46" w14:textId="0549F954" w:rsidR="007C7E7C" w:rsidRPr="009F5A95" w:rsidRDefault="007C7E7C" w:rsidP="007C7E7C">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9F5A95">
        <w:rPr>
          <w:rFonts w:ascii="Verdana" w:hAnsi="Verdana"/>
          <w:sz w:val="20"/>
          <w:szCs w:val="20"/>
        </w:rPr>
        <w:t xml:space="preserve">En particular, en cuanto al </w:t>
      </w:r>
      <w:r w:rsidRPr="009F5A95">
        <w:rPr>
          <w:rFonts w:ascii="Verdana" w:hAnsi="Verdana"/>
          <w:i/>
          <w:sz w:val="20"/>
          <w:szCs w:val="20"/>
        </w:rPr>
        <w:t>derecho a un medio ambiente sano</w:t>
      </w:r>
      <w:r w:rsidRPr="009F5A95">
        <w:rPr>
          <w:rFonts w:ascii="Verdana" w:hAnsi="Verdana"/>
          <w:sz w:val="20"/>
          <w:szCs w:val="20"/>
        </w:rPr>
        <w:t>, aseveraron que “la degradación ambiental del territorio reclamado” ha sido “un continuo y profundo</w:t>
      </w:r>
      <w:r>
        <w:rPr>
          <w:rFonts w:ascii="Verdana" w:hAnsi="Verdana"/>
          <w:sz w:val="20"/>
          <w:szCs w:val="20"/>
        </w:rPr>
        <w:t xml:space="preserve"> proceso</w:t>
      </w:r>
      <w:r w:rsidRPr="009F5A95">
        <w:rPr>
          <w:rFonts w:ascii="Verdana" w:hAnsi="Verdana"/>
          <w:sz w:val="20"/>
          <w:szCs w:val="20"/>
        </w:rPr>
        <w:t xml:space="preserve">” que </w:t>
      </w:r>
      <w:r>
        <w:rPr>
          <w:rFonts w:ascii="Verdana" w:hAnsi="Verdana"/>
          <w:sz w:val="20"/>
          <w:szCs w:val="20"/>
        </w:rPr>
        <w:t>“</w:t>
      </w:r>
      <w:r w:rsidRPr="009F5A95">
        <w:rPr>
          <w:rFonts w:ascii="Verdana" w:hAnsi="Verdana"/>
          <w:sz w:val="20"/>
          <w:szCs w:val="20"/>
        </w:rPr>
        <w:t>comenzó en los albores del siglo XX, con la introducción de</w:t>
      </w:r>
      <w:r>
        <w:rPr>
          <w:rFonts w:ascii="Verdana" w:hAnsi="Verdana"/>
          <w:sz w:val="20"/>
          <w:szCs w:val="20"/>
        </w:rPr>
        <w:t>l</w:t>
      </w:r>
      <w:r w:rsidRPr="009F5A95">
        <w:rPr>
          <w:rFonts w:ascii="Verdana" w:hAnsi="Verdana"/>
          <w:sz w:val="20"/>
          <w:szCs w:val="20"/>
        </w:rPr>
        <w:t xml:space="preserve"> ganado mayor por parte de los criollos colonizadores”.</w:t>
      </w:r>
      <w:r>
        <w:rPr>
          <w:rFonts w:ascii="Verdana" w:hAnsi="Verdana"/>
          <w:sz w:val="20"/>
          <w:szCs w:val="20"/>
        </w:rPr>
        <w:t xml:space="preserve"> </w:t>
      </w:r>
      <w:r w:rsidRPr="009F5A95">
        <w:rPr>
          <w:rFonts w:ascii="Verdana" w:hAnsi="Verdana"/>
          <w:sz w:val="20"/>
          <w:szCs w:val="20"/>
        </w:rPr>
        <w:t>Afirmaron que “producto del sobrepastoreo del ganado bovino”, la “tala ilegal de los bosques” y los “cercos de las familias criollas” se ha “degrada[do]” el medio ambiente. Explicaron que “</w:t>
      </w:r>
      <w:r>
        <w:rPr>
          <w:rFonts w:ascii="Verdana" w:hAnsi="Verdana"/>
          <w:sz w:val="20"/>
          <w:szCs w:val="20"/>
        </w:rPr>
        <w:t>[</w:t>
      </w:r>
      <w:r w:rsidRPr="009F5A95">
        <w:rPr>
          <w:rFonts w:ascii="Verdana" w:hAnsi="Verdana"/>
          <w:sz w:val="20"/>
          <w:szCs w:val="20"/>
        </w:rPr>
        <w:t>e</w:t>
      </w:r>
      <w:r>
        <w:rPr>
          <w:rFonts w:ascii="Verdana" w:hAnsi="Verdana"/>
          <w:sz w:val="20"/>
          <w:szCs w:val="20"/>
        </w:rPr>
        <w:t>]</w:t>
      </w:r>
      <w:r w:rsidRPr="009F5A95">
        <w:rPr>
          <w:rFonts w:ascii="Verdana" w:hAnsi="Verdana"/>
          <w:sz w:val="20"/>
          <w:szCs w:val="20"/>
        </w:rPr>
        <w:t xml:space="preserve">l ganado bovino ha depredado la vegetación herbácea y arbórea, lo que destruye la capacidad de irrigación y regeneración del suelo”, y que lo anterior “ha desencadenado procesos de desertificación y carcavamiento”. Agregaron que “la tala ilegal de los bosques nativos, en su modalidad ‘minera’ –de extracción indiscriminada y no sustentable- genera una profunda afectación en la capacidad de renovación y mantenimiento de las masas boscosas”. Señalaron también que la pérdida de flora impacta en el hábitat natural de fauna </w:t>
      </w:r>
      <w:r>
        <w:rPr>
          <w:rFonts w:ascii="Verdana" w:hAnsi="Verdana"/>
          <w:sz w:val="20"/>
          <w:szCs w:val="20"/>
        </w:rPr>
        <w:t>silvestre,</w:t>
      </w:r>
      <w:r w:rsidRPr="009F5A95">
        <w:rPr>
          <w:rFonts w:ascii="Verdana" w:hAnsi="Verdana"/>
          <w:sz w:val="20"/>
          <w:szCs w:val="20"/>
        </w:rPr>
        <w:t xml:space="preserve"> la que además compite con el ganado para el consumo de alimento y agua</w:t>
      </w:r>
      <w:r>
        <w:rPr>
          <w:rFonts w:ascii="Verdana" w:hAnsi="Verdana"/>
          <w:sz w:val="20"/>
          <w:szCs w:val="20"/>
        </w:rPr>
        <w:t>.</w:t>
      </w:r>
      <w:r w:rsidRPr="009F5A95">
        <w:rPr>
          <w:rFonts w:ascii="Verdana" w:hAnsi="Verdana"/>
          <w:sz w:val="20"/>
          <w:szCs w:val="20"/>
        </w:rPr>
        <w:t xml:space="preserve"> </w:t>
      </w:r>
      <w:r>
        <w:rPr>
          <w:rFonts w:ascii="Verdana" w:hAnsi="Verdana"/>
          <w:sz w:val="20"/>
          <w:szCs w:val="20"/>
        </w:rPr>
        <w:t>Agregaron que l</w:t>
      </w:r>
      <w:r w:rsidRPr="009F5A95">
        <w:rPr>
          <w:rFonts w:ascii="Verdana" w:hAnsi="Verdana"/>
          <w:sz w:val="20"/>
          <w:szCs w:val="20"/>
        </w:rPr>
        <w:t>a pérdida de flora y fauna autóctonas se ha relacionado además con la instalación de alambrados en el territorio, que “constituyen obstáculos naturales” para el desarrollo de aquellas</w:t>
      </w:r>
      <w:r w:rsidRPr="008F640E">
        <w:rPr>
          <w:rStyle w:val="Refdenotaalpie"/>
          <w:rFonts w:ascii="Verdana" w:hAnsi="Verdana"/>
          <w:sz w:val="20"/>
        </w:rPr>
        <w:footnoteReference w:id="175"/>
      </w:r>
      <w:r w:rsidRPr="009F5A95">
        <w:rPr>
          <w:rFonts w:ascii="Verdana" w:hAnsi="Verdana"/>
          <w:sz w:val="20"/>
          <w:szCs w:val="20"/>
        </w:rPr>
        <w:t>.</w:t>
      </w:r>
    </w:p>
    <w:p w14:paraId="68C350F1" w14:textId="77777777" w:rsidR="007C7E7C" w:rsidRDefault="007C7E7C" w:rsidP="007C7E7C">
      <w:pPr>
        <w:pStyle w:val="Prrafodelista"/>
        <w:spacing w:after="0" w:line="240" w:lineRule="auto"/>
        <w:ind w:left="0" w:right="6"/>
        <w:jc w:val="both"/>
        <w:rPr>
          <w:rFonts w:ascii="Verdana" w:eastAsia="Batang" w:hAnsi="Verdana" w:cs="Times"/>
          <w:sz w:val="20"/>
          <w:szCs w:val="20"/>
          <w:lang w:val="es-CR" w:eastAsia="es-CR"/>
        </w:rPr>
      </w:pPr>
    </w:p>
    <w:p w14:paraId="28051674" w14:textId="58A67E4A" w:rsidR="007C7E7C" w:rsidRPr="009F5A95" w:rsidRDefault="007C7E7C" w:rsidP="007C7E7C">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9F5A95">
        <w:rPr>
          <w:rFonts w:ascii="Verdana" w:hAnsi="Verdana"/>
          <w:sz w:val="20"/>
          <w:szCs w:val="20"/>
        </w:rPr>
        <w:t xml:space="preserve">Además, indicaron que “cómo consecuencia de la degradación ambiental” y el “cercamiento” de los criollos, “se verifica una vulneración del </w:t>
      </w:r>
      <w:r w:rsidRPr="009F5A95">
        <w:rPr>
          <w:rFonts w:ascii="Verdana" w:hAnsi="Verdana"/>
          <w:i/>
          <w:sz w:val="20"/>
          <w:szCs w:val="20"/>
        </w:rPr>
        <w:t>derecho a la alimentación</w:t>
      </w:r>
      <w:r w:rsidRPr="009F5A95">
        <w:rPr>
          <w:rFonts w:ascii="Verdana" w:hAnsi="Verdana"/>
          <w:sz w:val="20"/>
          <w:szCs w:val="20"/>
        </w:rPr>
        <w:t xml:space="preserve"> de las comunidades”. Especificaron que el ganado de pobladores criollos: a) “se alimenta de los mismos frutos que las comunidades indígenas, como la algarroba[,] el mistol y el chañar”; b) “ramonea […] los árboles palatables como el algarrobo y el quebracho” y come “sus renovales, impidiendo su regeneración”; c) “consume el agua que las propias comunidades requieren para su subsistencia, verificándose muchas veces situaciones en que el agua es contaminada por las heces de los animales”; d) genera la disminución de fauna silvestre, “que tradicionalmente ha sido objeto de caza</w:t>
      </w:r>
      <w:r>
        <w:rPr>
          <w:rFonts w:ascii="Verdana" w:hAnsi="Verdana"/>
          <w:sz w:val="20"/>
          <w:szCs w:val="20"/>
        </w:rPr>
        <w:t xml:space="preserve"> y parte importante de la dieta de las comunidades</w:t>
      </w:r>
      <w:r w:rsidR="00F74D33">
        <w:rPr>
          <w:rFonts w:ascii="Verdana" w:hAnsi="Verdana"/>
          <w:sz w:val="20"/>
          <w:szCs w:val="20"/>
        </w:rPr>
        <w:t>”, y e</w:t>
      </w:r>
      <w:r w:rsidRPr="009F5A95">
        <w:rPr>
          <w:rFonts w:ascii="Verdana" w:hAnsi="Verdana"/>
          <w:sz w:val="20"/>
          <w:szCs w:val="20"/>
        </w:rPr>
        <w:t xml:space="preserve">) </w:t>
      </w:r>
      <w:r>
        <w:rPr>
          <w:rFonts w:ascii="Verdana" w:hAnsi="Verdana"/>
          <w:sz w:val="20"/>
          <w:szCs w:val="20"/>
        </w:rPr>
        <w:t>“</w:t>
      </w:r>
      <w:r w:rsidRPr="009F5A95">
        <w:rPr>
          <w:rFonts w:ascii="Verdana" w:hAnsi="Verdana"/>
          <w:sz w:val="20"/>
          <w:szCs w:val="20"/>
        </w:rPr>
        <w:t xml:space="preserve">destruye </w:t>
      </w:r>
      <w:r>
        <w:rPr>
          <w:rFonts w:ascii="Verdana" w:hAnsi="Verdana"/>
          <w:sz w:val="20"/>
          <w:szCs w:val="20"/>
        </w:rPr>
        <w:t xml:space="preserve">los </w:t>
      </w:r>
      <w:r w:rsidRPr="009F5A95">
        <w:rPr>
          <w:rFonts w:ascii="Verdana" w:hAnsi="Verdana"/>
          <w:sz w:val="20"/>
          <w:szCs w:val="20"/>
        </w:rPr>
        <w:t xml:space="preserve">cercos que las comunidades indígenas </w:t>
      </w:r>
      <w:r>
        <w:rPr>
          <w:rFonts w:ascii="Verdana" w:hAnsi="Verdana"/>
          <w:sz w:val="20"/>
          <w:szCs w:val="20"/>
        </w:rPr>
        <w:t>levant</w:t>
      </w:r>
      <w:r w:rsidRPr="009F5A95">
        <w:rPr>
          <w:rFonts w:ascii="Verdana" w:hAnsi="Verdana"/>
          <w:sz w:val="20"/>
          <w:szCs w:val="20"/>
        </w:rPr>
        <w:t xml:space="preserve">an para sus cultivos familiares”. Por otro lado, </w:t>
      </w:r>
      <w:r>
        <w:rPr>
          <w:rFonts w:ascii="Verdana" w:hAnsi="Verdana"/>
          <w:sz w:val="20"/>
          <w:szCs w:val="20"/>
        </w:rPr>
        <w:t xml:space="preserve">afirmaron que </w:t>
      </w:r>
      <w:r w:rsidRPr="009F5A95">
        <w:rPr>
          <w:rFonts w:ascii="Verdana" w:hAnsi="Verdana"/>
          <w:sz w:val="20"/>
          <w:szCs w:val="20"/>
        </w:rPr>
        <w:t xml:space="preserve">los alambrados de familias criollas: a) </w:t>
      </w:r>
      <w:r>
        <w:rPr>
          <w:rFonts w:ascii="Verdana" w:hAnsi="Verdana"/>
          <w:sz w:val="20"/>
          <w:szCs w:val="20"/>
        </w:rPr>
        <w:t>“</w:t>
      </w:r>
      <w:r w:rsidRPr="009F5A95">
        <w:rPr>
          <w:rFonts w:ascii="Verdana" w:hAnsi="Verdana"/>
          <w:sz w:val="20"/>
          <w:szCs w:val="20"/>
        </w:rPr>
        <w:t xml:space="preserve">afectan el tránsito de fauna silvestre confinándola a lugares alejados”; b) “restringen la libertad de circulación de las comunidades impidiendo sus circuitos tradicionales de circulación y caza”, y </w:t>
      </w:r>
      <w:r>
        <w:rPr>
          <w:rFonts w:ascii="Verdana" w:hAnsi="Verdana"/>
          <w:sz w:val="20"/>
          <w:szCs w:val="20"/>
        </w:rPr>
        <w:t>c</w:t>
      </w:r>
      <w:r w:rsidRPr="009F5A95">
        <w:rPr>
          <w:rFonts w:ascii="Verdana" w:hAnsi="Verdana"/>
          <w:sz w:val="20"/>
          <w:szCs w:val="20"/>
        </w:rPr>
        <w:t xml:space="preserve">) </w:t>
      </w:r>
      <w:r>
        <w:rPr>
          <w:rFonts w:ascii="Verdana" w:hAnsi="Verdana"/>
          <w:sz w:val="20"/>
          <w:szCs w:val="20"/>
        </w:rPr>
        <w:t>“</w:t>
      </w:r>
      <w:r w:rsidRPr="009F5A95">
        <w:rPr>
          <w:rFonts w:ascii="Verdana" w:hAnsi="Verdana"/>
          <w:sz w:val="20"/>
          <w:szCs w:val="20"/>
        </w:rPr>
        <w:t xml:space="preserve">muchas veces </w:t>
      </w:r>
      <w:r>
        <w:rPr>
          <w:rFonts w:ascii="Verdana" w:hAnsi="Verdana"/>
          <w:sz w:val="20"/>
          <w:szCs w:val="20"/>
        </w:rPr>
        <w:t xml:space="preserve">[…] </w:t>
      </w:r>
      <w:r w:rsidRPr="009F5A95">
        <w:rPr>
          <w:rFonts w:ascii="Verdana" w:hAnsi="Verdana"/>
          <w:sz w:val="20"/>
          <w:szCs w:val="20"/>
        </w:rPr>
        <w:t>encierran en sí reservorios de agua […] y algarrobales completos”.</w:t>
      </w:r>
      <w:r w:rsidRPr="009F5A95">
        <w:rPr>
          <w:rFonts w:ascii="Verdana" w:hAnsi="Verdana"/>
          <w:b/>
          <w:sz w:val="16"/>
          <w:szCs w:val="16"/>
        </w:rPr>
        <w:t xml:space="preserve"> </w:t>
      </w:r>
    </w:p>
    <w:p w14:paraId="663B1F01" w14:textId="77777777" w:rsidR="007C7E7C" w:rsidRDefault="007C7E7C" w:rsidP="007C7E7C">
      <w:pPr>
        <w:pStyle w:val="Prrafodelista"/>
        <w:spacing w:after="0" w:line="240" w:lineRule="auto"/>
        <w:ind w:left="0" w:right="6"/>
        <w:jc w:val="both"/>
        <w:rPr>
          <w:rFonts w:ascii="Verdana" w:eastAsia="Batang" w:hAnsi="Verdana" w:cs="Times"/>
          <w:sz w:val="20"/>
          <w:szCs w:val="20"/>
          <w:lang w:val="es-CR" w:eastAsia="es-CR"/>
        </w:rPr>
      </w:pPr>
    </w:p>
    <w:p w14:paraId="0521526B" w14:textId="77777777" w:rsidR="007C7E7C" w:rsidRDefault="007C7E7C" w:rsidP="007C7E7C">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9F5A95">
        <w:rPr>
          <w:rFonts w:ascii="Verdana" w:hAnsi="Verdana"/>
          <w:sz w:val="20"/>
          <w:szCs w:val="20"/>
        </w:rPr>
        <w:t xml:space="preserve">Los representantes agregaron que “la presencia de cientos de familias criollas en [el] territorio ancestral, la degradación ambiental […] y la alteración de los campos de caza y recolección de las comunidades [indígenas] han tenido un efecto profundo en su </w:t>
      </w:r>
      <w:r w:rsidRPr="009F5A95">
        <w:rPr>
          <w:rFonts w:ascii="Verdana" w:hAnsi="Verdana"/>
          <w:i/>
          <w:sz w:val="20"/>
          <w:szCs w:val="20"/>
        </w:rPr>
        <w:t>identidad cultural</w:t>
      </w:r>
      <w:r w:rsidRPr="009F5A95">
        <w:rPr>
          <w:rFonts w:ascii="Verdana" w:hAnsi="Verdana"/>
          <w:sz w:val="20"/>
          <w:szCs w:val="20"/>
        </w:rPr>
        <w:t xml:space="preserve"> y prácticas tradicionales”. Afirmaron que lo anterior ha provocado en las comunidades “profundas alteraciones” en </w:t>
      </w:r>
      <w:r>
        <w:rPr>
          <w:rFonts w:ascii="Verdana" w:hAnsi="Verdana"/>
          <w:sz w:val="20"/>
          <w:szCs w:val="20"/>
        </w:rPr>
        <w:t>“sus c</w:t>
      </w:r>
      <w:r w:rsidRPr="009F5A95">
        <w:rPr>
          <w:rFonts w:ascii="Verdana" w:hAnsi="Verdana"/>
          <w:sz w:val="20"/>
          <w:szCs w:val="20"/>
        </w:rPr>
        <w:t xml:space="preserve">ostumbres, </w:t>
      </w:r>
      <w:r>
        <w:rPr>
          <w:rFonts w:ascii="Verdana" w:hAnsi="Verdana"/>
          <w:sz w:val="20"/>
          <w:szCs w:val="20"/>
        </w:rPr>
        <w:t xml:space="preserve">sus </w:t>
      </w:r>
      <w:r w:rsidRPr="009F5A95">
        <w:rPr>
          <w:rFonts w:ascii="Verdana" w:hAnsi="Verdana"/>
          <w:sz w:val="20"/>
          <w:szCs w:val="20"/>
        </w:rPr>
        <w:t xml:space="preserve">hábitos sociales e </w:t>
      </w:r>
      <w:r w:rsidRPr="009F5A95">
        <w:rPr>
          <w:rFonts w:ascii="Verdana" w:hAnsi="Verdana"/>
          <w:sz w:val="20"/>
          <w:szCs w:val="20"/>
        </w:rPr>
        <w:lastRenderedPageBreak/>
        <w:t xml:space="preserve">individuales, </w:t>
      </w:r>
      <w:r>
        <w:rPr>
          <w:rFonts w:ascii="Verdana" w:hAnsi="Verdana"/>
          <w:sz w:val="20"/>
          <w:szCs w:val="20"/>
        </w:rPr>
        <w:t xml:space="preserve">sus </w:t>
      </w:r>
      <w:r w:rsidRPr="009F5A95">
        <w:rPr>
          <w:rFonts w:ascii="Verdana" w:hAnsi="Verdana"/>
          <w:sz w:val="20"/>
          <w:szCs w:val="20"/>
        </w:rPr>
        <w:t xml:space="preserve">prácticas económicas y </w:t>
      </w:r>
      <w:r>
        <w:rPr>
          <w:rFonts w:ascii="Verdana" w:hAnsi="Verdana"/>
          <w:sz w:val="20"/>
          <w:szCs w:val="20"/>
        </w:rPr>
        <w:t xml:space="preserve">sus </w:t>
      </w:r>
      <w:r w:rsidRPr="009F5A95">
        <w:rPr>
          <w:rFonts w:ascii="Verdana" w:hAnsi="Verdana"/>
          <w:sz w:val="20"/>
          <w:szCs w:val="20"/>
        </w:rPr>
        <w:t>concepciones</w:t>
      </w:r>
      <w:r>
        <w:rPr>
          <w:rFonts w:ascii="Verdana" w:hAnsi="Verdana"/>
          <w:sz w:val="20"/>
          <w:szCs w:val="20"/>
        </w:rPr>
        <w:t xml:space="preserve"> acerca del mundo y de su propia vida</w:t>
      </w:r>
      <w:r w:rsidRPr="009F5A95">
        <w:rPr>
          <w:rFonts w:ascii="Verdana" w:hAnsi="Verdana"/>
          <w:sz w:val="20"/>
          <w:szCs w:val="20"/>
        </w:rPr>
        <w:t xml:space="preserve">”. En ese sentido, observaron que dada la especial relación de las comunidades con su tierra, “la degradación del ambiente y los cambios en la flora y la fauna, exceden del aspecto meramente económico y de subsistencia, afectando la identidad </w:t>
      </w:r>
      <w:r>
        <w:rPr>
          <w:rFonts w:ascii="Verdana" w:hAnsi="Verdana"/>
          <w:sz w:val="20"/>
          <w:szCs w:val="20"/>
        </w:rPr>
        <w:t>[</w:t>
      </w:r>
      <w:r w:rsidRPr="009F5A95">
        <w:rPr>
          <w:rFonts w:ascii="Verdana" w:hAnsi="Verdana"/>
          <w:sz w:val="20"/>
          <w:szCs w:val="20"/>
        </w:rPr>
        <w:t>cultural</w:t>
      </w:r>
      <w:r>
        <w:rPr>
          <w:rFonts w:ascii="Verdana" w:hAnsi="Verdana"/>
          <w:sz w:val="20"/>
          <w:szCs w:val="20"/>
        </w:rPr>
        <w:t>]</w:t>
      </w:r>
      <w:r w:rsidRPr="009F5A95">
        <w:rPr>
          <w:rFonts w:ascii="Verdana" w:hAnsi="Verdana"/>
          <w:sz w:val="20"/>
          <w:szCs w:val="20"/>
        </w:rPr>
        <w:t>”.</w:t>
      </w:r>
    </w:p>
    <w:p w14:paraId="6A63794F" w14:textId="77777777" w:rsidR="007C7E7C" w:rsidRPr="009F5A95" w:rsidRDefault="007C7E7C" w:rsidP="007C7E7C">
      <w:pPr>
        <w:pStyle w:val="Prrafodelista"/>
        <w:spacing w:line="240" w:lineRule="auto"/>
        <w:rPr>
          <w:rFonts w:ascii="Verdana" w:hAnsi="Verdana"/>
          <w:sz w:val="20"/>
          <w:szCs w:val="20"/>
        </w:rPr>
      </w:pPr>
    </w:p>
    <w:p w14:paraId="0531AC83" w14:textId="4DBAABF1" w:rsidR="007C7E7C" w:rsidRDefault="007C7E7C" w:rsidP="007C7E7C">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9F5A95">
        <w:rPr>
          <w:rFonts w:ascii="Verdana" w:hAnsi="Verdana"/>
          <w:sz w:val="20"/>
          <w:szCs w:val="20"/>
        </w:rPr>
        <w:t>Los representantes expresaron</w:t>
      </w:r>
      <w:r>
        <w:rPr>
          <w:rFonts w:ascii="Verdana" w:hAnsi="Verdana"/>
          <w:sz w:val="20"/>
          <w:szCs w:val="20"/>
        </w:rPr>
        <w:t xml:space="preserve"> también</w:t>
      </w:r>
      <w:r w:rsidRPr="009F5A95">
        <w:rPr>
          <w:rFonts w:ascii="Verdana" w:hAnsi="Verdana"/>
          <w:sz w:val="20"/>
          <w:szCs w:val="20"/>
        </w:rPr>
        <w:t xml:space="preserve"> que el Estado “tenía pleno y detallado conocimiento de las condiciones de degradación ambiental”, y no adoptó acciones para prevenir el proceso</w:t>
      </w:r>
      <w:r>
        <w:rPr>
          <w:rFonts w:ascii="Verdana" w:hAnsi="Verdana"/>
          <w:sz w:val="20"/>
          <w:szCs w:val="20"/>
        </w:rPr>
        <w:t xml:space="preserve"> o revertirlo, como t</w:t>
      </w:r>
      <w:r w:rsidRPr="009F5A95">
        <w:rPr>
          <w:rFonts w:ascii="Verdana" w:hAnsi="Verdana"/>
          <w:sz w:val="20"/>
          <w:szCs w:val="20"/>
        </w:rPr>
        <w:t>ampoco “para ‘fortalecer el acceso y la utilización por parte de la población de los recursos y medios que aseguren sus medios de vida’”, según aseveraron, tomando una expresión del Comité</w:t>
      </w:r>
      <w:r w:rsidR="001A0D8C">
        <w:rPr>
          <w:rFonts w:ascii="Verdana" w:hAnsi="Verdana"/>
          <w:sz w:val="20"/>
          <w:szCs w:val="20"/>
        </w:rPr>
        <w:t xml:space="preserve"> de Derechos Económicos, Sociales y Culturales de la</w:t>
      </w:r>
      <w:r w:rsidR="00C97D1D">
        <w:rPr>
          <w:rFonts w:ascii="Verdana" w:hAnsi="Verdana"/>
          <w:sz w:val="20"/>
          <w:szCs w:val="20"/>
        </w:rPr>
        <w:t xml:space="preserve"> Organización de las</w:t>
      </w:r>
      <w:r w:rsidR="001A0D8C">
        <w:rPr>
          <w:rFonts w:ascii="Verdana" w:hAnsi="Verdana"/>
          <w:sz w:val="20"/>
          <w:szCs w:val="20"/>
        </w:rPr>
        <w:t xml:space="preserve"> Naciones Unidas (en adelante</w:t>
      </w:r>
      <w:r w:rsidR="00090D7C">
        <w:rPr>
          <w:rFonts w:ascii="Verdana" w:hAnsi="Verdana"/>
          <w:sz w:val="20"/>
          <w:szCs w:val="20"/>
        </w:rPr>
        <w:t xml:space="preserve"> también</w:t>
      </w:r>
      <w:r w:rsidR="001A0D8C">
        <w:rPr>
          <w:rFonts w:ascii="Verdana" w:hAnsi="Verdana"/>
          <w:sz w:val="20"/>
          <w:szCs w:val="20"/>
        </w:rPr>
        <w:t xml:space="preserve"> “Comité</w:t>
      </w:r>
      <w:r w:rsidRPr="009F5A95">
        <w:rPr>
          <w:rFonts w:ascii="Verdana" w:hAnsi="Verdana"/>
          <w:sz w:val="20"/>
          <w:szCs w:val="20"/>
        </w:rPr>
        <w:t xml:space="preserve"> DESC</w:t>
      </w:r>
      <w:r w:rsidR="001A0D8C">
        <w:rPr>
          <w:rFonts w:ascii="Verdana" w:hAnsi="Verdana"/>
          <w:sz w:val="20"/>
          <w:szCs w:val="20"/>
        </w:rPr>
        <w:t>”)</w:t>
      </w:r>
      <w:r w:rsidRPr="009F5A95">
        <w:rPr>
          <w:rFonts w:ascii="Verdana" w:hAnsi="Verdana"/>
          <w:sz w:val="20"/>
          <w:szCs w:val="20"/>
        </w:rPr>
        <w:t xml:space="preserve">. </w:t>
      </w:r>
    </w:p>
    <w:p w14:paraId="5DB3C4C7" w14:textId="77777777" w:rsidR="007C7E7C" w:rsidRPr="009F5A95" w:rsidRDefault="007C7E7C" w:rsidP="007C7E7C">
      <w:pPr>
        <w:pStyle w:val="Prrafodelista"/>
        <w:spacing w:line="240" w:lineRule="auto"/>
        <w:rPr>
          <w:rFonts w:ascii="Verdana" w:hAnsi="Verdana"/>
          <w:sz w:val="20"/>
          <w:szCs w:val="20"/>
        </w:rPr>
      </w:pPr>
    </w:p>
    <w:p w14:paraId="5490E00E" w14:textId="0647B7ED" w:rsidR="007C7E7C" w:rsidRDefault="007C7E7C" w:rsidP="007C7E7C">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9F5A95">
        <w:rPr>
          <w:rFonts w:ascii="Verdana" w:hAnsi="Verdana"/>
          <w:sz w:val="20"/>
          <w:szCs w:val="20"/>
        </w:rPr>
        <w:t xml:space="preserve">El </w:t>
      </w:r>
      <w:r w:rsidRPr="009F5A95">
        <w:rPr>
          <w:rFonts w:ascii="Verdana" w:hAnsi="Verdana"/>
          <w:b/>
          <w:i/>
          <w:sz w:val="20"/>
          <w:szCs w:val="20"/>
        </w:rPr>
        <w:t>Estado</w:t>
      </w:r>
      <w:r w:rsidRPr="009F5A95">
        <w:rPr>
          <w:rFonts w:ascii="Verdana" w:hAnsi="Verdana"/>
          <w:b/>
          <w:sz w:val="20"/>
          <w:szCs w:val="20"/>
        </w:rPr>
        <w:t xml:space="preserve"> </w:t>
      </w:r>
      <w:r w:rsidRPr="009F5A95">
        <w:rPr>
          <w:rFonts w:ascii="Verdana" w:hAnsi="Verdana"/>
          <w:sz w:val="20"/>
          <w:szCs w:val="20"/>
        </w:rPr>
        <w:t xml:space="preserve">afirmó, respecto del </w:t>
      </w:r>
      <w:r w:rsidRPr="009F5A95">
        <w:rPr>
          <w:rFonts w:ascii="Verdana" w:hAnsi="Verdana"/>
          <w:i/>
          <w:sz w:val="20"/>
          <w:szCs w:val="20"/>
        </w:rPr>
        <w:t>derecho a un medio ambiente sano</w:t>
      </w:r>
      <w:r w:rsidRPr="009F5A95">
        <w:rPr>
          <w:rFonts w:ascii="Verdana" w:hAnsi="Verdana"/>
          <w:sz w:val="20"/>
          <w:szCs w:val="20"/>
        </w:rPr>
        <w:t>, que no se le debe imponer una “carga imposible o desproporcionada”, debiendo acreditarse el conocimiento de una situación de riesgo para que surja una obligación positiva. Por otro lado, enunció conductas que ha adoptado. Así, señaló que “ha brindado asistencia técnica y financiera para la gestión e implementación de los Proyectos del Plan Integral Comunitario (PIC), en el marco de los Fondos de Bosques y Comunidades”</w:t>
      </w:r>
      <w:r w:rsidRPr="008F640E">
        <w:rPr>
          <w:rStyle w:val="Refdenotaalpie"/>
          <w:rFonts w:ascii="Verdana" w:hAnsi="Verdana"/>
          <w:sz w:val="20"/>
        </w:rPr>
        <w:footnoteReference w:id="176"/>
      </w:r>
      <w:r w:rsidRPr="009F5A95">
        <w:rPr>
          <w:rFonts w:ascii="Verdana" w:hAnsi="Verdana"/>
          <w:sz w:val="20"/>
          <w:szCs w:val="20"/>
        </w:rPr>
        <w:t>. Además</w:t>
      </w:r>
      <w:r w:rsidR="00F74D33">
        <w:rPr>
          <w:rFonts w:ascii="Verdana" w:hAnsi="Verdana"/>
          <w:sz w:val="20"/>
          <w:szCs w:val="20"/>
        </w:rPr>
        <w:t>,</w:t>
      </w:r>
      <w:r w:rsidRPr="009F5A95">
        <w:rPr>
          <w:rFonts w:ascii="Verdana" w:hAnsi="Verdana"/>
          <w:sz w:val="20"/>
          <w:szCs w:val="20"/>
        </w:rPr>
        <w:t xml:space="preserve"> indicó que el Ministerio de Ambiente de Salta “vela por el cumplimiento de la reglamentación ambiental vigente”, inclusive respecto al control de la tala ilegal y la deforestación. Afirmó que “realiza constantes tareas de monitoreo y seguimiento del territorio mediante la teledetección con imágenes satelitales”. </w:t>
      </w:r>
    </w:p>
    <w:p w14:paraId="54F06A27" w14:textId="77777777" w:rsidR="007C7E7C" w:rsidRPr="009F5A95" w:rsidRDefault="007C7E7C" w:rsidP="007C7E7C">
      <w:pPr>
        <w:pStyle w:val="Prrafodelista"/>
        <w:spacing w:line="240" w:lineRule="auto"/>
        <w:rPr>
          <w:rFonts w:ascii="Verdana" w:hAnsi="Verdana"/>
          <w:sz w:val="20"/>
          <w:szCs w:val="20"/>
        </w:rPr>
      </w:pPr>
    </w:p>
    <w:p w14:paraId="262537AE" w14:textId="77777777" w:rsidR="007C7E7C" w:rsidRDefault="007C7E7C" w:rsidP="007C7E7C">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9F5A95">
        <w:rPr>
          <w:rFonts w:ascii="Verdana" w:hAnsi="Verdana"/>
          <w:sz w:val="20"/>
          <w:szCs w:val="20"/>
        </w:rPr>
        <w:t xml:space="preserve">En lo atinente al </w:t>
      </w:r>
      <w:r w:rsidRPr="009F5A95">
        <w:rPr>
          <w:rFonts w:ascii="Verdana" w:hAnsi="Verdana"/>
          <w:i/>
          <w:sz w:val="20"/>
          <w:szCs w:val="20"/>
        </w:rPr>
        <w:t>derecho a la alimentación</w:t>
      </w:r>
      <w:r w:rsidRPr="006D7D3C">
        <w:rPr>
          <w:rFonts w:ascii="Verdana" w:hAnsi="Verdana"/>
          <w:sz w:val="20"/>
          <w:szCs w:val="20"/>
        </w:rPr>
        <w:t>,</w:t>
      </w:r>
      <w:r w:rsidRPr="009F5A95">
        <w:rPr>
          <w:rFonts w:ascii="Verdana" w:hAnsi="Verdana"/>
          <w:sz w:val="20"/>
          <w:szCs w:val="20"/>
        </w:rPr>
        <w:t xml:space="preserve"> el Estado sostuvo que no están probadas las afirmaciones de los representantes, </w:t>
      </w:r>
      <w:r>
        <w:rPr>
          <w:rFonts w:ascii="Verdana" w:hAnsi="Verdana"/>
          <w:sz w:val="20"/>
          <w:szCs w:val="20"/>
        </w:rPr>
        <w:t xml:space="preserve">y </w:t>
      </w:r>
      <w:r w:rsidRPr="009F5A95">
        <w:rPr>
          <w:rFonts w:ascii="Verdana" w:hAnsi="Verdana"/>
          <w:sz w:val="20"/>
          <w:szCs w:val="20"/>
        </w:rPr>
        <w:t>que no consta “dictamen u opinión técnica alguna que sustente que los niveles de desnutrición o de déficit alimentario hubieran aumentado con motivo de la presencia del ganado y la actividad ejercida por los criollos”. Agregó que muchos integrantes de las comunidades indígenas “practican la actividad agrícola ganadera, producto de un gran proceso histórico de convivencia con los criollos”</w:t>
      </w:r>
      <w:r w:rsidRPr="008F640E">
        <w:rPr>
          <w:rStyle w:val="Refdenotaalpie"/>
          <w:rFonts w:ascii="Verdana" w:hAnsi="Verdana"/>
          <w:sz w:val="20"/>
        </w:rPr>
        <w:footnoteReference w:id="177"/>
      </w:r>
      <w:r w:rsidRPr="009F5A95">
        <w:rPr>
          <w:rFonts w:ascii="Verdana" w:hAnsi="Verdana"/>
          <w:sz w:val="20"/>
          <w:szCs w:val="20"/>
        </w:rPr>
        <w:t>.</w:t>
      </w:r>
    </w:p>
    <w:p w14:paraId="7CD5DC0F" w14:textId="77777777" w:rsidR="007C7E7C" w:rsidRPr="009F5A95" w:rsidRDefault="007C7E7C" w:rsidP="007C7E7C">
      <w:pPr>
        <w:pStyle w:val="Prrafodelista"/>
        <w:spacing w:line="240" w:lineRule="auto"/>
        <w:rPr>
          <w:rFonts w:ascii="Verdana" w:hAnsi="Verdana"/>
          <w:sz w:val="20"/>
          <w:szCs w:val="20"/>
        </w:rPr>
      </w:pPr>
    </w:p>
    <w:p w14:paraId="33682116" w14:textId="2930845E" w:rsidR="007C7E7C" w:rsidRDefault="007C7E7C" w:rsidP="007C7E7C">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9F5A95">
        <w:rPr>
          <w:rFonts w:ascii="Verdana" w:hAnsi="Verdana"/>
          <w:sz w:val="20"/>
          <w:szCs w:val="20"/>
        </w:rPr>
        <w:t xml:space="preserve">Argentina agregó que “carecen de virtualidad” los señalamientos sobre violación a la </w:t>
      </w:r>
      <w:r>
        <w:rPr>
          <w:rFonts w:ascii="Verdana" w:hAnsi="Verdana"/>
          <w:i/>
          <w:sz w:val="20"/>
          <w:szCs w:val="20"/>
        </w:rPr>
        <w:t>i</w:t>
      </w:r>
      <w:r w:rsidRPr="009F5A95">
        <w:rPr>
          <w:rFonts w:ascii="Verdana" w:hAnsi="Verdana"/>
          <w:i/>
          <w:sz w:val="20"/>
          <w:szCs w:val="20"/>
        </w:rPr>
        <w:t>dentidad cultural</w:t>
      </w:r>
      <w:r w:rsidRPr="009F5A95">
        <w:rPr>
          <w:rFonts w:ascii="Verdana" w:hAnsi="Verdana"/>
          <w:sz w:val="20"/>
          <w:szCs w:val="20"/>
        </w:rPr>
        <w:t xml:space="preserve"> porque: a) </w:t>
      </w:r>
      <w:r>
        <w:rPr>
          <w:rFonts w:ascii="Verdana" w:hAnsi="Verdana"/>
          <w:sz w:val="20"/>
          <w:szCs w:val="20"/>
        </w:rPr>
        <w:t>“</w:t>
      </w:r>
      <w:r w:rsidRPr="009F5A95">
        <w:rPr>
          <w:rFonts w:ascii="Verdana" w:hAnsi="Verdana"/>
          <w:sz w:val="20"/>
          <w:szCs w:val="20"/>
        </w:rPr>
        <w:t>ha arbitrado todos los medios a su alcance a los fines de garantizar que, en el marco de la complejidad del asunto […] las comunidades detenten materialmente el derecho que ya ha sido reconocido”,</w:t>
      </w:r>
      <w:r>
        <w:rPr>
          <w:rFonts w:ascii="Verdana" w:hAnsi="Verdana"/>
          <w:sz w:val="20"/>
          <w:szCs w:val="20"/>
        </w:rPr>
        <w:t xml:space="preserve"> y</w:t>
      </w:r>
      <w:r w:rsidRPr="009F5A95">
        <w:rPr>
          <w:rFonts w:ascii="Verdana" w:hAnsi="Verdana"/>
          <w:sz w:val="20"/>
          <w:szCs w:val="20"/>
        </w:rPr>
        <w:t xml:space="preserve"> b) son las mismas comunidades las que “han introducido cambios a sus conductas y formas de vivir”</w:t>
      </w:r>
      <w:r w:rsidRPr="008F640E">
        <w:rPr>
          <w:rStyle w:val="Refdenotaalpie"/>
          <w:rFonts w:ascii="Verdana" w:hAnsi="Verdana"/>
          <w:sz w:val="20"/>
        </w:rPr>
        <w:footnoteReference w:id="178"/>
      </w:r>
      <w:r w:rsidRPr="009F5A95">
        <w:rPr>
          <w:rFonts w:ascii="Verdana" w:hAnsi="Verdana"/>
          <w:sz w:val="20"/>
          <w:szCs w:val="20"/>
        </w:rPr>
        <w:t xml:space="preserve">. </w:t>
      </w:r>
    </w:p>
    <w:p w14:paraId="3CCA29BA" w14:textId="77777777" w:rsidR="007C7E7C" w:rsidRPr="008F640E" w:rsidRDefault="007C7E7C" w:rsidP="007C7E7C">
      <w:pPr>
        <w:spacing w:after="0" w:line="240" w:lineRule="auto"/>
        <w:jc w:val="both"/>
        <w:rPr>
          <w:rFonts w:ascii="Verdana" w:hAnsi="Verdana"/>
          <w:b/>
          <w:sz w:val="20"/>
          <w:szCs w:val="20"/>
        </w:rPr>
      </w:pPr>
    </w:p>
    <w:p w14:paraId="32AF8B27" w14:textId="77777777" w:rsidR="007C7E7C" w:rsidRPr="00554ED1" w:rsidRDefault="007C7E7C" w:rsidP="007C7E7C">
      <w:pPr>
        <w:pStyle w:val="Prrafodelista"/>
        <w:numPr>
          <w:ilvl w:val="0"/>
          <w:numId w:val="22"/>
        </w:numPr>
        <w:spacing w:after="0" w:line="240" w:lineRule="auto"/>
        <w:ind w:left="284" w:firstLine="0"/>
        <w:jc w:val="both"/>
        <w:outlineLvl w:val="1"/>
        <w:rPr>
          <w:rFonts w:ascii="Verdana" w:hAnsi="Verdana"/>
          <w:b/>
          <w:i/>
          <w:sz w:val="20"/>
          <w:szCs w:val="20"/>
          <w:u w:val="single"/>
        </w:rPr>
      </w:pPr>
      <w:bookmarkStart w:id="208" w:name="_Toc24799269"/>
      <w:bookmarkStart w:id="209" w:name="_Toc25169778"/>
      <w:bookmarkStart w:id="210" w:name="_Toc30667640"/>
      <w:bookmarkStart w:id="211" w:name="_Toc32218864"/>
      <w:bookmarkStart w:id="212" w:name="_Toc32227139"/>
      <w:bookmarkStart w:id="213" w:name="_Toc34337567"/>
      <w:r w:rsidRPr="00554ED1">
        <w:rPr>
          <w:rFonts w:ascii="Verdana" w:hAnsi="Verdana"/>
          <w:b/>
          <w:i/>
          <w:sz w:val="20"/>
          <w:szCs w:val="20"/>
          <w:u w:val="single"/>
        </w:rPr>
        <w:t>Consideraciones de la Corte</w:t>
      </w:r>
      <w:bookmarkEnd w:id="208"/>
      <w:bookmarkEnd w:id="209"/>
      <w:bookmarkEnd w:id="210"/>
      <w:bookmarkEnd w:id="211"/>
      <w:bookmarkEnd w:id="212"/>
      <w:bookmarkEnd w:id="213"/>
    </w:p>
    <w:p w14:paraId="137A350E" w14:textId="77777777" w:rsidR="007C7E7C" w:rsidRPr="00D4312D" w:rsidRDefault="007C7E7C" w:rsidP="007C7E7C">
      <w:pPr>
        <w:pStyle w:val="Prrafodelista"/>
        <w:spacing w:line="240" w:lineRule="auto"/>
        <w:rPr>
          <w:rFonts w:ascii="Verdana" w:hAnsi="Verdana"/>
          <w:sz w:val="20"/>
          <w:szCs w:val="20"/>
        </w:rPr>
      </w:pPr>
    </w:p>
    <w:p w14:paraId="5252246A" w14:textId="77777777" w:rsidR="007C7E7C" w:rsidRPr="00D4312D" w:rsidRDefault="007C7E7C" w:rsidP="007C7E7C">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D4312D">
        <w:rPr>
          <w:rFonts w:ascii="Verdana" w:hAnsi="Verdana"/>
          <w:sz w:val="20"/>
          <w:szCs w:val="20"/>
        </w:rPr>
        <w:t xml:space="preserve">La </w:t>
      </w:r>
      <w:r w:rsidRPr="00D4312D">
        <w:rPr>
          <w:rFonts w:ascii="Verdana" w:hAnsi="Verdana"/>
          <w:b/>
          <w:i/>
          <w:sz w:val="20"/>
          <w:szCs w:val="20"/>
        </w:rPr>
        <w:t>Corte</w:t>
      </w:r>
      <w:r w:rsidRPr="00D4312D">
        <w:rPr>
          <w:rFonts w:ascii="Verdana" w:hAnsi="Verdana"/>
          <w:sz w:val="20"/>
          <w:szCs w:val="20"/>
        </w:rPr>
        <w:t xml:space="preserve">, en primer término, debe dejar sentado que </w:t>
      </w:r>
      <w:r w:rsidRPr="00D4312D">
        <w:rPr>
          <w:rFonts w:ascii="Verdana" w:hAnsi="Verdana"/>
          <w:sz w:val="20"/>
          <w:szCs w:val="20"/>
          <w:lang w:val="es-ES"/>
        </w:rPr>
        <w:t xml:space="preserve">el artículo 22 de la Convención, </w:t>
      </w:r>
      <w:r>
        <w:rPr>
          <w:rFonts w:ascii="Verdana" w:hAnsi="Verdana"/>
          <w:sz w:val="20"/>
          <w:szCs w:val="20"/>
          <w:lang w:val="es-ES"/>
        </w:rPr>
        <w:t>que versa sobre</w:t>
      </w:r>
      <w:r w:rsidRPr="00D4312D">
        <w:rPr>
          <w:rFonts w:ascii="Verdana" w:hAnsi="Verdana"/>
          <w:sz w:val="20"/>
          <w:szCs w:val="20"/>
          <w:lang w:val="es-ES"/>
        </w:rPr>
        <w:t xml:space="preserve"> </w:t>
      </w:r>
      <w:r>
        <w:rPr>
          <w:rFonts w:ascii="Verdana" w:hAnsi="Verdana"/>
          <w:sz w:val="20"/>
          <w:szCs w:val="20"/>
          <w:lang w:val="es-ES"/>
        </w:rPr>
        <w:t>e</w:t>
      </w:r>
      <w:r w:rsidRPr="00D4312D">
        <w:rPr>
          <w:rFonts w:ascii="Verdana" w:hAnsi="Verdana"/>
          <w:sz w:val="20"/>
          <w:szCs w:val="20"/>
          <w:lang w:val="es-ES"/>
        </w:rPr>
        <w:t>l derecho de circulación y residencia, refiere a elegir el lugar de residencia, ingresar, salir y circular por el territorio nacional</w:t>
      </w:r>
      <w:r w:rsidRPr="00771ED8">
        <w:rPr>
          <w:rStyle w:val="Refdenotaalpie"/>
          <w:rFonts w:ascii="Verdana" w:hAnsi="Verdana"/>
          <w:lang w:val="es-ES"/>
        </w:rPr>
        <w:footnoteReference w:id="179"/>
      </w:r>
      <w:r w:rsidRPr="00D4312D">
        <w:rPr>
          <w:rFonts w:ascii="Verdana" w:hAnsi="Verdana"/>
          <w:sz w:val="20"/>
          <w:szCs w:val="20"/>
          <w:lang w:val="es-ES"/>
        </w:rPr>
        <w:t xml:space="preserve">, </w:t>
      </w:r>
      <w:r>
        <w:rPr>
          <w:rFonts w:ascii="Verdana" w:hAnsi="Verdana"/>
          <w:sz w:val="20"/>
          <w:szCs w:val="20"/>
          <w:lang w:val="es-ES"/>
        </w:rPr>
        <w:t xml:space="preserve">y </w:t>
      </w:r>
      <w:r w:rsidRPr="00D4312D">
        <w:rPr>
          <w:rFonts w:ascii="Verdana" w:hAnsi="Verdana"/>
          <w:sz w:val="20"/>
          <w:szCs w:val="20"/>
          <w:lang w:val="es-ES"/>
        </w:rPr>
        <w:t>no resulta aplicable al caso. La facultad de una persona de movilizarse en tierras de su pertenencia queda, en principio, comprendida en el derecho de propiedad, que ya ha sido examinado. Por otra parte, el aducido impacto específico o particular de la instalación de alambrados en el presente caso se examina seguidamente, en relación con derechos contenidos</w:t>
      </w:r>
      <w:r w:rsidRPr="00D4312D">
        <w:rPr>
          <w:rFonts w:ascii="Verdana" w:hAnsi="Verdana"/>
          <w:b/>
          <w:sz w:val="20"/>
          <w:szCs w:val="20"/>
          <w:lang w:val="es-ES"/>
        </w:rPr>
        <w:t xml:space="preserve"> </w:t>
      </w:r>
      <w:r w:rsidRPr="00D4312D">
        <w:rPr>
          <w:rFonts w:ascii="Verdana" w:hAnsi="Verdana"/>
          <w:sz w:val="20"/>
          <w:szCs w:val="20"/>
          <w:lang w:val="es-ES"/>
        </w:rPr>
        <w:t xml:space="preserve">por el artículo 26 de la Convención Americana. </w:t>
      </w:r>
    </w:p>
    <w:p w14:paraId="344BD78A" w14:textId="77777777" w:rsidR="007C7E7C" w:rsidRDefault="007C7E7C" w:rsidP="007C7E7C">
      <w:pPr>
        <w:pStyle w:val="Prrafodelista"/>
        <w:spacing w:after="0" w:line="240" w:lineRule="auto"/>
        <w:ind w:left="0" w:right="6"/>
        <w:jc w:val="both"/>
        <w:rPr>
          <w:rFonts w:ascii="Verdana" w:eastAsia="Batang" w:hAnsi="Verdana" w:cs="Times"/>
          <w:sz w:val="20"/>
          <w:szCs w:val="20"/>
          <w:lang w:val="es-CR" w:eastAsia="es-CR"/>
        </w:rPr>
      </w:pPr>
    </w:p>
    <w:p w14:paraId="5C98AB96" w14:textId="77777777" w:rsidR="007C7E7C" w:rsidRDefault="007C7E7C" w:rsidP="007C7E7C">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D4312D">
        <w:rPr>
          <w:rFonts w:ascii="Verdana" w:hAnsi="Verdana"/>
          <w:sz w:val="20"/>
          <w:szCs w:val="20"/>
        </w:rPr>
        <w:t xml:space="preserve">La </w:t>
      </w:r>
      <w:r w:rsidRPr="00B4480A">
        <w:rPr>
          <w:rFonts w:ascii="Verdana" w:hAnsi="Verdana"/>
          <w:sz w:val="20"/>
          <w:szCs w:val="20"/>
        </w:rPr>
        <w:t>Corte</w:t>
      </w:r>
      <w:r w:rsidRPr="00B4480A">
        <w:rPr>
          <w:rFonts w:ascii="Verdana" w:hAnsi="Verdana"/>
          <w:i/>
          <w:sz w:val="20"/>
          <w:szCs w:val="20"/>
        </w:rPr>
        <w:t>,</w:t>
      </w:r>
      <w:r w:rsidRPr="00D4312D">
        <w:rPr>
          <w:rFonts w:ascii="Verdana" w:hAnsi="Verdana"/>
          <w:sz w:val="20"/>
          <w:szCs w:val="20"/>
        </w:rPr>
        <w:t xml:space="preserve"> </w:t>
      </w:r>
      <w:r w:rsidRPr="00D4312D">
        <w:rPr>
          <w:rFonts w:ascii="Verdana" w:hAnsi="Verdana"/>
          <w:sz w:val="20"/>
          <w:szCs w:val="20"/>
          <w:lang w:val="es-DO"/>
        </w:rPr>
        <w:t>ha afirmado su competencia para determinar violaciones al artículo 26 de la Convención Americana</w:t>
      </w:r>
      <w:r>
        <w:rPr>
          <w:rStyle w:val="Refdenotaalpie"/>
          <w:rFonts w:ascii="Verdana" w:hAnsi="Verdana"/>
          <w:sz w:val="20"/>
          <w:lang w:val="es-DO"/>
        </w:rPr>
        <w:footnoteReference w:id="180"/>
      </w:r>
      <w:r>
        <w:rPr>
          <w:rFonts w:ascii="Verdana" w:hAnsi="Verdana"/>
          <w:sz w:val="20"/>
          <w:szCs w:val="20"/>
          <w:lang w:val="es-DO"/>
        </w:rPr>
        <w:t xml:space="preserve"> y</w:t>
      </w:r>
      <w:r w:rsidRPr="00D4312D">
        <w:rPr>
          <w:rFonts w:ascii="Verdana" w:hAnsi="Verdana"/>
          <w:sz w:val="20"/>
          <w:szCs w:val="20"/>
          <w:lang w:val="es-DO"/>
        </w:rPr>
        <w:t xml:space="preserve"> ha señalado que el mismo protege aquellos derechos económicos, sociales, culturales y ambientales (DESCA) que se deriven de la Carta de la O</w:t>
      </w:r>
      <w:r>
        <w:rPr>
          <w:rFonts w:ascii="Verdana" w:hAnsi="Verdana"/>
          <w:sz w:val="20"/>
          <w:szCs w:val="20"/>
          <w:lang w:val="es-DO"/>
        </w:rPr>
        <w:t xml:space="preserve">rganización de </w:t>
      </w:r>
      <w:r w:rsidRPr="00D4312D">
        <w:rPr>
          <w:rFonts w:ascii="Verdana" w:hAnsi="Verdana"/>
          <w:sz w:val="20"/>
          <w:szCs w:val="20"/>
          <w:lang w:val="es-DO"/>
        </w:rPr>
        <w:t>E</w:t>
      </w:r>
      <w:r>
        <w:rPr>
          <w:rFonts w:ascii="Verdana" w:hAnsi="Verdana"/>
          <w:sz w:val="20"/>
          <w:szCs w:val="20"/>
          <w:lang w:val="es-DO"/>
        </w:rPr>
        <w:t xml:space="preserve">stados </w:t>
      </w:r>
      <w:r w:rsidRPr="00D4312D">
        <w:rPr>
          <w:rFonts w:ascii="Verdana" w:hAnsi="Verdana"/>
          <w:sz w:val="20"/>
          <w:szCs w:val="20"/>
          <w:lang w:val="es-DO"/>
        </w:rPr>
        <w:t>A</w:t>
      </w:r>
      <w:r>
        <w:rPr>
          <w:rFonts w:ascii="Verdana" w:hAnsi="Verdana"/>
          <w:sz w:val="20"/>
          <w:szCs w:val="20"/>
          <w:lang w:val="es-DO"/>
        </w:rPr>
        <w:t>mericanos (en adelante “Carta de la OEA”, o “la Carta”)</w:t>
      </w:r>
      <w:r w:rsidRPr="00D4312D">
        <w:rPr>
          <w:rFonts w:ascii="Verdana" w:hAnsi="Verdana"/>
          <w:sz w:val="20"/>
          <w:szCs w:val="20"/>
          <w:lang w:val="es-DO"/>
        </w:rPr>
        <w:t>, siendo pertinente para su entendimiento las “[n]ormas de [i]nterpretación” establecidas en el artículo 29 de la Convención</w:t>
      </w:r>
      <w:r w:rsidRPr="006F5707">
        <w:rPr>
          <w:rStyle w:val="Refdenotaalpie"/>
          <w:rFonts w:ascii="Verdana" w:hAnsi="Verdana"/>
          <w:sz w:val="20"/>
        </w:rPr>
        <w:footnoteReference w:id="181"/>
      </w:r>
      <w:r w:rsidRPr="00D4312D">
        <w:rPr>
          <w:rFonts w:ascii="Verdana" w:hAnsi="Verdana"/>
          <w:sz w:val="20"/>
          <w:szCs w:val="20"/>
          <w:lang w:val="es-DO"/>
        </w:rPr>
        <w:t xml:space="preserve">. </w:t>
      </w:r>
    </w:p>
    <w:p w14:paraId="67FB8D41" w14:textId="77777777" w:rsidR="007C7E7C" w:rsidRPr="00D4312D" w:rsidRDefault="007C7E7C" w:rsidP="007C7E7C">
      <w:pPr>
        <w:pStyle w:val="Prrafodelista"/>
        <w:spacing w:line="240" w:lineRule="auto"/>
        <w:rPr>
          <w:rFonts w:ascii="Verdana" w:hAnsi="Verdana"/>
          <w:sz w:val="20"/>
          <w:szCs w:val="20"/>
        </w:rPr>
      </w:pPr>
    </w:p>
    <w:p w14:paraId="3866E8CE" w14:textId="136A6439" w:rsidR="007C7E7C" w:rsidRDefault="007C7E7C" w:rsidP="007C7E7C">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D4312D">
        <w:rPr>
          <w:rFonts w:ascii="Verdana" w:hAnsi="Verdana"/>
          <w:sz w:val="20"/>
          <w:szCs w:val="20"/>
        </w:rPr>
        <w:t xml:space="preserve">Así, este Tribunal ha explicado que “[p]ara identificar aquellos derechos que pueden ser derivados interpretativamente del artículo 26, se debe considerar que este </w:t>
      </w:r>
      <w:r w:rsidRPr="00533028">
        <w:rPr>
          <w:rFonts w:ascii="Verdana" w:hAnsi="Verdana"/>
          <w:sz w:val="20"/>
          <w:szCs w:val="20"/>
        </w:rPr>
        <w:t xml:space="preserve">realiza una remisión directa a las normas económicas, sociales y sobre educación, ciencia </w:t>
      </w:r>
      <w:r w:rsidRPr="00533028">
        <w:rPr>
          <w:rFonts w:ascii="Verdana" w:hAnsi="Verdana"/>
          <w:sz w:val="20"/>
          <w:szCs w:val="20"/>
        </w:rPr>
        <w:lastRenderedPageBreak/>
        <w:t>y cultura contenidas en la Carta de la OEA”</w:t>
      </w:r>
      <w:r w:rsidRPr="00533028">
        <w:rPr>
          <w:rStyle w:val="Refdenotaalpie"/>
          <w:rFonts w:ascii="Verdana" w:hAnsi="Verdana"/>
          <w:sz w:val="20"/>
        </w:rPr>
        <w:footnoteReference w:id="182"/>
      </w:r>
      <w:r w:rsidR="00CE700E">
        <w:rPr>
          <w:rFonts w:ascii="Verdana" w:hAnsi="Verdana"/>
          <w:sz w:val="20"/>
          <w:szCs w:val="20"/>
        </w:rPr>
        <w:t>. En base a</w:t>
      </w:r>
      <w:r w:rsidRPr="00533028">
        <w:rPr>
          <w:rFonts w:ascii="Verdana" w:hAnsi="Verdana"/>
          <w:sz w:val="20"/>
          <w:szCs w:val="20"/>
        </w:rPr>
        <w:t xml:space="preserve"> lo anterior, estando establecido que un derecho debe entenderse incluido en el artículo 26 de la Convención, corresponde </w:t>
      </w:r>
      <w:r w:rsidRPr="00D4312D">
        <w:rPr>
          <w:rFonts w:ascii="Verdana" w:hAnsi="Verdana"/>
          <w:sz w:val="20"/>
          <w:szCs w:val="20"/>
        </w:rPr>
        <w:t xml:space="preserve">fijar sus alcances, a la luz del </w:t>
      </w:r>
      <w:r w:rsidRPr="00D4312D">
        <w:rPr>
          <w:rFonts w:ascii="Verdana" w:hAnsi="Verdana"/>
          <w:i/>
          <w:sz w:val="20"/>
          <w:szCs w:val="20"/>
        </w:rPr>
        <w:t>corpus iuris</w:t>
      </w:r>
      <w:r w:rsidRPr="00D4312D">
        <w:rPr>
          <w:rFonts w:ascii="Verdana" w:hAnsi="Verdana"/>
          <w:sz w:val="20"/>
          <w:szCs w:val="20"/>
        </w:rPr>
        <w:t xml:space="preserve"> internacional en la materia</w:t>
      </w:r>
      <w:r>
        <w:rPr>
          <w:rStyle w:val="Refdenotaalpie"/>
          <w:rFonts w:ascii="Verdana" w:hAnsi="Verdana"/>
          <w:sz w:val="20"/>
        </w:rPr>
        <w:footnoteReference w:id="183"/>
      </w:r>
      <w:r w:rsidRPr="00D4312D">
        <w:rPr>
          <w:rFonts w:ascii="Verdana" w:hAnsi="Verdana"/>
          <w:sz w:val="20"/>
          <w:szCs w:val="20"/>
        </w:rPr>
        <w:t>. Es perti</w:t>
      </w:r>
      <w:r w:rsidR="00F74D33">
        <w:rPr>
          <w:rFonts w:ascii="Verdana" w:hAnsi="Verdana"/>
          <w:sz w:val="20"/>
          <w:szCs w:val="20"/>
        </w:rPr>
        <w:t xml:space="preserve">nente destacar que la Corte ha </w:t>
      </w:r>
      <w:r w:rsidRPr="00D4312D">
        <w:rPr>
          <w:rFonts w:ascii="Verdana" w:hAnsi="Verdana"/>
          <w:sz w:val="20"/>
          <w:szCs w:val="20"/>
        </w:rPr>
        <w:t xml:space="preserve">recordado que </w:t>
      </w:r>
    </w:p>
    <w:p w14:paraId="5EFDF9C8" w14:textId="77777777" w:rsidR="007C7E7C" w:rsidRDefault="007C7E7C" w:rsidP="007C7E7C">
      <w:pPr>
        <w:pStyle w:val="Prrafodelista"/>
        <w:spacing w:line="240" w:lineRule="auto"/>
        <w:rPr>
          <w:rFonts w:ascii="Verdana" w:eastAsia="Times" w:hAnsi="Verdana" w:cs="Arial"/>
          <w:sz w:val="20"/>
          <w:szCs w:val="20"/>
        </w:rPr>
      </w:pPr>
    </w:p>
    <w:p w14:paraId="50644A6B" w14:textId="77777777" w:rsidR="007C7E7C" w:rsidRPr="00333C99" w:rsidRDefault="007C7E7C" w:rsidP="007C7E7C">
      <w:pPr>
        <w:pStyle w:val="Prrafodelista"/>
        <w:spacing w:after="0" w:line="240" w:lineRule="auto"/>
        <w:ind w:left="284" w:right="288"/>
        <w:jc w:val="both"/>
        <w:rPr>
          <w:rFonts w:ascii="Verdana" w:hAnsi="Verdana"/>
          <w:sz w:val="16"/>
          <w:szCs w:val="16"/>
          <w:lang w:val="es-PE"/>
        </w:rPr>
      </w:pPr>
      <w:r w:rsidRPr="00333C99">
        <w:rPr>
          <w:rFonts w:ascii="Verdana" w:hAnsi="Verdana"/>
          <w:sz w:val="16"/>
          <w:szCs w:val="16"/>
          <w:lang w:val="es-CR"/>
        </w:rPr>
        <w:t xml:space="preserve">la misma Convención hace expresa referencia a las normas del Derecho Internacional general para su interpretación y aplicación, específicamente a través del artículo 29, el cual prevé el principio </w:t>
      </w:r>
      <w:r w:rsidRPr="00333C99">
        <w:rPr>
          <w:rFonts w:ascii="Verdana" w:hAnsi="Verdana"/>
          <w:i/>
          <w:sz w:val="16"/>
          <w:szCs w:val="16"/>
          <w:lang w:val="es-CR"/>
        </w:rPr>
        <w:t>pro persona</w:t>
      </w:r>
      <w:r w:rsidRPr="00333C99">
        <w:rPr>
          <w:rStyle w:val="Refdenotaalpie"/>
          <w:rFonts w:ascii="Verdana" w:hAnsi="Verdana"/>
          <w:sz w:val="16"/>
          <w:szCs w:val="16"/>
        </w:rPr>
        <w:footnoteReference w:id="184"/>
      </w:r>
      <w:r w:rsidRPr="00333C99">
        <w:rPr>
          <w:rFonts w:ascii="Verdana" w:hAnsi="Verdana"/>
          <w:sz w:val="16"/>
          <w:szCs w:val="16"/>
          <w:lang w:val="es-CR"/>
        </w:rPr>
        <w:t>. De esta manera, como ha sido la práctica constante de este Tribunal</w:t>
      </w:r>
      <w:r w:rsidRPr="00333C99">
        <w:rPr>
          <w:rStyle w:val="Refdenotaalpie"/>
          <w:rFonts w:ascii="Verdana" w:hAnsi="Verdana"/>
          <w:sz w:val="16"/>
          <w:szCs w:val="16"/>
        </w:rPr>
        <w:footnoteReference w:id="185"/>
      </w:r>
      <w:r w:rsidRPr="00333C99">
        <w:rPr>
          <w:rFonts w:ascii="Verdana" w:hAnsi="Verdana"/>
          <w:sz w:val="16"/>
          <w:szCs w:val="16"/>
          <w:lang w:val="es-CR"/>
        </w:rPr>
        <w:t>, al determinar la compatibilidad de las acciones y omisiones del Estado o de sus normas, con la propia Convención u otros tratados respecto de los cuales tiene competencia, la Corte puede interpretar las obligaciones y derechos en ellos contenidos a la luz de otros tratados y normas pertinentes</w:t>
      </w:r>
      <w:r w:rsidRPr="00333C99">
        <w:rPr>
          <w:rStyle w:val="Refdenotaalpie"/>
          <w:rFonts w:ascii="Verdana" w:hAnsi="Verdana"/>
          <w:sz w:val="16"/>
          <w:szCs w:val="16"/>
        </w:rPr>
        <w:footnoteReference w:id="186"/>
      </w:r>
      <w:r w:rsidRPr="00333C99">
        <w:rPr>
          <w:rFonts w:ascii="Verdana" w:hAnsi="Verdana"/>
          <w:sz w:val="16"/>
          <w:szCs w:val="16"/>
          <w:lang w:val="es-CR"/>
        </w:rPr>
        <w:t>.</w:t>
      </w:r>
    </w:p>
    <w:p w14:paraId="3287BFC4" w14:textId="77777777" w:rsidR="007C7E7C" w:rsidRPr="00D4312D" w:rsidRDefault="007C7E7C" w:rsidP="007C7E7C">
      <w:pPr>
        <w:pStyle w:val="Prrafodelista"/>
        <w:spacing w:line="240" w:lineRule="auto"/>
        <w:rPr>
          <w:rFonts w:ascii="Verdana" w:eastAsia="Times" w:hAnsi="Verdana" w:cs="Arial"/>
          <w:sz w:val="20"/>
          <w:szCs w:val="20"/>
        </w:rPr>
      </w:pPr>
    </w:p>
    <w:p w14:paraId="1CD49454" w14:textId="18B612A8" w:rsidR="007C7E7C" w:rsidRPr="00D4312D" w:rsidRDefault="007C7E7C" w:rsidP="007C7E7C">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Pr>
          <w:rFonts w:ascii="Verdana" w:eastAsia="Times" w:hAnsi="Verdana" w:cs="Arial"/>
          <w:sz w:val="20"/>
          <w:szCs w:val="20"/>
        </w:rPr>
        <w:t>La Corte</w:t>
      </w:r>
      <w:r w:rsidRPr="00D4312D">
        <w:rPr>
          <w:rFonts w:ascii="Verdana" w:eastAsia="Times" w:hAnsi="Verdana" w:cs="Arial"/>
          <w:sz w:val="20"/>
          <w:szCs w:val="20"/>
        </w:rPr>
        <w:t xml:space="preserve"> ha afirmado, en el mismo sentido, que</w:t>
      </w:r>
      <w:r w:rsidR="00F74D33">
        <w:rPr>
          <w:rFonts w:ascii="Verdana" w:eastAsia="Times" w:hAnsi="Verdana" w:cs="Arial"/>
          <w:sz w:val="20"/>
          <w:szCs w:val="20"/>
        </w:rPr>
        <w:t>:</w:t>
      </w:r>
      <w:r w:rsidRPr="00D4312D">
        <w:rPr>
          <w:rFonts w:ascii="Verdana" w:eastAsia="Times" w:hAnsi="Verdana" w:cs="Arial"/>
          <w:sz w:val="20"/>
          <w:szCs w:val="20"/>
        </w:rPr>
        <w:t xml:space="preserve"> </w:t>
      </w:r>
    </w:p>
    <w:p w14:paraId="224B10FE" w14:textId="77777777" w:rsidR="007C7E7C" w:rsidRDefault="007C7E7C" w:rsidP="007C7E7C">
      <w:pPr>
        <w:pStyle w:val="Prrafodelista"/>
        <w:spacing w:after="0" w:line="240" w:lineRule="auto"/>
        <w:ind w:left="0" w:right="6"/>
        <w:jc w:val="both"/>
        <w:rPr>
          <w:rFonts w:ascii="Verdana" w:eastAsia="Times" w:hAnsi="Verdana" w:cs="Arial"/>
          <w:sz w:val="20"/>
          <w:szCs w:val="20"/>
        </w:rPr>
      </w:pPr>
    </w:p>
    <w:p w14:paraId="34D795C6" w14:textId="77777777" w:rsidR="007C7E7C" w:rsidRPr="0091098C" w:rsidRDefault="007C7E7C" w:rsidP="007C7E7C">
      <w:pPr>
        <w:pStyle w:val="Prrafodelista"/>
        <w:spacing w:after="0" w:line="240" w:lineRule="auto"/>
        <w:ind w:left="284" w:right="288"/>
        <w:jc w:val="both"/>
        <w:rPr>
          <w:rFonts w:ascii="Verdana" w:eastAsia="Times" w:hAnsi="Verdana" w:cs="Arial"/>
          <w:sz w:val="16"/>
          <w:szCs w:val="16"/>
        </w:rPr>
      </w:pPr>
      <w:r w:rsidRPr="0091098C">
        <w:rPr>
          <w:rFonts w:ascii="Verdana" w:eastAsia="Times" w:hAnsi="Verdana" w:cs="Arial"/>
          <w:sz w:val="16"/>
          <w:szCs w:val="16"/>
        </w:rPr>
        <w:t>los tratados de derechos humanos son instrumentos vivos, cuya interpretación tiene que acompañar la evolución de los tiempos y las condiciones de vida actuales. Tal interpretación evolutiva es consecuente con las reglas generales de interpretación establecidas en el artículo 29 de la Convención Americana, así como con la Convención de Viena sobre el Derecho de los Tratados</w:t>
      </w:r>
      <w:r w:rsidRPr="0091098C">
        <w:rPr>
          <w:rStyle w:val="Refdenotaalpie"/>
          <w:rFonts w:ascii="Verdana" w:eastAsia="Times" w:hAnsi="Verdana"/>
          <w:sz w:val="16"/>
          <w:szCs w:val="16"/>
        </w:rPr>
        <w:footnoteReference w:id="187"/>
      </w:r>
      <w:r w:rsidRPr="0091098C">
        <w:rPr>
          <w:rFonts w:ascii="Verdana" w:eastAsia="Times" w:hAnsi="Verdana" w:cs="Arial"/>
          <w:sz w:val="16"/>
          <w:szCs w:val="16"/>
        </w:rPr>
        <w:t xml:space="preserve"> </w:t>
      </w:r>
      <w:r>
        <w:rPr>
          <w:rFonts w:ascii="Verdana" w:eastAsia="Times" w:hAnsi="Verdana" w:cs="Arial"/>
          <w:sz w:val="16"/>
          <w:szCs w:val="16"/>
        </w:rPr>
        <w:t>[…]</w:t>
      </w:r>
      <w:r w:rsidRPr="0091098C">
        <w:rPr>
          <w:rFonts w:ascii="Verdana" w:eastAsia="Times" w:hAnsi="Verdana" w:cs="Arial"/>
          <w:sz w:val="16"/>
          <w:szCs w:val="16"/>
        </w:rPr>
        <w:t xml:space="preserve">. Además, el párrafo tercero del artículo 31 de </w:t>
      </w:r>
      <w:r>
        <w:rPr>
          <w:rFonts w:ascii="Verdana" w:eastAsia="Times" w:hAnsi="Verdana" w:cs="Arial"/>
          <w:sz w:val="16"/>
          <w:szCs w:val="16"/>
        </w:rPr>
        <w:t>[dicha]</w:t>
      </w:r>
      <w:r w:rsidRPr="0091098C">
        <w:rPr>
          <w:rFonts w:ascii="Verdana" w:eastAsia="Times" w:hAnsi="Verdana" w:cs="Arial"/>
          <w:sz w:val="16"/>
          <w:szCs w:val="16"/>
        </w:rPr>
        <w:t xml:space="preserve"> Convención de Viena autoriza la utilización de medios interpretativos tales como los acuerdos o la práctica o reglas relevantes del derecho internacional que los Estados hayan manifestado sobre la materia del tratado, los cuales son algunos de los métodos que se relacionan con una visión evolutiva del Tratado</w:t>
      </w:r>
      <w:r>
        <w:rPr>
          <w:rStyle w:val="Refdenotaalpie"/>
          <w:rFonts w:ascii="Verdana" w:eastAsia="Times" w:hAnsi="Verdana"/>
          <w:sz w:val="16"/>
        </w:rPr>
        <w:footnoteReference w:id="188"/>
      </w:r>
      <w:r w:rsidRPr="0091098C">
        <w:rPr>
          <w:rFonts w:ascii="Verdana" w:eastAsia="Times" w:hAnsi="Verdana" w:cs="Arial"/>
          <w:sz w:val="16"/>
          <w:szCs w:val="16"/>
        </w:rPr>
        <w:t xml:space="preserve">. </w:t>
      </w:r>
    </w:p>
    <w:p w14:paraId="4D999AEE" w14:textId="77777777" w:rsidR="007C7E7C" w:rsidRDefault="007C7E7C" w:rsidP="007C7E7C">
      <w:pPr>
        <w:pStyle w:val="Prrafodelista"/>
        <w:spacing w:after="0" w:line="240" w:lineRule="auto"/>
        <w:ind w:left="0" w:right="6"/>
        <w:jc w:val="both"/>
        <w:rPr>
          <w:rFonts w:ascii="Verdana" w:eastAsia="Batang" w:hAnsi="Verdana" w:cs="Times"/>
          <w:sz w:val="20"/>
          <w:szCs w:val="20"/>
          <w:lang w:val="es-CR" w:eastAsia="es-CR"/>
        </w:rPr>
      </w:pPr>
    </w:p>
    <w:p w14:paraId="18D979AD" w14:textId="77777777" w:rsidR="007C7E7C" w:rsidRPr="00D4312D" w:rsidRDefault="007C7E7C" w:rsidP="007C7E7C">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D4312D">
        <w:rPr>
          <w:rFonts w:ascii="Verdana" w:eastAsia="Times" w:hAnsi="Verdana" w:cs="Arial"/>
          <w:sz w:val="20"/>
          <w:szCs w:val="20"/>
        </w:rPr>
        <w:t>De esta forma, en la determinación de</w:t>
      </w:r>
      <w:r>
        <w:rPr>
          <w:rFonts w:ascii="Verdana" w:eastAsia="Times" w:hAnsi="Verdana" w:cs="Arial"/>
          <w:sz w:val="20"/>
          <w:szCs w:val="20"/>
        </w:rPr>
        <w:t>l alcance de</w:t>
      </w:r>
      <w:r w:rsidRPr="00D4312D">
        <w:rPr>
          <w:rFonts w:ascii="Verdana" w:eastAsia="Times" w:hAnsi="Verdana" w:cs="Arial"/>
          <w:sz w:val="20"/>
          <w:szCs w:val="20"/>
        </w:rPr>
        <w:t xml:space="preserve"> los derechos</w:t>
      </w:r>
      <w:r>
        <w:rPr>
          <w:rFonts w:ascii="Verdana" w:eastAsia="Times" w:hAnsi="Verdana" w:cs="Arial"/>
          <w:sz w:val="20"/>
          <w:szCs w:val="20"/>
        </w:rPr>
        <w:t xml:space="preserve"> respectivos incluidos en el artículo 26 de la Convención</w:t>
      </w:r>
      <w:r w:rsidRPr="00D4312D">
        <w:rPr>
          <w:rFonts w:ascii="Verdana" w:hAnsi="Verdana" w:cs="Tahoma"/>
          <w:sz w:val="20"/>
          <w:szCs w:val="20"/>
          <w:lang w:val="es-CR"/>
        </w:rPr>
        <w:t>, e</w:t>
      </w:r>
      <w:r>
        <w:rPr>
          <w:rFonts w:ascii="Verdana" w:hAnsi="Verdana" w:cs="Tahoma"/>
          <w:sz w:val="20"/>
          <w:szCs w:val="20"/>
          <w:lang w:val="es-CR"/>
        </w:rPr>
        <w:t>ste</w:t>
      </w:r>
      <w:r w:rsidRPr="00D4312D">
        <w:rPr>
          <w:rFonts w:ascii="Verdana" w:hAnsi="Verdana" w:cs="Tahoma"/>
          <w:sz w:val="20"/>
          <w:szCs w:val="20"/>
          <w:lang w:val="es-CR"/>
        </w:rPr>
        <w:t xml:space="preserve"> Tribunal hará referencia a los instrumentos relevantes del </w:t>
      </w:r>
      <w:r w:rsidRPr="00D4312D">
        <w:rPr>
          <w:rFonts w:ascii="Verdana" w:hAnsi="Verdana" w:cs="Tahoma"/>
          <w:i/>
          <w:sz w:val="20"/>
          <w:szCs w:val="20"/>
          <w:lang w:val="es-CR"/>
        </w:rPr>
        <w:t>corpus iuris</w:t>
      </w:r>
      <w:r w:rsidRPr="00D4312D">
        <w:rPr>
          <w:rFonts w:ascii="Verdana" w:hAnsi="Verdana" w:cs="Tahoma"/>
          <w:sz w:val="20"/>
          <w:szCs w:val="20"/>
          <w:lang w:val="es-CR"/>
        </w:rPr>
        <w:t xml:space="preserve"> internacional.</w:t>
      </w:r>
    </w:p>
    <w:p w14:paraId="6A1D93D3" w14:textId="77777777" w:rsidR="007C7E7C" w:rsidRDefault="007C7E7C" w:rsidP="007C7E7C">
      <w:pPr>
        <w:pStyle w:val="Prrafodelista"/>
        <w:spacing w:after="0" w:line="240" w:lineRule="auto"/>
        <w:ind w:left="0" w:right="6"/>
        <w:jc w:val="both"/>
        <w:rPr>
          <w:rFonts w:ascii="Verdana" w:eastAsia="Batang" w:hAnsi="Verdana" w:cs="Times"/>
          <w:sz w:val="20"/>
          <w:szCs w:val="20"/>
          <w:lang w:val="es-CR" w:eastAsia="es-CR"/>
        </w:rPr>
      </w:pPr>
    </w:p>
    <w:p w14:paraId="0BBCE56A" w14:textId="5288F1ED" w:rsidR="007C7E7C" w:rsidRDefault="007C7E7C" w:rsidP="007C7E7C">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D4312D">
        <w:rPr>
          <w:rFonts w:ascii="Verdana" w:hAnsi="Verdana"/>
          <w:sz w:val="20"/>
          <w:szCs w:val="20"/>
          <w:lang w:val="es-PE"/>
        </w:rPr>
        <w:t xml:space="preserve">Al proceder de esta </w:t>
      </w:r>
      <w:r>
        <w:rPr>
          <w:rFonts w:ascii="Verdana" w:hAnsi="Verdana"/>
          <w:sz w:val="20"/>
          <w:szCs w:val="20"/>
          <w:lang w:val="es-PE"/>
        </w:rPr>
        <w:t>manera</w:t>
      </w:r>
      <w:r w:rsidRPr="00D4312D">
        <w:rPr>
          <w:rFonts w:ascii="Verdana" w:hAnsi="Verdana"/>
          <w:sz w:val="20"/>
          <w:szCs w:val="20"/>
          <w:lang w:val="es-PE"/>
        </w:rPr>
        <w:t>, la Corte realiza una interpretación que permite actualizar el sentido de los derechos derivados de la Carta que se encuentran reconocidos en el artículo 26 de la Convención</w:t>
      </w:r>
      <w:r>
        <w:rPr>
          <w:rStyle w:val="Refdenotaalpie"/>
          <w:rFonts w:ascii="Verdana" w:hAnsi="Verdana"/>
          <w:sz w:val="20"/>
          <w:lang w:val="es-PE"/>
        </w:rPr>
        <w:footnoteReference w:id="189"/>
      </w:r>
      <w:r w:rsidRPr="00D4312D">
        <w:rPr>
          <w:rFonts w:ascii="Verdana" w:hAnsi="Verdana"/>
          <w:sz w:val="20"/>
          <w:szCs w:val="20"/>
          <w:lang w:val="es-PE"/>
        </w:rPr>
        <w:t>. Es por e</w:t>
      </w:r>
      <w:r w:rsidR="00CE700E">
        <w:rPr>
          <w:rFonts w:ascii="Verdana" w:hAnsi="Verdana"/>
          <w:sz w:val="20"/>
          <w:szCs w:val="20"/>
          <w:lang w:val="es-PE"/>
        </w:rPr>
        <w:t>ll</w:t>
      </w:r>
      <w:r w:rsidRPr="00D4312D">
        <w:rPr>
          <w:rFonts w:ascii="Verdana" w:hAnsi="Verdana"/>
          <w:sz w:val="20"/>
          <w:szCs w:val="20"/>
          <w:lang w:val="es-PE"/>
        </w:rPr>
        <w:t>o que lo que realiza es una aplicación de esta norma y, como ya antes ha explicado, “</w:t>
      </w:r>
      <w:r w:rsidRPr="00D4312D">
        <w:rPr>
          <w:rFonts w:ascii="Verdana" w:hAnsi="Verdana"/>
          <w:sz w:val="20"/>
          <w:szCs w:val="20"/>
          <w:lang w:val="es-CR"/>
        </w:rPr>
        <w:t xml:space="preserve">no está asumiendo competencias sobre tratados en los que no la tiene, ni tampoco está otorgando jerarquía convencional a normas contenidas en otros </w:t>
      </w:r>
      <w:r w:rsidRPr="00B82608">
        <w:rPr>
          <w:rFonts w:ascii="Verdana" w:hAnsi="Verdana"/>
          <w:sz w:val="20"/>
          <w:szCs w:val="20"/>
          <w:lang w:val="es-CR"/>
        </w:rPr>
        <w:t xml:space="preserve">instrumentos nacionales o internacionales relacionados con los </w:t>
      </w:r>
      <w:r>
        <w:rPr>
          <w:rFonts w:ascii="Verdana" w:hAnsi="Verdana"/>
          <w:sz w:val="20"/>
          <w:szCs w:val="20"/>
          <w:lang w:val="es-CR"/>
        </w:rPr>
        <w:t>[</w:t>
      </w:r>
      <w:r w:rsidRPr="00B82608">
        <w:rPr>
          <w:rFonts w:ascii="Verdana" w:hAnsi="Verdana"/>
          <w:sz w:val="20"/>
          <w:szCs w:val="20"/>
          <w:lang w:val="es-CR"/>
        </w:rPr>
        <w:t>derechos económicos, sociales, culturales y ambientales</w:t>
      </w:r>
      <w:r>
        <w:rPr>
          <w:rFonts w:ascii="Verdana" w:hAnsi="Verdana"/>
          <w:sz w:val="20"/>
          <w:szCs w:val="20"/>
          <w:lang w:val="es-CR"/>
        </w:rPr>
        <w:t>]</w:t>
      </w:r>
      <w:r w:rsidRPr="00B82608">
        <w:rPr>
          <w:rFonts w:ascii="Verdana" w:hAnsi="Verdana"/>
          <w:sz w:val="20"/>
          <w:szCs w:val="20"/>
          <w:lang w:val="es-CR"/>
        </w:rPr>
        <w:t>”</w:t>
      </w:r>
      <w:r w:rsidRPr="00BF0EF1">
        <w:rPr>
          <w:rStyle w:val="Refdenotaalpie"/>
          <w:rFonts w:ascii="Verdana" w:hAnsi="Verdana"/>
          <w:sz w:val="20"/>
        </w:rPr>
        <w:footnoteReference w:id="190"/>
      </w:r>
      <w:r w:rsidRPr="00B82608">
        <w:rPr>
          <w:rFonts w:ascii="Verdana" w:hAnsi="Verdana"/>
          <w:sz w:val="20"/>
          <w:szCs w:val="20"/>
          <w:lang w:val="es-CR"/>
        </w:rPr>
        <w:t>.</w:t>
      </w:r>
      <w:r w:rsidRPr="00D4312D">
        <w:rPr>
          <w:rFonts w:ascii="Verdana" w:hAnsi="Verdana"/>
          <w:sz w:val="20"/>
          <w:szCs w:val="20"/>
          <w:lang w:val="es-CR"/>
        </w:rPr>
        <w:t xml:space="preserve"> </w:t>
      </w:r>
    </w:p>
    <w:p w14:paraId="68B9CC3A" w14:textId="77777777" w:rsidR="007C7E7C" w:rsidRPr="00BF0EF1" w:rsidRDefault="007C7E7C" w:rsidP="007C7E7C">
      <w:pPr>
        <w:pStyle w:val="Prrafodelista"/>
        <w:spacing w:line="240" w:lineRule="auto"/>
        <w:rPr>
          <w:rFonts w:ascii="Verdana" w:hAnsi="Verdana"/>
          <w:sz w:val="20"/>
          <w:szCs w:val="20"/>
          <w:lang w:val="es-CR"/>
        </w:rPr>
      </w:pPr>
    </w:p>
    <w:p w14:paraId="3ADCBA2B" w14:textId="24A1466F" w:rsidR="007C7E7C" w:rsidRDefault="007C7E7C" w:rsidP="007C7E7C">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D4312D">
        <w:rPr>
          <w:rFonts w:ascii="Verdana" w:hAnsi="Verdana"/>
          <w:sz w:val="20"/>
          <w:szCs w:val="20"/>
        </w:rPr>
        <w:t>A continuación, este Tribunal procede, co</w:t>
      </w:r>
      <w:r>
        <w:rPr>
          <w:rFonts w:ascii="Verdana" w:hAnsi="Verdana"/>
          <w:sz w:val="20"/>
          <w:szCs w:val="20"/>
        </w:rPr>
        <w:t>n</w:t>
      </w:r>
      <w:r w:rsidRPr="00D4312D">
        <w:rPr>
          <w:rFonts w:ascii="Verdana" w:hAnsi="Verdana"/>
          <w:sz w:val="20"/>
          <w:szCs w:val="20"/>
        </w:rPr>
        <w:t xml:space="preserve"> base en lo antes indicado, a verificar el </w:t>
      </w:r>
      <w:r>
        <w:rPr>
          <w:rFonts w:ascii="Verdana" w:hAnsi="Verdana"/>
          <w:sz w:val="20"/>
          <w:szCs w:val="20"/>
        </w:rPr>
        <w:t xml:space="preserve">reconocimiento y </w:t>
      </w:r>
      <w:r w:rsidRPr="00D4312D">
        <w:rPr>
          <w:rFonts w:ascii="Verdana" w:hAnsi="Verdana"/>
          <w:sz w:val="20"/>
          <w:szCs w:val="20"/>
        </w:rPr>
        <w:t>contenido</w:t>
      </w:r>
      <w:r>
        <w:rPr>
          <w:rFonts w:ascii="Verdana" w:hAnsi="Verdana"/>
          <w:sz w:val="20"/>
          <w:szCs w:val="20"/>
        </w:rPr>
        <w:t xml:space="preserve"> pertinente</w:t>
      </w:r>
      <w:r w:rsidRPr="00D4312D">
        <w:rPr>
          <w:rFonts w:ascii="Verdana" w:hAnsi="Verdana"/>
          <w:sz w:val="20"/>
          <w:szCs w:val="20"/>
        </w:rPr>
        <w:t xml:space="preserve"> de los derechos </w:t>
      </w:r>
      <w:r>
        <w:rPr>
          <w:rFonts w:ascii="Verdana" w:hAnsi="Verdana"/>
          <w:sz w:val="20"/>
          <w:szCs w:val="20"/>
        </w:rPr>
        <w:t>comprendidos en el artículo 26 de la Convención</w:t>
      </w:r>
      <w:r w:rsidRPr="00D4312D">
        <w:rPr>
          <w:rFonts w:ascii="Verdana" w:hAnsi="Verdana"/>
          <w:sz w:val="20"/>
          <w:szCs w:val="20"/>
        </w:rPr>
        <w:t xml:space="preserve"> implicados en el caso. El Tribunal resalta que los representantes de las </w:t>
      </w:r>
      <w:r w:rsidR="00CB362B">
        <w:rPr>
          <w:rFonts w:ascii="Verdana" w:hAnsi="Verdana"/>
          <w:sz w:val="20"/>
          <w:szCs w:val="20"/>
        </w:rPr>
        <w:t>comunidades indígenas</w:t>
      </w:r>
      <w:r w:rsidR="00CE700E">
        <w:rPr>
          <w:rFonts w:ascii="Verdana" w:hAnsi="Verdana"/>
          <w:sz w:val="20"/>
          <w:szCs w:val="20"/>
        </w:rPr>
        <w:t xml:space="preserve"> no han alegado la violación de</w:t>
      </w:r>
      <w:r w:rsidRPr="00D4312D">
        <w:rPr>
          <w:rFonts w:ascii="Verdana" w:hAnsi="Verdana"/>
          <w:sz w:val="20"/>
          <w:szCs w:val="20"/>
        </w:rPr>
        <w:t>l derecho humano al agu</w:t>
      </w:r>
      <w:r w:rsidR="00CE700E">
        <w:rPr>
          <w:rFonts w:ascii="Verdana" w:hAnsi="Verdana"/>
          <w:sz w:val="20"/>
          <w:szCs w:val="20"/>
        </w:rPr>
        <w:t>a. No obstante, de conformidad con</w:t>
      </w:r>
      <w:r w:rsidRPr="00D4312D">
        <w:rPr>
          <w:rFonts w:ascii="Verdana" w:hAnsi="Verdana"/>
          <w:sz w:val="20"/>
          <w:szCs w:val="20"/>
        </w:rPr>
        <w:t xml:space="preserve"> lo que se explicará más adelante, los hechos del caso tienen relación con el goce de este dere</w:t>
      </w:r>
      <w:r w:rsidR="00AA5828">
        <w:rPr>
          <w:rFonts w:ascii="Verdana" w:hAnsi="Verdana"/>
          <w:sz w:val="20"/>
          <w:szCs w:val="20"/>
        </w:rPr>
        <w:t>cho. El mismo puede ser estudiad</w:t>
      </w:r>
      <w:r w:rsidRPr="00D4312D">
        <w:rPr>
          <w:rFonts w:ascii="Verdana" w:hAnsi="Verdana"/>
          <w:sz w:val="20"/>
          <w:szCs w:val="20"/>
        </w:rPr>
        <w:t xml:space="preserve">o, pues este Tribunal tiene competencia, con base en el principio </w:t>
      </w:r>
      <w:r w:rsidRPr="00D4312D">
        <w:rPr>
          <w:rFonts w:ascii="Verdana" w:hAnsi="Verdana"/>
          <w:i/>
          <w:sz w:val="20"/>
          <w:szCs w:val="20"/>
        </w:rPr>
        <w:t>iura novit curia,</w:t>
      </w:r>
      <w:r w:rsidRPr="00D4312D">
        <w:rPr>
          <w:rFonts w:ascii="Verdana" w:hAnsi="Verdana"/>
          <w:sz w:val="20"/>
          <w:szCs w:val="20"/>
        </w:rPr>
        <w:t xml:space="preserve"> para analizar la posible violación de las normas de la Convención que no han sido alegadas, en </w:t>
      </w:r>
      <w:r w:rsidR="00AA5828">
        <w:rPr>
          <w:rFonts w:ascii="Verdana" w:hAnsi="Verdana"/>
          <w:sz w:val="20"/>
          <w:szCs w:val="20"/>
        </w:rPr>
        <w:t>el entendido</w:t>
      </w:r>
      <w:r w:rsidRPr="00D4312D">
        <w:rPr>
          <w:rFonts w:ascii="Verdana" w:hAnsi="Verdana"/>
          <w:sz w:val="20"/>
          <w:szCs w:val="20"/>
        </w:rPr>
        <w:t xml:space="preserve"> de que las partes hayan tenido la oportunidad de expresar sus respectivas posiciones en relación con los hechos que las sustentan</w:t>
      </w:r>
      <w:r>
        <w:rPr>
          <w:rStyle w:val="Refdenotaalpie"/>
          <w:rFonts w:ascii="Verdana" w:hAnsi="Verdana"/>
          <w:sz w:val="20"/>
        </w:rPr>
        <w:footnoteReference w:id="191"/>
      </w:r>
      <w:r w:rsidRPr="00D4312D">
        <w:rPr>
          <w:rFonts w:ascii="Verdana" w:hAnsi="Verdana"/>
          <w:sz w:val="20"/>
          <w:szCs w:val="20"/>
        </w:rPr>
        <w:t>.</w:t>
      </w:r>
      <w:r w:rsidRPr="00D4312D" w:rsidDel="00860EB7">
        <w:rPr>
          <w:rFonts w:ascii="Verdana" w:hAnsi="Verdana"/>
          <w:sz w:val="20"/>
          <w:szCs w:val="20"/>
        </w:rPr>
        <w:t xml:space="preserve"> </w:t>
      </w:r>
    </w:p>
    <w:p w14:paraId="40DEC914" w14:textId="77777777" w:rsidR="007C7E7C" w:rsidRPr="00D4312D" w:rsidRDefault="007C7E7C" w:rsidP="007C7E7C">
      <w:pPr>
        <w:pStyle w:val="Prrafodelista"/>
        <w:spacing w:after="0" w:line="240" w:lineRule="auto"/>
        <w:rPr>
          <w:rFonts w:ascii="Verdana" w:hAnsi="Verdana"/>
          <w:sz w:val="20"/>
          <w:szCs w:val="20"/>
        </w:rPr>
      </w:pPr>
    </w:p>
    <w:p w14:paraId="3DD4ECB7" w14:textId="41CED941" w:rsidR="007C7E7C" w:rsidRDefault="007C7E7C" w:rsidP="007C7E7C">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2F769E">
        <w:rPr>
          <w:rFonts w:ascii="Verdana" w:hAnsi="Verdana"/>
          <w:sz w:val="20"/>
          <w:szCs w:val="20"/>
        </w:rPr>
        <w:t xml:space="preserve">La Corte advierte que este es el primer caso contencioso en </w:t>
      </w:r>
      <w:r w:rsidR="00CE700E">
        <w:rPr>
          <w:rFonts w:ascii="Verdana" w:hAnsi="Verdana"/>
          <w:sz w:val="20"/>
          <w:szCs w:val="20"/>
        </w:rPr>
        <w:t xml:space="preserve">el </w:t>
      </w:r>
      <w:r w:rsidRPr="002F769E">
        <w:rPr>
          <w:rFonts w:ascii="Verdana" w:hAnsi="Verdana"/>
          <w:sz w:val="20"/>
          <w:szCs w:val="20"/>
        </w:rPr>
        <w:t>que debe pronunciarse sobre los derechos a un medio ambiente sano, a la alimentación</w:t>
      </w:r>
      <w:r w:rsidRPr="00BF0EF1">
        <w:rPr>
          <w:rFonts w:ascii="Verdana" w:hAnsi="Verdana"/>
          <w:sz w:val="20"/>
          <w:szCs w:val="20"/>
        </w:rPr>
        <w:t xml:space="preserve"> adecuada</w:t>
      </w:r>
      <w:r w:rsidRPr="002F769E">
        <w:rPr>
          <w:rFonts w:ascii="Verdana" w:hAnsi="Verdana"/>
          <w:sz w:val="20"/>
          <w:szCs w:val="20"/>
        </w:rPr>
        <w:t>, al agua y a participar en la vida cultural a partir del artículo 26 de</w:t>
      </w:r>
      <w:r w:rsidRPr="00D4312D">
        <w:rPr>
          <w:rFonts w:ascii="Verdana" w:hAnsi="Verdana"/>
          <w:sz w:val="20"/>
          <w:szCs w:val="20"/>
        </w:rPr>
        <w:t xml:space="preserve"> la Convención. Por ello, considera útil realizar algunas consideraciones respecto a tales derechos, así como sobre</w:t>
      </w:r>
      <w:r w:rsidRPr="00D4312D">
        <w:rPr>
          <w:rFonts w:ascii="Verdana" w:hAnsi="Verdana"/>
          <w:b/>
          <w:sz w:val="20"/>
          <w:szCs w:val="20"/>
        </w:rPr>
        <w:t xml:space="preserve"> </w:t>
      </w:r>
      <w:r w:rsidRPr="00D4312D">
        <w:rPr>
          <w:rFonts w:ascii="Verdana" w:hAnsi="Verdana"/>
          <w:sz w:val="20"/>
          <w:szCs w:val="20"/>
        </w:rPr>
        <w:t>su implicancia y particularidades respecto a pueblos indígenas. A tal efecto: 1.- en el apartado siguiente dará cuenta, a) en primer lugar, del reconocimiento normativo y, en lo relevante para el caso, del contenido de los derechos aludidos, y b) en segundo término</w:t>
      </w:r>
      <w:r>
        <w:rPr>
          <w:rFonts w:ascii="Verdana" w:hAnsi="Verdana"/>
          <w:sz w:val="20"/>
          <w:szCs w:val="20"/>
        </w:rPr>
        <w:t>, de la</w:t>
      </w:r>
      <w:r w:rsidRPr="00D4312D">
        <w:rPr>
          <w:rFonts w:ascii="Verdana" w:hAnsi="Verdana"/>
          <w:sz w:val="20"/>
          <w:szCs w:val="20"/>
        </w:rPr>
        <w:t xml:space="preserve"> interdependencia de los cuatro derechos y las particularidades pertinentes de los mismos respecto de pueblos indígenas. Por otra parte, 2.- en su segundo apartado, a) indicará los hechos relevantes del caso y b) analizará si de los mismos se desprende la responsabilidad estatal.</w:t>
      </w:r>
    </w:p>
    <w:p w14:paraId="2C8A0A43" w14:textId="77777777" w:rsidR="007C7E7C" w:rsidRDefault="007C7E7C" w:rsidP="007C7E7C">
      <w:pPr>
        <w:pStyle w:val="Prrafodelista"/>
        <w:spacing w:after="0" w:line="240" w:lineRule="auto"/>
        <w:rPr>
          <w:rFonts w:ascii="Verdana" w:hAnsi="Verdana"/>
          <w:sz w:val="20"/>
          <w:szCs w:val="20"/>
          <w:lang w:val="es-CR"/>
        </w:rPr>
      </w:pPr>
    </w:p>
    <w:p w14:paraId="46B887C1" w14:textId="77777777" w:rsidR="007C7E7C" w:rsidRPr="004E4A46" w:rsidRDefault="007C7E7C" w:rsidP="007C7E7C">
      <w:pPr>
        <w:pStyle w:val="Ttulo3"/>
        <w:spacing w:before="0" w:line="240" w:lineRule="auto"/>
        <w:ind w:left="567"/>
        <w:rPr>
          <w:rFonts w:ascii="Verdana" w:hAnsi="Verdana"/>
          <w:b/>
          <w:i/>
          <w:color w:val="auto"/>
          <w:sz w:val="20"/>
          <w:szCs w:val="20"/>
        </w:rPr>
      </w:pPr>
      <w:bookmarkStart w:id="214" w:name="_Toc24799270"/>
      <w:bookmarkStart w:id="215" w:name="_Toc25169779"/>
      <w:bookmarkStart w:id="216" w:name="_Toc30667641"/>
      <w:bookmarkStart w:id="217" w:name="_Toc32218865"/>
      <w:bookmarkStart w:id="218" w:name="_Toc32227140"/>
      <w:bookmarkStart w:id="219" w:name="_Toc34337568"/>
      <w:r w:rsidRPr="004E4A46">
        <w:rPr>
          <w:rFonts w:ascii="Verdana" w:hAnsi="Verdana"/>
          <w:b/>
          <w:i/>
          <w:color w:val="auto"/>
          <w:sz w:val="20"/>
          <w:szCs w:val="20"/>
        </w:rPr>
        <w:t xml:space="preserve">B.1 Los derechos a un medio ambiente sano, a la alimentación adecuada, al agua </w:t>
      </w:r>
      <w:r>
        <w:rPr>
          <w:rFonts w:ascii="Verdana" w:hAnsi="Verdana"/>
          <w:b/>
          <w:i/>
          <w:color w:val="auto"/>
          <w:sz w:val="20"/>
          <w:szCs w:val="20"/>
        </w:rPr>
        <w:t>y a participar en la vida cultural</w:t>
      </w:r>
      <w:bookmarkEnd w:id="214"/>
      <w:bookmarkEnd w:id="215"/>
      <w:bookmarkEnd w:id="216"/>
      <w:bookmarkEnd w:id="217"/>
      <w:bookmarkEnd w:id="218"/>
      <w:bookmarkEnd w:id="219"/>
      <w:r w:rsidRPr="004E4A46">
        <w:rPr>
          <w:rFonts w:ascii="Verdana" w:hAnsi="Verdana"/>
          <w:b/>
          <w:i/>
          <w:color w:val="auto"/>
          <w:sz w:val="20"/>
          <w:szCs w:val="20"/>
        </w:rPr>
        <w:t xml:space="preserve"> </w:t>
      </w:r>
    </w:p>
    <w:p w14:paraId="303CC1AB" w14:textId="77777777" w:rsidR="007C7E7C" w:rsidRPr="008F640E" w:rsidRDefault="007C7E7C" w:rsidP="007C7E7C">
      <w:pPr>
        <w:pStyle w:val="Prrafodelista"/>
        <w:spacing w:line="240" w:lineRule="auto"/>
        <w:ind w:left="567"/>
        <w:outlineLvl w:val="3"/>
        <w:rPr>
          <w:rFonts w:ascii="Verdana" w:hAnsi="Verdana"/>
          <w:i/>
          <w:sz w:val="20"/>
          <w:szCs w:val="20"/>
        </w:rPr>
      </w:pPr>
    </w:p>
    <w:p w14:paraId="25DE8CB2" w14:textId="77777777" w:rsidR="007C7E7C" w:rsidRDefault="007C7E7C" w:rsidP="007C7E7C">
      <w:pPr>
        <w:pStyle w:val="Prrafodelista"/>
        <w:spacing w:line="240" w:lineRule="auto"/>
        <w:outlineLvl w:val="3"/>
        <w:rPr>
          <w:rFonts w:ascii="Verdana" w:hAnsi="Verdana"/>
          <w:i/>
          <w:sz w:val="20"/>
          <w:szCs w:val="20"/>
        </w:rPr>
      </w:pPr>
      <w:bookmarkStart w:id="220" w:name="_Toc30667642"/>
      <w:bookmarkStart w:id="221" w:name="_Toc32218866"/>
      <w:bookmarkStart w:id="222" w:name="_Toc32227141"/>
      <w:bookmarkStart w:id="223" w:name="_Toc34337569"/>
      <w:bookmarkStart w:id="224" w:name="_Toc25169780"/>
      <w:r w:rsidRPr="008F640E">
        <w:rPr>
          <w:rFonts w:ascii="Verdana" w:hAnsi="Verdana"/>
          <w:i/>
          <w:sz w:val="20"/>
          <w:szCs w:val="20"/>
        </w:rPr>
        <w:t>B.1.1</w:t>
      </w:r>
      <w:r>
        <w:rPr>
          <w:rFonts w:ascii="Verdana" w:hAnsi="Verdana"/>
          <w:i/>
          <w:sz w:val="20"/>
          <w:szCs w:val="20"/>
        </w:rPr>
        <w:t xml:space="preserve"> </w:t>
      </w:r>
      <w:r w:rsidRPr="004E4A46">
        <w:rPr>
          <w:rFonts w:ascii="Verdana" w:hAnsi="Verdana"/>
          <w:i/>
          <w:sz w:val="20"/>
          <w:szCs w:val="20"/>
          <w:u w:val="single"/>
        </w:rPr>
        <w:t>Reconocimiento normativo y contenido relevante</w:t>
      </w:r>
      <w:bookmarkEnd w:id="220"/>
      <w:bookmarkEnd w:id="221"/>
      <w:bookmarkEnd w:id="222"/>
      <w:bookmarkEnd w:id="223"/>
    </w:p>
    <w:p w14:paraId="65C85EC1" w14:textId="77777777" w:rsidR="007C7E7C" w:rsidRDefault="007C7E7C" w:rsidP="007C7E7C">
      <w:pPr>
        <w:pStyle w:val="Prrafodelista"/>
        <w:spacing w:line="240" w:lineRule="auto"/>
        <w:outlineLvl w:val="3"/>
        <w:rPr>
          <w:rFonts w:ascii="Verdana" w:hAnsi="Verdana"/>
          <w:i/>
          <w:sz w:val="20"/>
          <w:szCs w:val="20"/>
        </w:rPr>
      </w:pPr>
    </w:p>
    <w:p w14:paraId="52E80700" w14:textId="77777777" w:rsidR="007C7E7C" w:rsidRPr="008F640E" w:rsidRDefault="007C7E7C" w:rsidP="007C7E7C">
      <w:pPr>
        <w:pStyle w:val="Prrafodelista"/>
        <w:spacing w:line="240" w:lineRule="auto"/>
        <w:ind w:left="1134"/>
        <w:outlineLvl w:val="4"/>
        <w:rPr>
          <w:rFonts w:ascii="Verdana" w:hAnsi="Verdana"/>
          <w:i/>
          <w:sz w:val="20"/>
          <w:szCs w:val="20"/>
        </w:rPr>
      </w:pPr>
      <w:bookmarkStart w:id="225" w:name="_Toc30667643"/>
      <w:bookmarkStart w:id="226" w:name="_Toc32218867"/>
      <w:bookmarkStart w:id="227" w:name="_Toc32227142"/>
      <w:bookmarkStart w:id="228" w:name="_Toc34337570"/>
      <w:r>
        <w:rPr>
          <w:rFonts w:ascii="Verdana" w:hAnsi="Verdana"/>
          <w:i/>
          <w:sz w:val="20"/>
          <w:szCs w:val="20"/>
        </w:rPr>
        <w:t xml:space="preserve">B.1.1.1 </w:t>
      </w:r>
      <w:r w:rsidRPr="008F640E">
        <w:rPr>
          <w:rFonts w:ascii="Verdana" w:hAnsi="Verdana"/>
          <w:i/>
          <w:sz w:val="20"/>
          <w:szCs w:val="20"/>
        </w:rPr>
        <w:t xml:space="preserve">El derecho a un </w:t>
      </w:r>
      <w:r>
        <w:rPr>
          <w:rFonts w:ascii="Verdana" w:hAnsi="Verdana"/>
          <w:i/>
          <w:sz w:val="20"/>
          <w:szCs w:val="20"/>
        </w:rPr>
        <w:t xml:space="preserve">medio </w:t>
      </w:r>
      <w:r w:rsidRPr="008F640E">
        <w:rPr>
          <w:rFonts w:ascii="Verdana" w:hAnsi="Verdana"/>
          <w:i/>
          <w:sz w:val="20"/>
          <w:szCs w:val="20"/>
        </w:rPr>
        <w:t>ambiente sano</w:t>
      </w:r>
      <w:bookmarkEnd w:id="224"/>
      <w:bookmarkEnd w:id="225"/>
      <w:bookmarkEnd w:id="226"/>
      <w:bookmarkEnd w:id="227"/>
      <w:bookmarkEnd w:id="228"/>
    </w:p>
    <w:p w14:paraId="2A6172A1" w14:textId="77777777" w:rsidR="007C7E7C" w:rsidRPr="00D4312D" w:rsidRDefault="007C7E7C" w:rsidP="007C7E7C">
      <w:pPr>
        <w:pStyle w:val="Prrafodelista"/>
        <w:spacing w:line="240" w:lineRule="auto"/>
        <w:rPr>
          <w:rFonts w:ascii="Verdana" w:hAnsi="Verdana"/>
          <w:sz w:val="20"/>
          <w:szCs w:val="20"/>
          <w:lang w:val="es-CR"/>
        </w:rPr>
      </w:pPr>
    </w:p>
    <w:p w14:paraId="777745FA" w14:textId="44653EBF" w:rsidR="007C7E7C" w:rsidRDefault="007C7E7C" w:rsidP="007C7E7C">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D4312D">
        <w:rPr>
          <w:rFonts w:ascii="Verdana" w:hAnsi="Verdana"/>
          <w:sz w:val="20"/>
          <w:szCs w:val="20"/>
          <w:lang w:val="es-CR"/>
        </w:rPr>
        <w:t xml:space="preserve">Este Tribunal </w:t>
      </w:r>
      <w:r w:rsidRPr="00F83954">
        <w:rPr>
          <w:rFonts w:ascii="Verdana" w:hAnsi="Verdana"/>
          <w:sz w:val="20"/>
          <w:szCs w:val="20"/>
          <w:lang w:val="es-CR"/>
        </w:rPr>
        <w:t xml:space="preserve">ya ha </w:t>
      </w:r>
      <w:r w:rsidR="00CE700E">
        <w:rPr>
          <w:rFonts w:ascii="Verdana" w:hAnsi="Verdana"/>
          <w:sz w:val="20"/>
          <w:szCs w:val="20"/>
          <w:lang w:val="es-CR"/>
        </w:rPr>
        <w:t>manifestado</w:t>
      </w:r>
      <w:r w:rsidRPr="00F83954">
        <w:rPr>
          <w:rFonts w:ascii="Verdana" w:hAnsi="Verdana"/>
          <w:sz w:val="20"/>
          <w:szCs w:val="20"/>
          <w:lang w:val="es-CR"/>
        </w:rPr>
        <w:t xml:space="preserve"> que el </w:t>
      </w:r>
      <w:r w:rsidRPr="00F83954">
        <w:rPr>
          <w:rFonts w:ascii="Verdana" w:hAnsi="Verdana"/>
          <w:i/>
          <w:sz w:val="20"/>
          <w:szCs w:val="20"/>
          <w:lang w:val="es-CR"/>
        </w:rPr>
        <w:t>derecho a un medio ambiente sano</w:t>
      </w:r>
      <w:r w:rsidRPr="00F83954">
        <w:rPr>
          <w:rFonts w:ascii="Verdana" w:hAnsi="Verdana"/>
          <w:sz w:val="20"/>
          <w:szCs w:val="20"/>
          <w:lang w:val="es-CR"/>
        </w:rPr>
        <w:t xml:space="preserve"> “debe considerarse incluido entre los derechos […] protegidos por el artículo 26 de la Convención Americana”, dada la obligación de los Estados de alcanzar el “desarrollo integral” de sus pueblos, que surge de los artículos 30, 31, 33 y 34 de la Carta</w:t>
      </w:r>
      <w:r w:rsidRPr="00F83954">
        <w:rPr>
          <w:rStyle w:val="Refdenotaalpie"/>
          <w:rFonts w:ascii="Verdana" w:hAnsi="Verdana"/>
          <w:sz w:val="20"/>
          <w:lang w:val="es-CR"/>
        </w:rPr>
        <w:footnoteReference w:id="192"/>
      </w:r>
      <w:r w:rsidRPr="00F83954">
        <w:rPr>
          <w:rFonts w:ascii="Verdana" w:hAnsi="Verdana"/>
          <w:sz w:val="20"/>
          <w:szCs w:val="20"/>
          <w:lang w:val="es-CR"/>
        </w:rPr>
        <w:t>.</w:t>
      </w:r>
      <w:r w:rsidRPr="00D4312D">
        <w:rPr>
          <w:rFonts w:ascii="Verdana" w:hAnsi="Verdana"/>
          <w:sz w:val="20"/>
          <w:szCs w:val="20"/>
          <w:lang w:val="es-CR"/>
        </w:rPr>
        <w:t xml:space="preserve"> </w:t>
      </w:r>
    </w:p>
    <w:p w14:paraId="35C49091" w14:textId="77777777" w:rsidR="007C7E7C" w:rsidRDefault="007C7E7C" w:rsidP="007C7E7C">
      <w:pPr>
        <w:pStyle w:val="Prrafodelista"/>
        <w:spacing w:after="0" w:line="240" w:lineRule="auto"/>
        <w:ind w:left="0" w:right="6"/>
        <w:jc w:val="both"/>
        <w:rPr>
          <w:rFonts w:ascii="Verdana" w:eastAsia="Batang" w:hAnsi="Verdana" w:cs="Times"/>
          <w:sz w:val="20"/>
          <w:szCs w:val="20"/>
          <w:lang w:val="es-CR" w:eastAsia="es-CR"/>
        </w:rPr>
      </w:pPr>
    </w:p>
    <w:p w14:paraId="50EAD12F" w14:textId="62732210" w:rsidR="007C7E7C" w:rsidRDefault="007C7E7C" w:rsidP="007C7E7C">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D4312D">
        <w:rPr>
          <w:rFonts w:ascii="Verdana" w:hAnsi="Verdana"/>
          <w:sz w:val="20"/>
          <w:szCs w:val="20"/>
          <w:lang w:val="es-CR"/>
        </w:rPr>
        <w:t xml:space="preserve">La Corte ya se ha referido al contenido y alcance de este derecho, considerando diversas normas relevantes, en su </w:t>
      </w:r>
      <w:r w:rsidRPr="00BF0EF1">
        <w:rPr>
          <w:rFonts w:ascii="Verdana" w:hAnsi="Verdana"/>
          <w:i/>
          <w:sz w:val="20"/>
          <w:szCs w:val="20"/>
          <w:lang w:val="es-CR"/>
        </w:rPr>
        <w:t xml:space="preserve">Opinión Consultiva </w:t>
      </w:r>
      <w:r w:rsidR="00CB362B">
        <w:rPr>
          <w:rFonts w:ascii="Verdana" w:hAnsi="Verdana"/>
          <w:i/>
          <w:sz w:val="20"/>
          <w:szCs w:val="20"/>
          <w:lang w:val="es-CR"/>
        </w:rPr>
        <w:t>OC-</w:t>
      </w:r>
      <w:r w:rsidRPr="00BF0EF1">
        <w:rPr>
          <w:rFonts w:ascii="Verdana" w:hAnsi="Verdana"/>
          <w:i/>
          <w:sz w:val="20"/>
          <w:szCs w:val="20"/>
          <w:lang w:val="es-CR"/>
        </w:rPr>
        <w:t>23</w:t>
      </w:r>
      <w:r w:rsidR="00CB362B">
        <w:rPr>
          <w:rFonts w:ascii="Verdana" w:hAnsi="Verdana"/>
          <w:i/>
          <w:sz w:val="20"/>
          <w:szCs w:val="20"/>
          <w:lang w:val="es-CR"/>
        </w:rPr>
        <w:t>/17</w:t>
      </w:r>
      <w:r w:rsidRPr="00D4312D">
        <w:rPr>
          <w:rFonts w:ascii="Verdana" w:hAnsi="Verdana"/>
          <w:sz w:val="20"/>
          <w:szCs w:val="20"/>
          <w:lang w:val="es-CR"/>
        </w:rPr>
        <w:t>, por lo que se remite a dicho pronunciamiento</w:t>
      </w:r>
      <w:r w:rsidRPr="008F640E">
        <w:rPr>
          <w:rStyle w:val="Refdenotaalpie"/>
          <w:rFonts w:ascii="Verdana" w:hAnsi="Verdana"/>
          <w:sz w:val="20"/>
          <w:lang w:val="es-CR"/>
        </w:rPr>
        <w:footnoteReference w:id="193"/>
      </w:r>
      <w:r w:rsidRPr="00D4312D">
        <w:rPr>
          <w:rFonts w:ascii="Verdana" w:hAnsi="Verdana"/>
          <w:sz w:val="20"/>
          <w:szCs w:val="20"/>
          <w:lang w:val="es-CR"/>
        </w:rPr>
        <w:t>.</w:t>
      </w:r>
      <w:r>
        <w:rPr>
          <w:rFonts w:ascii="Verdana" w:hAnsi="Verdana"/>
          <w:sz w:val="20"/>
          <w:szCs w:val="20"/>
          <w:lang w:val="es-CR"/>
        </w:rPr>
        <w:t xml:space="preserve"> </w:t>
      </w:r>
      <w:r w:rsidRPr="00D4312D">
        <w:rPr>
          <w:rFonts w:ascii="Verdana" w:hAnsi="Verdana"/>
          <w:sz w:val="20"/>
          <w:szCs w:val="20"/>
          <w:lang w:val="es-CR"/>
        </w:rPr>
        <w:t xml:space="preserve">Afirmó en esa oportunidad que el derecho </w:t>
      </w:r>
      <w:r>
        <w:rPr>
          <w:rFonts w:ascii="Verdana" w:hAnsi="Verdana"/>
          <w:sz w:val="20"/>
          <w:szCs w:val="20"/>
          <w:lang w:val="es-CR"/>
        </w:rPr>
        <w:t>a un medio ambiente sano</w:t>
      </w:r>
      <w:r w:rsidRPr="00D4312D">
        <w:rPr>
          <w:rFonts w:ascii="Verdana" w:hAnsi="Verdana"/>
          <w:sz w:val="20"/>
          <w:szCs w:val="20"/>
          <w:lang w:val="es-CR"/>
        </w:rPr>
        <w:t xml:space="preserve"> “constituye un interés universal” y “es un derecho fundamental para la existencia de la humanidad”, y que </w:t>
      </w:r>
      <w:r>
        <w:rPr>
          <w:rFonts w:ascii="Verdana" w:hAnsi="Verdana"/>
          <w:sz w:val="20"/>
          <w:szCs w:val="20"/>
          <w:lang w:val="es-CR"/>
        </w:rPr>
        <w:t>“</w:t>
      </w:r>
      <w:r w:rsidRPr="00D4312D">
        <w:rPr>
          <w:rFonts w:ascii="Verdana" w:hAnsi="Verdana"/>
          <w:sz w:val="20"/>
          <w:szCs w:val="20"/>
          <w:lang w:val="es-CR"/>
        </w:rPr>
        <w:t xml:space="preserve">como derecho autónomo […] protege los componentes del </w:t>
      </w:r>
      <w:r w:rsidR="00D10B17">
        <w:rPr>
          <w:rFonts w:ascii="Verdana" w:hAnsi="Verdana"/>
          <w:sz w:val="20"/>
          <w:szCs w:val="20"/>
          <w:lang w:val="es-CR"/>
        </w:rPr>
        <w:t xml:space="preserve">[…] </w:t>
      </w:r>
      <w:r w:rsidRPr="00D4312D">
        <w:rPr>
          <w:rFonts w:ascii="Verdana" w:hAnsi="Verdana"/>
          <w:sz w:val="20"/>
          <w:szCs w:val="20"/>
          <w:lang w:val="es-CR"/>
        </w:rPr>
        <w:t>ambiente, tales como bosques, mares, ríos y otros, como intereses jurídicos en sí mismos, aun en ausencia de certeza o evidencia sobre el riesgo a las personas individuales. Se trata de proteger la naturaleza”, no solo por su “utilidad” o “efectos” respecto de los seres humanos, “sino por su importancia para los demás organismos vivos con quienes se comparte el planeta”. Lo anterior no obsta, desde luego, a que otros derechos humanos puedan ser vulnerados como consecuencia de daños ambientales</w:t>
      </w:r>
      <w:r w:rsidRPr="00F30FD7">
        <w:rPr>
          <w:rStyle w:val="Refdenotaalpie"/>
          <w:rFonts w:ascii="Verdana" w:hAnsi="Verdana"/>
          <w:sz w:val="20"/>
          <w:lang w:val="es-CR"/>
        </w:rPr>
        <w:footnoteReference w:id="194"/>
      </w:r>
      <w:r>
        <w:rPr>
          <w:rFonts w:ascii="Verdana" w:hAnsi="Verdana"/>
          <w:sz w:val="20"/>
          <w:szCs w:val="20"/>
          <w:lang w:val="es-CR"/>
        </w:rPr>
        <w:t>.</w:t>
      </w:r>
      <w:r w:rsidRPr="00D4312D">
        <w:rPr>
          <w:rFonts w:ascii="Verdana" w:hAnsi="Verdana"/>
          <w:sz w:val="20"/>
          <w:szCs w:val="20"/>
          <w:lang w:val="es-CR"/>
        </w:rPr>
        <w:t xml:space="preserve"> </w:t>
      </w:r>
    </w:p>
    <w:p w14:paraId="5B67CEFD" w14:textId="77777777" w:rsidR="007C7E7C" w:rsidRPr="00D4312D" w:rsidRDefault="007C7E7C" w:rsidP="007C7E7C">
      <w:pPr>
        <w:pStyle w:val="Prrafodelista"/>
        <w:spacing w:line="240" w:lineRule="auto"/>
        <w:rPr>
          <w:rFonts w:ascii="Verdana" w:hAnsi="Verdana"/>
          <w:sz w:val="20"/>
          <w:szCs w:val="20"/>
        </w:rPr>
      </w:pPr>
    </w:p>
    <w:p w14:paraId="387CB4B9" w14:textId="6361276D" w:rsidR="007C7E7C" w:rsidRDefault="007C7E7C" w:rsidP="007C7E7C">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D4312D">
        <w:rPr>
          <w:rFonts w:ascii="Verdana" w:hAnsi="Verdana"/>
          <w:sz w:val="20"/>
          <w:szCs w:val="20"/>
        </w:rPr>
        <w:t>Es pertinente dejar sentado que Argentina, a nivel constitucional, reconoce el derecho al ambiente</w:t>
      </w:r>
      <w:r w:rsidR="00D10B17">
        <w:rPr>
          <w:rFonts w:ascii="Verdana" w:hAnsi="Verdana"/>
          <w:sz w:val="20"/>
          <w:szCs w:val="20"/>
        </w:rPr>
        <w:t xml:space="preserve"> sano</w:t>
      </w:r>
      <w:r w:rsidRPr="00D4312D">
        <w:rPr>
          <w:rFonts w:ascii="Verdana" w:hAnsi="Verdana"/>
          <w:sz w:val="20"/>
          <w:szCs w:val="20"/>
        </w:rPr>
        <w:t xml:space="preserve">. El artículo 41 de la Constitución Nacional expresa que </w:t>
      </w:r>
    </w:p>
    <w:p w14:paraId="232DFDDE" w14:textId="77777777" w:rsidR="007C7E7C" w:rsidRDefault="007C7E7C" w:rsidP="007C7E7C">
      <w:pPr>
        <w:pStyle w:val="Prrafodelista"/>
        <w:spacing w:line="240" w:lineRule="auto"/>
        <w:rPr>
          <w:rFonts w:ascii="Verdana" w:hAnsi="Verdana"/>
          <w:sz w:val="20"/>
          <w:szCs w:val="20"/>
        </w:rPr>
      </w:pPr>
    </w:p>
    <w:p w14:paraId="3670ED43" w14:textId="77777777" w:rsidR="007C7E7C" w:rsidRPr="008F640E" w:rsidRDefault="007C7E7C" w:rsidP="007C7E7C">
      <w:pPr>
        <w:pStyle w:val="Prrafodelista"/>
        <w:spacing w:after="0" w:line="240" w:lineRule="auto"/>
        <w:ind w:left="284" w:right="288"/>
        <w:jc w:val="both"/>
        <w:rPr>
          <w:rFonts w:ascii="Verdana" w:hAnsi="Verdana"/>
          <w:i/>
          <w:sz w:val="16"/>
          <w:szCs w:val="16"/>
        </w:rPr>
      </w:pPr>
      <w:r>
        <w:rPr>
          <w:rFonts w:ascii="Verdana" w:hAnsi="Verdana"/>
          <w:sz w:val="16"/>
          <w:szCs w:val="16"/>
        </w:rPr>
        <w:t>[</w:t>
      </w:r>
      <w:r w:rsidRPr="008F640E">
        <w:rPr>
          <w:rFonts w:ascii="Verdana" w:hAnsi="Verdana"/>
          <w:sz w:val="16"/>
          <w:szCs w:val="16"/>
        </w:rPr>
        <w:t>t</w:t>
      </w:r>
      <w:r>
        <w:rPr>
          <w:rFonts w:ascii="Verdana" w:hAnsi="Verdana"/>
          <w:sz w:val="16"/>
          <w:szCs w:val="16"/>
        </w:rPr>
        <w:t>]</w:t>
      </w:r>
      <w:r w:rsidRPr="008F640E">
        <w:rPr>
          <w:rFonts w:ascii="Verdana" w:hAnsi="Verdana"/>
          <w:sz w:val="16"/>
          <w:szCs w:val="16"/>
        </w:rPr>
        <w:t xml:space="preserve">odos los habitantes gozan del derecho a un ambiente sano, equilibrado, apto para el desarrollo humano y para que las actividades productivas satisfagan las necesidades presentes sin comprometer las de las generaciones futuras; y tienen el deber de preservarlo. […] Las autoridades proveerán a la protección de este derecho, a la utilización racional de los recursos naturales, a la preservación del patrimonio natural y cultural y de la diversidad biológica, y a la información y educación ambientales. </w:t>
      </w:r>
    </w:p>
    <w:p w14:paraId="254B0559" w14:textId="77777777" w:rsidR="007C7E7C" w:rsidRPr="00D4312D" w:rsidRDefault="007C7E7C" w:rsidP="007C7E7C">
      <w:pPr>
        <w:pStyle w:val="Prrafodelista"/>
        <w:spacing w:line="240" w:lineRule="auto"/>
        <w:rPr>
          <w:rFonts w:ascii="Verdana" w:hAnsi="Verdana"/>
          <w:sz w:val="20"/>
          <w:szCs w:val="20"/>
        </w:rPr>
      </w:pPr>
    </w:p>
    <w:p w14:paraId="4A18F149" w14:textId="44860228" w:rsidR="007C7E7C" w:rsidRPr="00BF0EF1" w:rsidRDefault="007C7E7C" w:rsidP="007C7E7C">
      <w:pPr>
        <w:pStyle w:val="Prrafodelista"/>
        <w:spacing w:after="0" w:line="240" w:lineRule="auto"/>
        <w:ind w:left="0" w:right="6"/>
        <w:jc w:val="both"/>
        <w:rPr>
          <w:rFonts w:ascii="Verdana" w:eastAsia="Batang" w:hAnsi="Verdana" w:cs="Times"/>
          <w:sz w:val="20"/>
          <w:szCs w:val="20"/>
          <w:lang w:val="es-CR" w:eastAsia="es-CR"/>
        </w:rPr>
      </w:pPr>
      <w:r w:rsidRPr="00D4312D" w:rsidDel="00E169B0">
        <w:rPr>
          <w:rFonts w:ascii="Verdana" w:hAnsi="Verdana"/>
          <w:sz w:val="20"/>
          <w:szCs w:val="20"/>
        </w:rPr>
        <w:t xml:space="preserve">La Constitución de Salta, por su parte, en su artículo 30, </w:t>
      </w:r>
      <w:r w:rsidR="00CB362B">
        <w:rPr>
          <w:rFonts w:ascii="Verdana" w:hAnsi="Verdana"/>
          <w:sz w:val="20"/>
          <w:szCs w:val="20"/>
        </w:rPr>
        <w:t>establece que</w:t>
      </w:r>
      <w:r w:rsidRPr="00D4312D" w:rsidDel="00E169B0">
        <w:rPr>
          <w:rFonts w:ascii="Verdana" w:hAnsi="Verdana"/>
          <w:sz w:val="20"/>
          <w:szCs w:val="20"/>
        </w:rPr>
        <w:t>: “</w:t>
      </w:r>
      <w:r w:rsidR="00CB362B">
        <w:rPr>
          <w:rFonts w:ascii="Verdana" w:hAnsi="Verdana"/>
          <w:sz w:val="20"/>
          <w:szCs w:val="20"/>
        </w:rPr>
        <w:t>[t]</w:t>
      </w:r>
      <w:r w:rsidRPr="00D4312D" w:rsidDel="00E169B0">
        <w:rPr>
          <w:rFonts w:ascii="Verdana" w:hAnsi="Verdana"/>
          <w:sz w:val="20"/>
          <w:szCs w:val="20"/>
        </w:rPr>
        <w:t>odos tienen el deber de conservar el medio ambiente equilibrado y armonioso, así como el derecho a disfrutarlo. Los poderes públicos defienden y resguardan el medio ambiente en procura de mejorar la calidad de vida, previenen la contaminación ambiental y sancionan las conductas contrarias</w:t>
      </w:r>
      <w:r>
        <w:rPr>
          <w:rFonts w:ascii="Verdana" w:hAnsi="Verdana"/>
          <w:sz w:val="20"/>
          <w:szCs w:val="20"/>
        </w:rPr>
        <w:t>”</w:t>
      </w:r>
      <w:r w:rsidRPr="00D4312D" w:rsidDel="00E169B0">
        <w:rPr>
          <w:rFonts w:ascii="Verdana" w:hAnsi="Verdana"/>
          <w:sz w:val="20"/>
          <w:szCs w:val="20"/>
        </w:rPr>
        <w:t>. El artículo 80, además, expresa</w:t>
      </w:r>
      <w:r>
        <w:rPr>
          <w:rFonts w:ascii="Verdana" w:hAnsi="Verdana"/>
          <w:sz w:val="20"/>
          <w:szCs w:val="20"/>
        </w:rPr>
        <w:t xml:space="preserve"> que</w:t>
      </w:r>
      <w:r w:rsidRPr="00D4312D" w:rsidDel="00E169B0">
        <w:rPr>
          <w:rFonts w:ascii="Verdana" w:hAnsi="Verdana"/>
          <w:sz w:val="20"/>
          <w:szCs w:val="20"/>
        </w:rPr>
        <w:t xml:space="preserve"> “[e]s obligación del Estado y de toda persona, proteger los procesos ecológicos esenciales y los sistemas de vida</w:t>
      </w:r>
      <w:r w:rsidRPr="00D4312D" w:rsidDel="00E169B0">
        <w:rPr>
          <w:rFonts w:ascii="Verdana" w:hAnsi="Verdana" w:cs="Arial"/>
          <w:sz w:val="20"/>
          <w:szCs w:val="20"/>
          <w:shd w:val="clear" w:color="auto" w:fill="FFFFFF"/>
        </w:rPr>
        <w:t xml:space="preserve">, de los que dependen el desarrollo y la supervivencia humana”. </w:t>
      </w:r>
    </w:p>
    <w:p w14:paraId="39ED6213" w14:textId="77777777" w:rsidR="007C7E7C" w:rsidRPr="00BF0EF1" w:rsidRDefault="007C7E7C" w:rsidP="007C7E7C">
      <w:pPr>
        <w:pStyle w:val="Prrafodelista"/>
        <w:spacing w:after="0" w:line="240" w:lineRule="auto"/>
        <w:ind w:left="0" w:right="6"/>
        <w:jc w:val="both"/>
        <w:rPr>
          <w:rFonts w:ascii="Verdana" w:eastAsia="Batang" w:hAnsi="Verdana" w:cs="Times"/>
          <w:sz w:val="20"/>
          <w:szCs w:val="20"/>
          <w:lang w:val="es-CR" w:eastAsia="es-CR"/>
        </w:rPr>
      </w:pPr>
    </w:p>
    <w:p w14:paraId="62D84399" w14:textId="753CB4A2" w:rsidR="007C7E7C" w:rsidRPr="00D4312D" w:rsidRDefault="007C7E7C" w:rsidP="007C7E7C">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D4312D" w:rsidDel="00E169B0">
        <w:rPr>
          <w:rFonts w:ascii="Verdana" w:hAnsi="Verdana" w:cs="Arial"/>
          <w:sz w:val="20"/>
          <w:szCs w:val="20"/>
          <w:shd w:val="clear" w:color="auto" w:fill="FFFFFF"/>
        </w:rPr>
        <w:t xml:space="preserve">Además, Argentina ratificó el Protocolo </w:t>
      </w:r>
      <w:r>
        <w:rPr>
          <w:rFonts w:ascii="Verdana" w:hAnsi="Verdana" w:cs="Arial"/>
          <w:sz w:val="20"/>
          <w:szCs w:val="20"/>
          <w:shd w:val="clear" w:color="auto" w:fill="FFFFFF"/>
        </w:rPr>
        <w:t xml:space="preserve">adicional a la Convención Americana sobre Derechos Humanos en Materia de Derechos Económicos, Sociales y Culturales “Protocolo de San Salvador” (en adelante “Protocolo </w:t>
      </w:r>
      <w:r w:rsidRPr="00D4312D" w:rsidDel="00E169B0">
        <w:rPr>
          <w:rFonts w:ascii="Verdana" w:hAnsi="Verdana" w:cs="Arial"/>
          <w:sz w:val="20"/>
          <w:szCs w:val="20"/>
          <w:shd w:val="clear" w:color="auto" w:fill="FFFFFF"/>
        </w:rPr>
        <w:t>de San Salvador</w:t>
      </w:r>
      <w:r>
        <w:rPr>
          <w:rFonts w:ascii="Verdana" w:hAnsi="Verdana" w:cs="Arial"/>
          <w:sz w:val="20"/>
          <w:szCs w:val="20"/>
          <w:shd w:val="clear" w:color="auto" w:fill="FFFFFF"/>
        </w:rPr>
        <w:t>”)</w:t>
      </w:r>
      <w:r>
        <w:rPr>
          <w:rStyle w:val="Refdenotaalpie"/>
          <w:rFonts w:ascii="Verdana" w:hAnsi="Verdana"/>
          <w:sz w:val="20"/>
          <w:shd w:val="clear" w:color="auto" w:fill="FFFFFF"/>
        </w:rPr>
        <w:footnoteReference w:id="195"/>
      </w:r>
      <w:r w:rsidRPr="00D4312D" w:rsidDel="00E169B0">
        <w:rPr>
          <w:rFonts w:ascii="Verdana" w:hAnsi="Verdana" w:cs="Arial"/>
          <w:sz w:val="20"/>
          <w:szCs w:val="20"/>
          <w:shd w:val="clear" w:color="auto" w:fill="FFFFFF"/>
        </w:rPr>
        <w:t>, que en su artículo 11</w:t>
      </w:r>
      <w:r>
        <w:rPr>
          <w:rFonts w:ascii="Verdana" w:hAnsi="Verdana" w:cs="Arial"/>
          <w:sz w:val="20"/>
          <w:szCs w:val="20"/>
          <w:shd w:val="clear" w:color="auto" w:fill="FFFFFF"/>
        </w:rPr>
        <w:t>, titulado “Derecho a un Medio Ambiente Sano”</w:t>
      </w:r>
      <w:r w:rsidR="00CB362B">
        <w:rPr>
          <w:rFonts w:ascii="Verdana" w:hAnsi="Verdana" w:cs="Arial"/>
          <w:sz w:val="20"/>
          <w:szCs w:val="20"/>
          <w:shd w:val="clear" w:color="auto" w:fill="FFFFFF"/>
        </w:rPr>
        <w:t>, dispone que</w:t>
      </w:r>
      <w:r w:rsidRPr="00D4312D" w:rsidDel="00E169B0">
        <w:rPr>
          <w:rFonts w:ascii="Verdana" w:hAnsi="Verdana" w:cs="Arial"/>
          <w:sz w:val="20"/>
          <w:szCs w:val="20"/>
          <w:shd w:val="clear" w:color="auto" w:fill="FFFFFF"/>
        </w:rPr>
        <w:t xml:space="preserve"> “</w:t>
      </w:r>
      <w:r w:rsidRPr="00D4312D" w:rsidDel="00E169B0">
        <w:rPr>
          <w:rFonts w:ascii="Verdana" w:hAnsi="Verdana" w:cs="Tahoma"/>
          <w:color w:val="000000"/>
          <w:sz w:val="20"/>
          <w:szCs w:val="20"/>
          <w:lang w:val="es-ES"/>
        </w:rPr>
        <w:t>1. Toda persona tiene derecho a vivir en un medio ambiente sano y a contar con servicios públicos básicos.2. Los Estados partes promoverán la protección, preservación y mejoramiento del medio ambiente”.</w:t>
      </w:r>
    </w:p>
    <w:p w14:paraId="1DA6367A" w14:textId="77777777" w:rsidR="007C7E7C" w:rsidRDefault="007C7E7C" w:rsidP="007C7E7C">
      <w:pPr>
        <w:pStyle w:val="Prrafodelista"/>
        <w:spacing w:after="0" w:line="240" w:lineRule="auto"/>
        <w:ind w:left="0" w:right="6"/>
        <w:jc w:val="both"/>
        <w:rPr>
          <w:rFonts w:ascii="Verdana" w:eastAsia="Batang" w:hAnsi="Verdana" w:cs="Times"/>
          <w:sz w:val="20"/>
          <w:szCs w:val="20"/>
          <w:lang w:val="es-CR" w:eastAsia="es-CR"/>
        </w:rPr>
      </w:pPr>
    </w:p>
    <w:p w14:paraId="0C849D65" w14:textId="37717B10" w:rsidR="007C7E7C" w:rsidRDefault="007C7E7C" w:rsidP="007C7E7C">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D4312D">
        <w:rPr>
          <w:rFonts w:ascii="Verdana" w:hAnsi="Verdana"/>
          <w:sz w:val="20"/>
          <w:szCs w:val="20"/>
        </w:rPr>
        <w:t xml:space="preserve">De modo solo adicional, se deja constancia </w:t>
      </w:r>
      <w:r w:rsidR="00CE700E">
        <w:rPr>
          <w:rFonts w:ascii="Verdana" w:hAnsi="Verdana"/>
          <w:sz w:val="20"/>
          <w:szCs w:val="20"/>
        </w:rPr>
        <w:t xml:space="preserve">de </w:t>
      </w:r>
      <w:r w:rsidRPr="00D4312D">
        <w:rPr>
          <w:rFonts w:ascii="Verdana" w:hAnsi="Verdana"/>
          <w:sz w:val="20"/>
          <w:szCs w:val="20"/>
        </w:rPr>
        <w:t>que el derecho al ambiente</w:t>
      </w:r>
      <w:r w:rsidR="00D10B17">
        <w:rPr>
          <w:rFonts w:ascii="Verdana" w:hAnsi="Verdana"/>
          <w:sz w:val="20"/>
          <w:szCs w:val="20"/>
        </w:rPr>
        <w:t xml:space="preserve"> sano</w:t>
      </w:r>
      <w:r w:rsidRPr="00D4312D">
        <w:rPr>
          <w:rFonts w:ascii="Verdana" w:hAnsi="Verdana"/>
          <w:sz w:val="20"/>
          <w:szCs w:val="20"/>
        </w:rPr>
        <w:t xml:space="preserve"> ha sido objeto de reconocimiento por diversos países de América: ya ha advertido la Corte que </w:t>
      </w:r>
      <w:r>
        <w:rPr>
          <w:rFonts w:ascii="Verdana" w:hAnsi="Verdana"/>
          <w:sz w:val="20"/>
          <w:szCs w:val="20"/>
        </w:rPr>
        <w:t xml:space="preserve">al menos </w:t>
      </w:r>
      <w:r w:rsidRPr="00D4312D">
        <w:rPr>
          <w:rFonts w:ascii="Verdana" w:hAnsi="Verdana"/>
          <w:sz w:val="20"/>
          <w:szCs w:val="20"/>
        </w:rPr>
        <w:t>1</w:t>
      </w:r>
      <w:r>
        <w:rPr>
          <w:rFonts w:ascii="Verdana" w:hAnsi="Verdana"/>
          <w:sz w:val="20"/>
          <w:szCs w:val="20"/>
        </w:rPr>
        <w:t>6</w:t>
      </w:r>
      <w:r w:rsidRPr="00D4312D">
        <w:rPr>
          <w:rFonts w:ascii="Verdana" w:hAnsi="Verdana"/>
          <w:sz w:val="20"/>
          <w:szCs w:val="20"/>
        </w:rPr>
        <w:t xml:space="preserve"> Estados del continente lo incluyen</w:t>
      </w:r>
      <w:r w:rsidRPr="00D4312D">
        <w:rPr>
          <w:rFonts w:ascii="Verdana" w:hAnsi="Verdana"/>
          <w:b/>
          <w:sz w:val="20"/>
          <w:szCs w:val="20"/>
        </w:rPr>
        <w:t xml:space="preserve"> </w:t>
      </w:r>
      <w:r w:rsidRPr="00D4312D">
        <w:rPr>
          <w:rFonts w:ascii="Verdana" w:hAnsi="Verdana"/>
          <w:sz w:val="20"/>
          <w:szCs w:val="20"/>
        </w:rPr>
        <w:t xml:space="preserve">en sus </w:t>
      </w:r>
      <w:r w:rsidRPr="006D7D3C">
        <w:rPr>
          <w:rFonts w:ascii="Verdana" w:hAnsi="Verdana"/>
          <w:sz w:val="20"/>
          <w:szCs w:val="20"/>
        </w:rPr>
        <w:t>Co</w:t>
      </w:r>
      <w:r w:rsidRPr="00D4312D">
        <w:rPr>
          <w:rFonts w:ascii="Verdana" w:hAnsi="Verdana"/>
          <w:sz w:val="20"/>
          <w:szCs w:val="20"/>
        </w:rPr>
        <w:t>nstituciones</w:t>
      </w:r>
      <w:r w:rsidRPr="008F640E">
        <w:rPr>
          <w:rStyle w:val="Refdenotaalpie"/>
          <w:rFonts w:ascii="Verdana" w:hAnsi="Verdana"/>
          <w:sz w:val="20"/>
        </w:rPr>
        <w:footnoteReference w:id="196"/>
      </w:r>
      <w:r w:rsidRPr="00D4312D">
        <w:rPr>
          <w:rFonts w:ascii="Verdana" w:hAnsi="Verdana"/>
          <w:sz w:val="20"/>
          <w:szCs w:val="20"/>
        </w:rPr>
        <w:t xml:space="preserve">. </w:t>
      </w:r>
    </w:p>
    <w:p w14:paraId="5696F293" w14:textId="77777777" w:rsidR="007C7E7C" w:rsidRPr="00D4312D" w:rsidRDefault="007C7E7C" w:rsidP="007C7E7C">
      <w:pPr>
        <w:pStyle w:val="Prrafodelista"/>
        <w:spacing w:line="240" w:lineRule="auto"/>
        <w:rPr>
          <w:rFonts w:ascii="Verdana" w:hAnsi="Verdana"/>
          <w:sz w:val="20"/>
          <w:szCs w:val="20"/>
        </w:rPr>
      </w:pPr>
    </w:p>
    <w:p w14:paraId="77E4C4CB" w14:textId="4DBF8327" w:rsidR="007C7E7C" w:rsidRPr="00D4312D" w:rsidRDefault="007C7E7C" w:rsidP="007C7E7C">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D4312D">
        <w:rPr>
          <w:rFonts w:ascii="Verdana" w:hAnsi="Verdana"/>
          <w:sz w:val="20"/>
          <w:szCs w:val="20"/>
        </w:rPr>
        <w:t>En lo que es relevante para el caso, debe hacerse notar que rige respecto al derecho al ambiente</w:t>
      </w:r>
      <w:r w:rsidR="00D10B17">
        <w:rPr>
          <w:rFonts w:ascii="Verdana" w:hAnsi="Verdana"/>
          <w:sz w:val="20"/>
          <w:szCs w:val="20"/>
        </w:rPr>
        <w:t xml:space="preserve"> sano</w:t>
      </w:r>
      <w:r w:rsidRPr="00D4312D">
        <w:rPr>
          <w:rFonts w:ascii="Verdana" w:hAnsi="Verdana"/>
          <w:sz w:val="20"/>
          <w:szCs w:val="20"/>
        </w:rPr>
        <w:t xml:space="preserve"> no solo la obligación de respeto</w:t>
      </w:r>
      <w:r>
        <w:rPr>
          <w:rStyle w:val="Refdenotaalpie"/>
          <w:rFonts w:ascii="Verdana" w:hAnsi="Verdana"/>
          <w:sz w:val="20"/>
        </w:rPr>
        <w:footnoteReference w:id="197"/>
      </w:r>
      <w:r w:rsidRPr="00D4312D">
        <w:rPr>
          <w:rFonts w:ascii="Verdana" w:hAnsi="Verdana"/>
          <w:sz w:val="20"/>
          <w:szCs w:val="20"/>
        </w:rPr>
        <w:t xml:space="preserve">, sino también la obligación </w:t>
      </w:r>
      <w:r w:rsidRPr="00D4312D">
        <w:rPr>
          <w:rFonts w:ascii="Verdana" w:hAnsi="Verdana"/>
          <w:sz w:val="20"/>
          <w:szCs w:val="20"/>
        </w:rPr>
        <w:lastRenderedPageBreak/>
        <w:t xml:space="preserve">de garantía prevista en el artículo 1.1 de la Convención, una de cuyas formas de observancia </w:t>
      </w:r>
      <w:r>
        <w:rPr>
          <w:rFonts w:ascii="Verdana" w:hAnsi="Verdana"/>
          <w:sz w:val="20"/>
          <w:szCs w:val="20"/>
        </w:rPr>
        <w:t xml:space="preserve">consiste </w:t>
      </w:r>
      <w:r w:rsidRPr="00D4312D">
        <w:rPr>
          <w:rFonts w:ascii="Verdana" w:hAnsi="Verdana"/>
          <w:sz w:val="20"/>
          <w:szCs w:val="20"/>
        </w:rPr>
        <w:t>e</w:t>
      </w:r>
      <w:r>
        <w:rPr>
          <w:rFonts w:ascii="Verdana" w:hAnsi="Verdana"/>
          <w:sz w:val="20"/>
          <w:szCs w:val="20"/>
        </w:rPr>
        <w:t>n</w:t>
      </w:r>
      <w:r w:rsidRPr="00D4312D">
        <w:rPr>
          <w:rFonts w:ascii="Verdana" w:hAnsi="Verdana"/>
          <w:sz w:val="20"/>
          <w:szCs w:val="20"/>
        </w:rPr>
        <w:t xml:space="preserve"> preveni</w:t>
      </w:r>
      <w:r>
        <w:rPr>
          <w:rFonts w:ascii="Verdana" w:hAnsi="Verdana"/>
          <w:sz w:val="20"/>
          <w:szCs w:val="20"/>
        </w:rPr>
        <w:t>r</w:t>
      </w:r>
      <w:r w:rsidRPr="00D4312D">
        <w:rPr>
          <w:rFonts w:ascii="Verdana" w:hAnsi="Verdana"/>
          <w:sz w:val="20"/>
          <w:szCs w:val="20"/>
        </w:rPr>
        <w:t xml:space="preserve"> violaciones. Este deber se proyecta a la “esfera privada”, a fin de evitar que “terceros vulneren los bienes jurídicos </w:t>
      </w:r>
      <w:r w:rsidRPr="00C260BF">
        <w:rPr>
          <w:rFonts w:ascii="Verdana" w:hAnsi="Verdana"/>
          <w:sz w:val="20"/>
          <w:szCs w:val="20"/>
        </w:rPr>
        <w:t>protegidos”, y “abarca</w:t>
      </w:r>
      <w:r w:rsidRPr="00D4312D">
        <w:rPr>
          <w:rFonts w:ascii="Verdana" w:hAnsi="Verdana"/>
          <w:sz w:val="20"/>
          <w:szCs w:val="20"/>
        </w:rPr>
        <w:t xml:space="preserve"> todas aquellas medidas de carácter jurídico, político, administrativo y cultural que promuevan la salvaguarda de los derechos humanos y que aseguren que las eventuales violaciones a los mismos sean efectivamente consideradas y tratadas como un hecho ilícito</w:t>
      </w:r>
      <w:r>
        <w:rPr>
          <w:rFonts w:ascii="Verdana" w:hAnsi="Verdana"/>
          <w:sz w:val="20"/>
          <w:szCs w:val="20"/>
        </w:rPr>
        <w:t>”</w:t>
      </w:r>
      <w:r w:rsidRPr="008F640E">
        <w:rPr>
          <w:rStyle w:val="Refdenotaalpie"/>
          <w:rFonts w:ascii="Verdana" w:hAnsi="Verdana"/>
          <w:sz w:val="20"/>
        </w:rPr>
        <w:footnoteReference w:id="198"/>
      </w:r>
      <w:r w:rsidRPr="00D4312D">
        <w:rPr>
          <w:rFonts w:ascii="Verdana" w:hAnsi="Verdana"/>
          <w:sz w:val="20"/>
          <w:szCs w:val="20"/>
        </w:rPr>
        <w:t>. En esta línea, la Corte ha señalado que en ciertas ocasiones los Estados tienen la obligación de establecer mecanismos adecuados para supervisar y fiscalizar ciertas actividades, a efecto de garantizar los derechos humanos, protegiéndolos de las acciones de entidades públicas, así como de personas privadas</w:t>
      </w:r>
      <w:r w:rsidRPr="008F640E">
        <w:rPr>
          <w:rStyle w:val="Refdenotaalpie"/>
          <w:rFonts w:ascii="Verdana" w:hAnsi="Verdana"/>
          <w:sz w:val="20"/>
        </w:rPr>
        <w:footnoteReference w:id="199"/>
      </w:r>
      <w:r w:rsidRPr="00D4312D">
        <w:rPr>
          <w:rFonts w:ascii="Verdana" w:hAnsi="Verdana"/>
          <w:sz w:val="20"/>
          <w:szCs w:val="20"/>
        </w:rPr>
        <w:t>. La obligación de prevenir “es de medio o comportamiento y no se demuestra su incumplimiento por el mero hecho de que un derecho haya sido violado”</w:t>
      </w:r>
      <w:r w:rsidRPr="008F640E">
        <w:rPr>
          <w:rStyle w:val="Refdenotaalpie"/>
          <w:rFonts w:ascii="Verdana" w:hAnsi="Verdana"/>
          <w:sz w:val="20"/>
        </w:rPr>
        <w:footnoteReference w:id="200"/>
      </w:r>
      <w:r>
        <w:rPr>
          <w:rFonts w:ascii="Verdana" w:hAnsi="Verdana"/>
          <w:sz w:val="20"/>
          <w:szCs w:val="20"/>
        </w:rPr>
        <w:t>.</w:t>
      </w:r>
      <w:r w:rsidRPr="00D4312D">
        <w:rPr>
          <w:rFonts w:ascii="Verdana" w:hAnsi="Verdana"/>
          <w:sz w:val="20"/>
          <w:szCs w:val="20"/>
        </w:rPr>
        <w:t xml:space="preserve"> D</w:t>
      </w:r>
      <w:r w:rsidR="00CE700E">
        <w:rPr>
          <w:rFonts w:ascii="Verdana" w:hAnsi="Verdana"/>
          <w:sz w:val="20"/>
          <w:szCs w:val="20"/>
        </w:rPr>
        <w:t>ebido a</w:t>
      </w:r>
      <w:r w:rsidRPr="00D4312D">
        <w:rPr>
          <w:rFonts w:ascii="Verdana" w:hAnsi="Verdana"/>
          <w:sz w:val="20"/>
          <w:szCs w:val="20"/>
        </w:rPr>
        <w:t xml:space="preserve"> que lo indicado es aplicable al conjunto de los derechos receptados en la Convención Americana, es útil dejar </w:t>
      </w:r>
      <w:r>
        <w:rPr>
          <w:rFonts w:ascii="Verdana" w:hAnsi="Verdana"/>
          <w:sz w:val="20"/>
          <w:szCs w:val="20"/>
        </w:rPr>
        <w:t>ya sentado</w:t>
      </w:r>
      <w:r w:rsidRPr="00D4312D">
        <w:rPr>
          <w:rFonts w:ascii="Verdana" w:hAnsi="Verdana"/>
          <w:sz w:val="20"/>
          <w:szCs w:val="20"/>
        </w:rPr>
        <w:t xml:space="preserve"> que también refiere a los derechos a la alimentación adecuada, al agua y a</w:t>
      </w:r>
      <w:r>
        <w:rPr>
          <w:rFonts w:ascii="Verdana" w:hAnsi="Verdana"/>
          <w:sz w:val="20"/>
          <w:szCs w:val="20"/>
        </w:rPr>
        <w:t xml:space="preserve"> participar en</w:t>
      </w:r>
      <w:r w:rsidRPr="00D4312D">
        <w:rPr>
          <w:rFonts w:ascii="Verdana" w:hAnsi="Verdana"/>
          <w:sz w:val="20"/>
          <w:szCs w:val="20"/>
        </w:rPr>
        <w:t xml:space="preserve"> la </w:t>
      </w:r>
      <w:r>
        <w:rPr>
          <w:rFonts w:ascii="Verdana" w:hAnsi="Verdana"/>
          <w:sz w:val="20"/>
          <w:szCs w:val="20"/>
        </w:rPr>
        <w:t>vida</w:t>
      </w:r>
      <w:r w:rsidRPr="00D4312D">
        <w:rPr>
          <w:rFonts w:ascii="Verdana" w:hAnsi="Verdana"/>
          <w:sz w:val="20"/>
          <w:szCs w:val="20"/>
        </w:rPr>
        <w:t xml:space="preserve"> cultural.  </w:t>
      </w:r>
    </w:p>
    <w:p w14:paraId="1E5EA652" w14:textId="77777777" w:rsidR="007C7E7C" w:rsidRDefault="007C7E7C" w:rsidP="007C7E7C">
      <w:pPr>
        <w:pStyle w:val="Prrafodelista"/>
        <w:spacing w:after="0" w:line="240" w:lineRule="auto"/>
        <w:ind w:left="0" w:right="6"/>
        <w:jc w:val="both"/>
        <w:rPr>
          <w:rFonts w:ascii="Verdana" w:eastAsia="Batang" w:hAnsi="Verdana" w:cs="Times"/>
          <w:sz w:val="20"/>
          <w:szCs w:val="20"/>
          <w:lang w:val="es-CR" w:eastAsia="es-CR"/>
        </w:rPr>
      </w:pPr>
    </w:p>
    <w:p w14:paraId="301F53F5" w14:textId="6B189EE2" w:rsidR="007C7E7C" w:rsidRPr="00D4312D" w:rsidRDefault="007C7E7C" w:rsidP="007C7E7C">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D4312D">
        <w:rPr>
          <w:rFonts w:ascii="Verdana" w:hAnsi="Verdana"/>
          <w:sz w:val="20"/>
          <w:szCs w:val="20"/>
        </w:rPr>
        <w:t>Sin perjuicio de lo anterior, en materia específica ambiental, debe destacarse que e</w:t>
      </w:r>
      <w:r w:rsidRPr="00D4312D">
        <w:rPr>
          <w:rFonts w:ascii="Verdana" w:hAnsi="Verdana" w:cs="Verdana"/>
          <w:color w:val="000000"/>
          <w:sz w:val="20"/>
          <w:szCs w:val="20"/>
        </w:rPr>
        <w:t xml:space="preserve">l principio de prevención de daños ambientales, forma parte del derecho internacional consuetudinario, y entraña la obligación </w:t>
      </w:r>
      <w:r>
        <w:rPr>
          <w:rFonts w:ascii="Verdana" w:hAnsi="Verdana" w:cs="Verdana"/>
          <w:color w:val="000000"/>
          <w:sz w:val="20"/>
          <w:szCs w:val="20"/>
        </w:rPr>
        <w:t>de</w:t>
      </w:r>
      <w:r w:rsidRPr="00D4312D">
        <w:rPr>
          <w:rFonts w:ascii="Verdana" w:hAnsi="Verdana" w:cs="Verdana"/>
          <w:color w:val="000000"/>
          <w:sz w:val="20"/>
          <w:szCs w:val="20"/>
        </w:rPr>
        <w:t xml:space="preserve"> los Estados de llevar adelante las medidas que sean necesarias </w:t>
      </w:r>
      <w:r w:rsidRPr="00D4312D">
        <w:rPr>
          <w:rFonts w:ascii="Verdana" w:hAnsi="Verdana" w:cs="Verdana"/>
          <w:i/>
          <w:color w:val="000000"/>
          <w:sz w:val="20"/>
          <w:szCs w:val="20"/>
        </w:rPr>
        <w:t>ex ante</w:t>
      </w:r>
      <w:r w:rsidRPr="00D4312D">
        <w:rPr>
          <w:rFonts w:ascii="Verdana" w:hAnsi="Verdana" w:cs="Verdana"/>
          <w:color w:val="000000"/>
          <w:sz w:val="20"/>
          <w:szCs w:val="20"/>
        </w:rPr>
        <w:t xml:space="preserve"> la producción del daño ambiental, teniendo en consideración que, debido a sus particularidades, frecuentemente no será posible, luego de producido tal daño, restaurar la situación antes existente. </w:t>
      </w:r>
      <w:r w:rsidRPr="00D4312D">
        <w:rPr>
          <w:rFonts w:ascii="Verdana" w:hAnsi="Verdana"/>
          <w:sz w:val="20"/>
          <w:szCs w:val="20"/>
        </w:rPr>
        <w:t xml:space="preserve">En virtud del deber de prevención, la Corte ha señalado que “los Estados están obligados a usar todos los medios a su alcance con el fin de evitar que las actividades que se lleven a cabo bajo su jurisdicción, causen daños significativos al </w:t>
      </w:r>
      <w:r w:rsidR="00D10B17">
        <w:rPr>
          <w:rFonts w:ascii="Verdana" w:hAnsi="Verdana"/>
          <w:sz w:val="20"/>
          <w:szCs w:val="20"/>
        </w:rPr>
        <w:t xml:space="preserve">[…] </w:t>
      </w:r>
      <w:r w:rsidRPr="00D4312D">
        <w:rPr>
          <w:rFonts w:ascii="Verdana" w:hAnsi="Verdana"/>
          <w:sz w:val="20"/>
          <w:szCs w:val="20"/>
        </w:rPr>
        <w:t>ambiente</w:t>
      </w:r>
      <w:r>
        <w:rPr>
          <w:rFonts w:ascii="Verdana" w:hAnsi="Verdana"/>
          <w:sz w:val="20"/>
          <w:szCs w:val="20"/>
        </w:rPr>
        <w:t>”</w:t>
      </w:r>
      <w:r w:rsidRPr="008F640E">
        <w:rPr>
          <w:rFonts w:ascii="Verdana" w:hAnsi="Verdana"/>
          <w:sz w:val="20"/>
          <w:szCs w:val="20"/>
          <w:vertAlign w:val="superscript"/>
        </w:rPr>
        <w:footnoteReference w:id="201"/>
      </w:r>
      <w:r>
        <w:rPr>
          <w:rFonts w:ascii="Verdana" w:hAnsi="Verdana"/>
          <w:sz w:val="20"/>
          <w:szCs w:val="20"/>
        </w:rPr>
        <w:t>.</w:t>
      </w:r>
      <w:r w:rsidRPr="00D4312D">
        <w:rPr>
          <w:rFonts w:ascii="Verdana" w:hAnsi="Verdana"/>
          <w:sz w:val="20"/>
          <w:szCs w:val="20"/>
        </w:rPr>
        <w:t xml:space="preserve"> Esta obligación debe cumplirse bajo un estánd</w:t>
      </w:r>
      <w:r w:rsidR="00CE700E">
        <w:rPr>
          <w:rFonts w:ascii="Verdana" w:hAnsi="Verdana"/>
          <w:sz w:val="20"/>
          <w:szCs w:val="20"/>
        </w:rPr>
        <w:t xml:space="preserve">ar de debida diligencia, </w:t>
      </w:r>
      <w:r w:rsidRPr="00D4312D">
        <w:rPr>
          <w:rFonts w:ascii="Verdana" w:hAnsi="Verdana"/>
          <w:sz w:val="20"/>
          <w:szCs w:val="20"/>
        </w:rPr>
        <w:t>l</w:t>
      </w:r>
      <w:r w:rsidR="00CE700E">
        <w:rPr>
          <w:rFonts w:ascii="Verdana" w:hAnsi="Verdana"/>
          <w:sz w:val="20"/>
          <w:szCs w:val="20"/>
        </w:rPr>
        <w:t>a</w:t>
      </w:r>
      <w:r w:rsidRPr="00D4312D">
        <w:rPr>
          <w:rFonts w:ascii="Verdana" w:hAnsi="Verdana"/>
          <w:sz w:val="20"/>
          <w:szCs w:val="20"/>
        </w:rPr>
        <w:t xml:space="preserve"> cual debe ser apropiad</w:t>
      </w:r>
      <w:r w:rsidR="00CE700E">
        <w:rPr>
          <w:rFonts w:ascii="Verdana" w:hAnsi="Verdana"/>
          <w:sz w:val="20"/>
          <w:szCs w:val="20"/>
        </w:rPr>
        <w:t>a</w:t>
      </w:r>
      <w:r w:rsidRPr="00D4312D">
        <w:rPr>
          <w:rFonts w:ascii="Verdana" w:hAnsi="Verdana"/>
          <w:sz w:val="20"/>
          <w:szCs w:val="20"/>
        </w:rPr>
        <w:t xml:space="preserve"> y proporcional al grado de riesgo de daño ambiental</w:t>
      </w:r>
      <w:r w:rsidRPr="008F640E">
        <w:rPr>
          <w:rStyle w:val="Refdenotaalpie"/>
          <w:rFonts w:ascii="Verdana" w:hAnsi="Verdana"/>
          <w:sz w:val="20"/>
        </w:rPr>
        <w:footnoteReference w:id="202"/>
      </w:r>
      <w:r w:rsidRPr="00D4312D">
        <w:rPr>
          <w:rFonts w:ascii="Verdana" w:hAnsi="Verdana"/>
          <w:sz w:val="20"/>
          <w:szCs w:val="20"/>
        </w:rPr>
        <w:t xml:space="preserve">. Por otro lado, si bien no es posible realizar una enumeración detallada </w:t>
      </w:r>
      <w:r w:rsidRPr="00D4312D">
        <w:rPr>
          <w:rFonts w:ascii="Verdana" w:hAnsi="Verdana"/>
          <w:sz w:val="20"/>
          <w:szCs w:val="20"/>
        </w:rPr>
        <w:lastRenderedPageBreak/>
        <w:t xml:space="preserve">de todas las medidas que podrían tomar los Estados </w:t>
      </w:r>
      <w:r w:rsidR="00CE700E">
        <w:rPr>
          <w:rFonts w:ascii="Verdana" w:hAnsi="Verdana"/>
          <w:sz w:val="20"/>
          <w:szCs w:val="20"/>
        </w:rPr>
        <w:t>con el fin</w:t>
      </w:r>
      <w:r w:rsidRPr="00D4312D">
        <w:rPr>
          <w:rFonts w:ascii="Verdana" w:hAnsi="Verdana"/>
          <w:sz w:val="20"/>
          <w:szCs w:val="20"/>
        </w:rPr>
        <w:t xml:space="preserve"> de cumplir este deber, pueden señalarse algunas, relativas a actividades potencialmente dañosas: i) regular; ii) supervisar y fiscalizar; iii) requerir y aprobar estudios de impacto ambiental; iv) establecer plan</w:t>
      </w:r>
      <w:r>
        <w:rPr>
          <w:rFonts w:ascii="Verdana" w:hAnsi="Verdana"/>
          <w:sz w:val="20"/>
          <w:szCs w:val="20"/>
        </w:rPr>
        <w:t>es</w:t>
      </w:r>
      <w:r w:rsidRPr="00D4312D">
        <w:rPr>
          <w:rFonts w:ascii="Verdana" w:hAnsi="Verdana"/>
          <w:sz w:val="20"/>
          <w:szCs w:val="20"/>
        </w:rPr>
        <w:t xml:space="preserve"> de contingencia, y v) mitigar en casos de ocurrencia de daño ambiental</w:t>
      </w:r>
      <w:r w:rsidRPr="008F640E">
        <w:rPr>
          <w:rStyle w:val="Refdenotaalpie"/>
          <w:rFonts w:ascii="Verdana" w:hAnsi="Verdana"/>
          <w:sz w:val="20"/>
        </w:rPr>
        <w:footnoteReference w:id="203"/>
      </w:r>
      <w:r w:rsidRPr="00D4312D">
        <w:rPr>
          <w:rFonts w:ascii="Verdana" w:hAnsi="Verdana"/>
          <w:sz w:val="20"/>
          <w:szCs w:val="20"/>
        </w:rPr>
        <w:t xml:space="preserve">. </w:t>
      </w:r>
    </w:p>
    <w:p w14:paraId="3CE4B260" w14:textId="77777777" w:rsidR="007C7E7C" w:rsidRDefault="007C7E7C" w:rsidP="007C7E7C">
      <w:pPr>
        <w:pStyle w:val="Prrafodelista"/>
        <w:spacing w:after="0" w:line="240" w:lineRule="auto"/>
        <w:ind w:left="0" w:right="6"/>
        <w:jc w:val="both"/>
        <w:rPr>
          <w:rFonts w:ascii="Verdana" w:eastAsia="Batang" w:hAnsi="Verdana" w:cs="Times"/>
          <w:sz w:val="20"/>
          <w:szCs w:val="20"/>
          <w:lang w:val="es-CR" w:eastAsia="es-CR"/>
        </w:rPr>
      </w:pPr>
    </w:p>
    <w:p w14:paraId="2C9BD495" w14:textId="7C5C8CC9" w:rsidR="007C7E7C" w:rsidRDefault="007C7E7C" w:rsidP="007C7E7C">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D4312D">
        <w:rPr>
          <w:rFonts w:ascii="Verdana" w:hAnsi="Verdana"/>
          <w:sz w:val="20"/>
          <w:szCs w:val="20"/>
          <w:lang w:val="es-ES"/>
        </w:rPr>
        <w:t>Además, la Corte ha t</w:t>
      </w:r>
      <w:r w:rsidR="00CE700E">
        <w:rPr>
          <w:rFonts w:ascii="Verdana" w:hAnsi="Verdana"/>
          <w:sz w:val="20"/>
          <w:szCs w:val="20"/>
          <w:lang w:val="es-ES"/>
        </w:rPr>
        <w:t>enido</w:t>
      </w:r>
      <w:r w:rsidRPr="00D4312D">
        <w:rPr>
          <w:rFonts w:ascii="Verdana" w:hAnsi="Verdana"/>
          <w:sz w:val="20"/>
          <w:szCs w:val="20"/>
          <w:lang w:val="es-ES"/>
        </w:rPr>
        <w:t xml:space="preserve"> en cuenta que diversos derechos pueden verse afectados a partir de problemáticas ambientales</w:t>
      </w:r>
      <w:r>
        <w:rPr>
          <w:rStyle w:val="Refdenotaalpie"/>
          <w:rFonts w:ascii="Verdana" w:hAnsi="Verdana"/>
          <w:sz w:val="20"/>
          <w:lang w:val="es-ES"/>
        </w:rPr>
        <w:footnoteReference w:id="204"/>
      </w:r>
      <w:r w:rsidRPr="00D4312D">
        <w:rPr>
          <w:rFonts w:ascii="Verdana" w:hAnsi="Verdana"/>
          <w:sz w:val="20"/>
          <w:szCs w:val="20"/>
          <w:lang w:val="es-ES"/>
        </w:rPr>
        <w:t>, y que ello “puede darse con mayor intensidad en determinados grupos en situación de vulnerabilidad”, entre los que se encuentran los pueblos indígenas y “</w:t>
      </w:r>
      <w:r w:rsidRPr="00D4312D">
        <w:rPr>
          <w:rFonts w:ascii="Verdana" w:hAnsi="Verdana"/>
          <w:sz w:val="20"/>
          <w:szCs w:val="20"/>
        </w:rPr>
        <w:t>las comunidades que dependen, económicamente o para su supervivencia, fundamentalmente de los recursos ambientales, [como] las áreas forestales o los dominios fluviales”</w:t>
      </w:r>
      <w:r w:rsidRPr="00D4312D">
        <w:rPr>
          <w:rFonts w:ascii="Verdana" w:hAnsi="Verdana"/>
          <w:sz w:val="20"/>
          <w:szCs w:val="20"/>
          <w:lang w:val="es-ES"/>
        </w:rPr>
        <w:t>. Por lo dicho “</w:t>
      </w:r>
      <w:r w:rsidRPr="00D4312D">
        <w:rPr>
          <w:rFonts w:ascii="Verdana" w:hAnsi="Verdana"/>
          <w:sz w:val="20"/>
          <w:szCs w:val="20"/>
          <w:lang w:val="es-CR"/>
        </w:rPr>
        <w:t>con base en ‘la normativa internacional de derechos humanos, los Estados están jurídicamente obligados a hacer frente a esas vulnerabilidades, de conformidad con el principio de igualdad y no discriminación’”</w:t>
      </w:r>
      <w:r w:rsidRPr="00825CF4">
        <w:rPr>
          <w:rStyle w:val="Refdenotaalpie"/>
          <w:rFonts w:ascii="Verdana" w:hAnsi="Verdana"/>
          <w:sz w:val="20"/>
          <w:lang w:val="es-CR"/>
        </w:rPr>
        <w:footnoteReference w:id="205"/>
      </w:r>
      <w:r w:rsidRPr="00D4312D">
        <w:rPr>
          <w:rFonts w:ascii="Verdana" w:hAnsi="Verdana"/>
          <w:sz w:val="20"/>
          <w:szCs w:val="20"/>
          <w:lang w:val="es-CR"/>
        </w:rPr>
        <w:t>.</w:t>
      </w:r>
      <w:r w:rsidRPr="00825CF4">
        <w:t xml:space="preserve"> </w:t>
      </w:r>
      <w:r w:rsidRPr="00D4312D">
        <w:rPr>
          <w:lang w:val="es-CR"/>
        </w:rPr>
        <w:t xml:space="preserve"> </w:t>
      </w:r>
    </w:p>
    <w:p w14:paraId="71372B72" w14:textId="77777777" w:rsidR="007C7E7C" w:rsidRDefault="007C7E7C" w:rsidP="007C7E7C">
      <w:pPr>
        <w:pStyle w:val="Prrafodelista"/>
        <w:spacing w:after="0" w:line="240" w:lineRule="auto"/>
        <w:rPr>
          <w:rFonts w:ascii="Verdana" w:hAnsi="Verdana"/>
          <w:sz w:val="20"/>
          <w:szCs w:val="20"/>
        </w:rPr>
      </w:pPr>
    </w:p>
    <w:p w14:paraId="6C8AB404" w14:textId="77777777" w:rsidR="007C7E7C" w:rsidRPr="00AE1909" w:rsidRDefault="007C7E7C" w:rsidP="007C7E7C">
      <w:pPr>
        <w:pStyle w:val="Ttulo5"/>
        <w:spacing w:before="0" w:line="240" w:lineRule="auto"/>
        <w:ind w:left="1134"/>
        <w:rPr>
          <w:rFonts w:ascii="Verdana" w:hAnsi="Verdana"/>
          <w:i/>
          <w:sz w:val="20"/>
          <w:szCs w:val="20"/>
        </w:rPr>
      </w:pPr>
      <w:bookmarkStart w:id="229" w:name="_Toc25169781"/>
      <w:bookmarkStart w:id="230" w:name="_Toc30667644"/>
      <w:bookmarkStart w:id="231" w:name="_Toc32218868"/>
      <w:bookmarkStart w:id="232" w:name="_Toc32227143"/>
      <w:bookmarkStart w:id="233" w:name="_Toc34337571"/>
      <w:r w:rsidRPr="00AE1909">
        <w:rPr>
          <w:rFonts w:ascii="Verdana" w:hAnsi="Verdana"/>
          <w:i/>
          <w:color w:val="auto"/>
          <w:sz w:val="20"/>
          <w:szCs w:val="20"/>
        </w:rPr>
        <w:t>B.1.1.2 El derecho a la alimentación adecuada</w:t>
      </w:r>
      <w:bookmarkEnd w:id="229"/>
      <w:bookmarkEnd w:id="230"/>
      <w:bookmarkEnd w:id="231"/>
      <w:bookmarkEnd w:id="232"/>
      <w:bookmarkEnd w:id="233"/>
    </w:p>
    <w:p w14:paraId="2028E42F" w14:textId="77777777" w:rsidR="007C7E7C" w:rsidRPr="00D4312D" w:rsidRDefault="007C7E7C" w:rsidP="007C7E7C">
      <w:pPr>
        <w:pStyle w:val="Prrafodelista"/>
        <w:spacing w:after="0" w:line="240" w:lineRule="auto"/>
        <w:rPr>
          <w:rFonts w:ascii="Verdana" w:hAnsi="Verdana"/>
          <w:sz w:val="20"/>
          <w:szCs w:val="20"/>
        </w:rPr>
      </w:pPr>
    </w:p>
    <w:p w14:paraId="5BC693BF" w14:textId="77777777" w:rsidR="007C7E7C" w:rsidRPr="00D4312D" w:rsidRDefault="007C7E7C" w:rsidP="007C7E7C">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D4312D">
        <w:rPr>
          <w:rFonts w:ascii="Verdana" w:hAnsi="Verdana"/>
          <w:sz w:val="20"/>
          <w:szCs w:val="20"/>
        </w:rPr>
        <w:t xml:space="preserve">En lo que respecta al </w:t>
      </w:r>
      <w:r w:rsidRPr="00D4312D">
        <w:rPr>
          <w:rFonts w:ascii="Verdana" w:hAnsi="Verdana"/>
          <w:i/>
          <w:sz w:val="20"/>
          <w:szCs w:val="20"/>
        </w:rPr>
        <w:t>derecho a la alimentación adecuada</w:t>
      </w:r>
      <w:r w:rsidRPr="00D4312D">
        <w:rPr>
          <w:rFonts w:ascii="Verdana" w:hAnsi="Verdana"/>
          <w:sz w:val="20"/>
          <w:szCs w:val="20"/>
        </w:rPr>
        <w:t>, la Carta señala en su artículo 34.j que “[l]os Estados miembros</w:t>
      </w:r>
      <w:r>
        <w:rPr>
          <w:rFonts w:ascii="Verdana" w:hAnsi="Verdana"/>
          <w:sz w:val="20"/>
          <w:szCs w:val="20"/>
        </w:rPr>
        <w:t xml:space="preserve"> </w:t>
      </w:r>
      <w:r w:rsidRPr="00D4312D">
        <w:rPr>
          <w:rFonts w:ascii="Verdana" w:hAnsi="Verdana"/>
          <w:sz w:val="20"/>
          <w:szCs w:val="20"/>
        </w:rPr>
        <w:t>convienen […] en dedicar sus máximos esfuerzos a la consecución de […]</w:t>
      </w:r>
      <w:r>
        <w:rPr>
          <w:rFonts w:ascii="Verdana" w:hAnsi="Verdana"/>
          <w:sz w:val="20"/>
          <w:szCs w:val="20"/>
        </w:rPr>
        <w:t xml:space="preserve"> n</w:t>
      </w:r>
      <w:r w:rsidRPr="00D4312D">
        <w:rPr>
          <w:rFonts w:ascii="Verdana" w:hAnsi="Verdana" w:cs="Arial"/>
          <w:sz w:val="20"/>
          <w:szCs w:val="20"/>
        </w:rPr>
        <w:t>utrición adecuada, particularmente por medio de la aceleración de los esfuerzos nacionales para incrementar la producción y disponibilidad de alimentos”.</w:t>
      </w:r>
    </w:p>
    <w:p w14:paraId="6C1EFAD3" w14:textId="77777777" w:rsidR="007C7E7C" w:rsidRDefault="007C7E7C" w:rsidP="007C7E7C">
      <w:pPr>
        <w:pStyle w:val="Prrafodelista"/>
        <w:spacing w:after="0" w:line="240" w:lineRule="auto"/>
        <w:ind w:left="0" w:right="6"/>
        <w:jc w:val="both"/>
        <w:rPr>
          <w:rFonts w:ascii="Verdana" w:eastAsia="Batang" w:hAnsi="Verdana" w:cs="Times"/>
          <w:sz w:val="20"/>
          <w:szCs w:val="20"/>
          <w:lang w:val="es-CR" w:eastAsia="es-CR"/>
        </w:rPr>
      </w:pPr>
    </w:p>
    <w:p w14:paraId="7B8954D4" w14:textId="77777777" w:rsidR="007C7E7C" w:rsidRDefault="007C7E7C" w:rsidP="007C7E7C">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D4312D">
        <w:rPr>
          <w:rFonts w:ascii="Verdana" w:hAnsi="Verdana" w:cs="Arial"/>
          <w:sz w:val="20"/>
          <w:szCs w:val="20"/>
        </w:rPr>
        <w:t xml:space="preserve">El derecho a la alimentación puede identificarse también en el </w:t>
      </w:r>
      <w:r w:rsidRPr="00D4312D">
        <w:rPr>
          <w:rFonts w:ascii="Verdana" w:hAnsi="Verdana"/>
          <w:sz w:val="20"/>
          <w:szCs w:val="20"/>
        </w:rPr>
        <w:t>artículo XI de la Declaración Americana</w:t>
      </w:r>
      <w:r>
        <w:rPr>
          <w:rFonts w:ascii="Verdana" w:hAnsi="Verdana"/>
          <w:sz w:val="20"/>
          <w:szCs w:val="20"/>
        </w:rPr>
        <w:t xml:space="preserve"> de Derechos y Deberes del Hombre (en adelante también “Declaración Americana”)</w:t>
      </w:r>
      <w:r>
        <w:rPr>
          <w:rStyle w:val="Refdenotaalpie"/>
          <w:rFonts w:ascii="Verdana" w:hAnsi="Verdana"/>
          <w:sz w:val="20"/>
        </w:rPr>
        <w:footnoteReference w:id="206"/>
      </w:r>
      <w:r w:rsidRPr="00D4312D">
        <w:rPr>
          <w:rFonts w:ascii="Verdana" w:hAnsi="Verdana"/>
          <w:sz w:val="20"/>
          <w:szCs w:val="20"/>
        </w:rPr>
        <w:t xml:space="preserve">, que dispone que “[t]oda persona tiene derecho a que su salud sea preservada por medidas sanitarias y sociales, relativas a la alimentación”, entre otros aspectos. </w:t>
      </w:r>
    </w:p>
    <w:p w14:paraId="5E8843AC" w14:textId="77777777" w:rsidR="007C7E7C" w:rsidRPr="00D4312D" w:rsidRDefault="007C7E7C" w:rsidP="007C7E7C">
      <w:pPr>
        <w:pStyle w:val="Prrafodelista"/>
        <w:spacing w:line="240" w:lineRule="auto"/>
        <w:rPr>
          <w:rFonts w:ascii="Verdana" w:hAnsi="Verdana"/>
          <w:sz w:val="20"/>
          <w:szCs w:val="20"/>
        </w:rPr>
      </w:pPr>
    </w:p>
    <w:p w14:paraId="2C9904AA" w14:textId="77777777" w:rsidR="007C7E7C" w:rsidRDefault="007C7E7C" w:rsidP="007C7E7C">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D4312D">
        <w:rPr>
          <w:rFonts w:ascii="Verdana" w:hAnsi="Verdana"/>
          <w:sz w:val="20"/>
          <w:szCs w:val="20"/>
        </w:rPr>
        <w:t xml:space="preserve">Además, el artículo 12.1 del Protocolo de San Salvador, expresa que “[t]oda persona tiene derecho a una nutrición adecuada que le asegure la posibilidad de gozar del más alto nivel de desarrollo físico, emocional e intelectual”. </w:t>
      </w:r>
    </w:p>
    <w:p w14:paraId="0554A5CF" w14:textId="77777777" w:rsidR="007C7E7C" w:rsidRPr="00D4312D" w:rsidRDefault="007C7E7C" w:rsidP="007C7E7C">
      <w:pPr>
        <w:pStyle w:val="Prrafodelista"/>
        <w:spacing w:line="240" w:lineRule="auto"/>
        <w:rPr>
          <w:rFonts w:ascii="Verdana" w:hAnsi="Verdana"/>
          <w:sz w:val="20"/>
          <w:szCs w:val="20"/>
        </w:rPr>
      </w:pPr>
    </w:p>
    <w:p w14:paraId="1B69A495" w14:textId="7676D1F2" w:rsidR="007C7E7C" w:rsidRDefault="007C7E7C" w:rsidP="007C7E7C">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D4312D">
        <w:rPr>
          <w:rFonts w:ascii="Verdana" w:hAnsi="Verdana"/>
          <w:sz w:val="20"/>
          <w:szCs w:val="20"/>
        </w:rPr>
        <w:lastRenderedPageBreak/>
        <w:t>En el ámbito universal, la Declaración Universal de Derechos Humanos</w:t>
      </w:r>
      <w:r>
        <w:rPr>
          <w:rStyle w:val="Refdenotaalpie"/>
          <w:rFonts w:ascii="Verdana" w:hAnsi="Verdana"/>
          <w:sz w:val="20"/>
        </w:rPr>
        <w:footnoteReference w:id="207"/>
      </w:r>
      <w:r w:rsidRPr="00D4312D">
        <w:rPr>
          <w:rFonts w:ascii="Verdana" w:hAnsi="Verdana"/>
          <w:sz w:val="20"/>
          <w:szCs w:val="20"/>
        </w:rPr>
        <w:t xml:space="preserve">, en su artículo 25.1 </w:t>
      </w:r>
      <w:r w:rsidR="00CB362B">
        <w:rPr>
          <w:rFonts w:ascii="Verdana" w:hAnsi="Verdana"/>
          <w:sz w:val="20"/>
          <w:szCs w:val="20"/>
        </w:rPr>
        <w:t>prevé que</w:t>
      </w:r>
      <w:r w:rsidRPr="00D4312D">
        <w:rPr>
          <w:rFonts w:ascii="Verdana" w:hAnsi="Verdana"/>
          <w:sz w:val="20"/>
          <w:szCs w:val="20"/>
        </w:rPr>
        <w:t>: “[t]oda persona tiene derecho a un nivel de vida adecuado que le asegure, así como a su familia</w:t>
      </w:r>
      <w:r>
        <w:rPr>
          <w:rFonts w:ascii="Verdana" w:hAnsi="Verdana"/>
          <w:sz w:val="20"/>
          <w:szCs w:val="20"/>
        </w:rPr>
        <w:t>,</w:t>
      </w:r>
      <w:r w:rsidRPr="00D4312D">
        <w:rPr>
          <w:rFonts w:ascii="Verdana" w:hAnsi="Verdana"/>
          <w:sz w:val="20"/>
          <w:szCs w:val="20"/>
        </w:rPr>
        <w:t xml:space="preserve"> la salud y el bienestar, y en especial la alimentación”</w:t>
      </w:r>
      <w:r>
        <w:rPr>
          <w:rFonts w:ascii="Verdana" w:hAnsi="Verdana"/>
          <w:sz w:val="20"/>
          <w:szCs w:val="20"/>
        </w:rPr>
        <w:t>, así como otros bienes que indica el artículo</w:t>
      </w:r>
      <w:r w:rsidRPr="00D4312D">
        <w:rPr>
          <w:rFonts w:ascii="Verdana" w:hAnsi="Verdana"/>
          <w:sz w:val="20"/>
          <w:szCs w:val="20"/>
        </w:rPr>
        <w:t xml:space="preserve">. Además, el </w:t>
      </w:r>
      <w:r>
        <w:rPr>
          <w:rFonts w:ascii="Verdana" w:hAnsi="Verdana"/>
          <w:sz w:val="20"/>
          <w:szCs w:val="20"/>
        </w:rPr>
        <w:t>Pacto Internacional de Derechos Económicos, Sociales y Culturales (</w:t>
      </w:r>
      <w:r w:rsidRPr="00022B82">
        <w:rPr>
          <w:rFonts w:ascii="Verdana" w:hAnsi="Verdana"/>
          <w:sz w:val="20"/>
          <w:szCs w:val="20"/>
        </w:rPr>
        <w:t>PIDESC)</w:t>
      </w:r>
      <w:r w:rsidRPr="00D4312D">
        <w:rPr>
          <w:rFonts w:ascii="Verdana" w:hAnsi="Verdana"/>
          <w:sz w:val="20"/>
          <w:szCs w:val="20"/>
        </w:rPr>
        <w:t xml:space="preserve"> expresa en su artículo 11.1, en términos similares, que “[l]</w:t>
      </w:r>
      <w:r w:rsidRPr="00D4312D">
        <w:rPr>
          <w:rFonts w:ascii="Verdana" w:hAnsi="Verdana"/>
          <w:color w:val="000000"/>
          <w:sz w:val="20"/>
          <w:szCs w:val="20"/>
          <w:shd w:val="clear" w:color="auto" w:fill="FFFFFF"/>
        </w:rPr>
        <w:t>os Estados Partes […] reconocen el derecho de toda persona a un nivel de vida adecuado para sí y su familia, incluso alimentación”</w:t>
      </w:r>
      <w:r w:rsidRPr="008F640E">
        <w:rPr>
          <w:rStyle w:val="Refdenotaalpie"/>
          <w:rFonts w:ascii="Verdana" w:hAnsi="Verdana"/>
          <w:color w:val="000000"/>
          <w:sz w:val="20"/>
          <w:shd w:val="clear" w:color="auto" w:fill="FFFFFF"/>
        </w:rPr>
        <w:footnoteReference w:id="208"/>
      </w:r>
      <w:r w:rsidRPr="00D4312D">
        <w:rPr>
          <w:rFonts w:ascii="Verdana" w:hAnsi="Verdana"/>
          <w:color w:val="000000"/>
          <w:sz w:val="20"/>
          <w:szCs w:val="20"/>
          <w:shd w:val="clear" w:color="auto" w:fill="FFFFFF"/>
        </w:rPr>
        <w:t xml:space="preserve">, entre otros factores. </w:t>
      </w:r>
    </w:p>
    <w:p w14:paraId="3EDBAC50" w14:textId="77777777" w:rsidR="007C7E7C" w:rsidRPr="00D4312D" w:rsidRDefault="007C7E7C" w:rsidP="007C7E7C">
      <w:pPr>
        <w:pStyle w:val="Prrafodelista"/>
        <w:spacing w:line="240" w:lineRule="auto"/>
        <w:rPr>
          <w:rFonts w:ascii="Verdana" w:hAnsi="Verdana"/>
          <w:sz w:val="20"/>
          <w:szCs w:val="20"/>
        </w:rPr>
      </w:pPr>
    </w:p>
    <w:p w14:paraId="0C6E5E25" w14:textId="77777777" w:rsidR="007C7E7C" w:rsidRPr="00BF0EF1" w:rsidRDefault="007C7E7C" w:rsidP="007C7E7C">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D4312D">
        <w:rPr>
          <w:rFonts w:ascii="Verdana" w:hAnsi="Verdana"/>
          <w:sz w:val="20"/>
          <w:szCs w:val="20"/>
        </w:rPr>
        <w:t>Asimismo, la Constitución Nacional de Argentina, en su texto sancionado el 15 de diciembre de 1994, señala en su artículo 75 inciso 22 que “[l]a Declaración Americana de los Derechos y Deberes del Hombre; la Declaración Universal de Derechos Humanos; la Convención Americana sobre Derechos Humanos[, y] el Pacto Internacional de Derechos Económicos, Sociales y Culturales”, entre otros instrumentos internacionales, “tienen jerarquía constitucional”. Por ende, el derecho a la alimentación, en el modo en que está recogido por dichos instrumentos, tiene “jerarquía constitucional”. La Constitución de Salta, por su parte, reconoce en términos generales el derecho a la salud, estrechamente ligado a la alimentación, y tiene normas específicas sobre alimentación en relación con “la infancia” y “la ancianidad”</w:t>
      </w:r>
      <w:r w:rsidRPr="008F640E">
        <w:rPr>
          <w:rStyle w:val="Refdenotaalpie"/>
          <w:rFonts w:ascii="Verdana" w:hAnsi="Verdana"/>
          <w:sz w:val="20"/>
        </w:rPr>
        <w:footnoteReference w:id="209"/>
      </w:r>
      <w:r w:rsidRPr="00D4312D">
        <w:rPr>
          <w:rFonts w:ascii="Verdana" w:hAnsi="Verdana"/>
          <w:sz w:val="20"/>
          <w:szCs w:val="20"/>
        </w:rPr>
        <w:t>.</w:t>
      </w:r>
      <w:r>
        <w:rPr>
          <w:rFonts w:ascii="Verdana" w:hAnsi="Verdana"/>
          <w:sz w:val="20"/>
          <w:szCs w:val="20"/>
        </w:rPr>
        <w:t xml:space="preserve"> </w:t>
      </w:r>
    </w:p>
    <w:p w14:paraId="011E6632" w14:textId="77777777" w:rsidR="007C7E7C" w:rsidRPr="00BF0EF1" w:rsidRDefault="007C7E7C" w:rsidP="007C7E7C">
      <w:pPr>
        <w:pStyle w:val="Prrafodelista"/>
        <w:spacing w:after="0" w:line="240" w:lineRule="auto"/>
        <w:ind w:left="0" w:right="6"/>
        <w:jc w:val="both"/>
        <w:rPr>
          <w:rFonts w:ascii="Verdana" w:hAnsi="Verdana"/>
          <w:sz w:val="20"/>
          <w:szCs w:val="20"/>
        </w:rPr>
      </w:pPr>
    </w:p>
    <w:p w14:paraId="06433AD9" w14:textId="6AAE9252" w:rsidR="007C7E7C" w:rsidRDefault="00CE700E" w:rsidP="007C7E7C">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Pr>
          <w:rFonts w:ascii="Verdana" w:hAnsi="Verdana"/>
          <w:sz w:val="20"/>
          <w:szCs w:val="20"/>
        </w:rPr>
        <w:t>De</w:t>
      </w:r>
      <w:r w:rsidR="007C7E7C" w:rsidRPr="00D4312D">
        <w:rPr>
          <w:rFonts w:ascii="Verdana" w:hAnsi="Verdana"/>
          <w:sz w:val="20"/>
          <w:szCs w:val="20"/>
        </w:rPr>
        <w:t xml:space="preserve"> forma adicional, se hace notar que diversos países han reconocido el derecho a la alimentación en normas internas. El Grupo de Trabajo para el análisis de los informes nacionales previstos en el Protocolo de San Salvador</w:t>
      </w:r>
      <w:r w:rsidR="007C7E7C">
        <w:rPr>
          <w:rFonts w:ascii="Verdana" w:hAnsi="Verdana"/>
          <w:sz w:val="20"/>
          <w:szCs w:val="20"/>
        </w:rPr>
        <w:t xml:space="preserve"> (en adelante “Grupo sobre el PSS”)</w:t>
      </w:r>
      <w:r w:rsidR="007C7E7C" w:rsidRPr="00D4312D">
        <w:rPr>
          <w:rFonts w:ascii="Verdana" w:hAnsi="Verdana"/>
          <w:sz w:val="20"/>
          <w:szCs w:val="20"/>
        </w:rPr>
        <w:t xml:space="preserve"> ha señalado que “</w:t>
      </w:r>
      <w:r w:rsidR="007C7E7C" w:rsidRPr="00D4312D">
        <w:rPr>
          <w:rFonts w:ascii="Verdana" w:hAnsi="Verdana"/>
          <w:spacing w:val="11"/>
          <w:sz w:val="20"/>
          <w:szCs w:val="20"/>
          <w:lang w:val="es-HN"/>
        </w:rPr>
        <w:t xml:space="preserve">un número creciente de Estados ha reconocido explícitamente </w:t>
      </w:r>
      <w:r w:rsidR="007C7E7C">
        <w:rPr>
          <w:rFonts w:ascii="Verdana" w:hAnsi="Verdana"/>
          <w:spacing w:val="11"/>
          <w:sz w:val="20"/>
          <w:szCs w:val="20"/>
          <w:lang w:val="es-HN"/>
        </w:rPr>
        <w:t>el derecho a la alimentación adecuada</w:t>
      </w:r>
      <w:r w:rsidR="007C7E7C" w:rsidRPr="00D4312D">
        <w:rPr>
          <w:rFonts w:ascii="Verdana" w:hAnsi="Verdana"/>
          <w:spacing w:val="11"/>
          <w:sz w:val="20"/>
          <w:szCs w:val="20"/>
          <w:lang w:val="es-HN"/>
        </w:rPr>
        <w:t xml:space="preserve"> </w:t>
      </w:r>
      <w:r w:rsidR="007C7E7C" w:rsidRPr="00D4312D">
        <w:rPr>
          <w:rFonts w:ascii="Verdana" w:hAnsi="Verdana"/>
          <w:sz w:val="20"/>
          <w:szCs w:val="20"/>
          <w:lang w:val="es-HN"/>
        </w:rPr>
        <w:t>en</w:t>
      </w:r>
      <w:r w:rsidR="007C7E7C" w:rsidRPr="00D4312D">
        <w:rPr>
          <w:rFonts w:ascii="Verdana" w:hAnsi="Verdana"/>
          <w:spacing w:val="18"/>
          <w:sz w:val="20"/>
          <w:szCs w:val="20"/>
          <w:lang w:val="es-HN"/>
        </w:rPr>
        <w:t xml:space="preserve"> </w:t>
      </w:r>
      <w:r w:rsidR="007C7E7C" w:rsidRPr="00D4312D">
        <w:rPr>
          <w:rFonts w:ascii="Verdana" w:hAnsi="Verdana"/>
          <w:sz w:val="20"/>
          <w:szCs w:val="20"/>
          <w:lang w:val="es-HN"/>
        </w:rPr>
        <w:t>sus</w:t>
      </w:r>
      <w:r w:rsidR="007C7E7C" w:rsidRPr="00D4312D">
        <w:rPr>
          <w:rFonts w:ascii="Verdana" w:hAnsi="Verdana"/>
          <w:spacing w:val="18"/>
          <w:sz w:val="20"/>
          <w:szCs w:val="20"/>
          <w:lang w:val="es-HN"/>
        </w:rPr>
        <w:t xml:space="preserve"> </w:t>
      </w:r>
      <w:r w:rsidR="007C7E7C" w:rsidRPr="00D4312D">
        <w:rPr>
          <w:rFonts w:ascii="Verdana" w:hAnsi="Verdana"/>
          <w:spacing w:val="-1"/>
          <w:sz w:val="20"/>
          <w:szCs w:val="20"/>
          <w:lang w:val="es-HN"/>
        </w:rPr>
        <w:t>c</w:t>
      </w:r>
      <w:r w:rsidR="007C7E7C" w:rsidRPr="00D4312D">
        <w:rPr>
          <w:rFonts w:ascii="Verdana" w:hAnsi="Verdana"/>
          <w:sz w:val="20"/>
          <w:szCs w:val="20"/>
          <w:lang w:val="es-HN"/>
        </w:rPr>
        <w:t>onstituciones</w:t>
      </w:r>
      <w:r w:rsidR="007C7E7C" w:rsidRPr="00D4312D">
        <w:rPr>
          <w:rFonts w:ascii="Verdana" w:hAnsi="Verdana"/>
          <w:spacing w:val="9"/>
          <w:sz w:val="20"/>
          <w:szCs w:val="20"/>
          <w:lang w:val="es-HN"/>
        </w:rPr>
        <w:t xml:space="preserve"> </w:t>
      </w:r>
      <w:r w:rsidR="007C7E7C" w:rsidRPr="00D4312D">
        <w:rPr>
          <w:rFonts w:ascii="Verdana" w:hAnsi="Verdana"/>
          <w:sz w:val="20"/>
          <w:szCs w:val="20"/>
          <w:lang w:val="es-HN"/>
        </w:rPr>
        <w:t>políticas</w:t>
      </w:r>
      <w:r w:rsidR="007C7E7C" w:rsidRPr="00D4312D">
        <w:rPr>
          <w:rFonts w:ascii="Verdana" w:hAnsi="Verdana"/>
          <w:spacing w:val="13"/>
          <w:sz w:val="20"/>
          <w:szCs w:val="20"/>
          <w:lang w:val="es-HN"/>
        </w:rPr>
        <w:t xml:space="preserve"> </w:t>
      </w:r>
      <w:r w:rsidR="007C7E7C" w:rsidRPr="00D4312D">
        <w:rPr>
          <w:rFonts w:ascii="Verdana" w:hAnsi="Verdana"/>
          <w:sz w:val="20"/>
          <w:szCs w:val="20"/>
          <w:lang w:val="es-HN"/>
        </w:rPr>
        <w:t>y</w:t>
      </w:r>
      <w:r w:rsidR="007C7E7C" w:rsidRPr="00D4312D">
        <w:rPr>
          <w:rFonts w:ascii="Verdana" w:hAnsi="Verdana"/>
          <w:spacing w:val="20"/>
          <w:sz w:val="20"/>
          <w:szCs w:val="20"/>
          <w:lang w:val="es-HN"/>
        </w:rPr>
        <w:t xml:space="preserve"> </w:t>
      </w:r>
      <w:r w:rsidR="007C7E7C" w:rsidRPr="00D4312D">
        <w:rPr>
          <w:rFonts w:ascii="Verdana" w:hAnsi="Verdana"/>
          <w:sz w:val="20"/>
          <w:szCs w:val="20"/>
          <w:lang w:val="es-HN"/>
        </w:rPr>
        <w:t>c</w:t>
      </w:r>
      <w:r w:rsidR="007C7E7C" w:rsidRPr="00D4312D">
        <w:rPr>
          <w:rFonts w:ascii="Verdana" w:hAnsi="Verdana"/>
          <w:spacing w:val="-1"/>
          <w:sz w:val="20"/>
          <w:szCs w:val="20"/>
          <w:lang w:val="es-HN"/>
        </w:rPr>
        <w:t>a</w:t>
      </w:r>
      <w:r w:rsidR="007C7E7C" w:rsidRPr="00D4312D">
        <w:rPr>
          <w:rFonts w:ascii="Verdana" w:hAnsi="Verdana"/>
          <w:sz w:val="20"/>
          <w:szCs w:val="20"/>
          <w:lang w:val="es-HN"/>
        </w:rPr>
        <w:t>da</w:t>
      </w:r>
      <w:r w:rsidR="007C7E7C" w:rsidRPr="00D4312D">
        <w:rPr>
          <w:rFonts w:ascii="Verdana" w:hAnsi="Verdana"/>
          <w:spacing w:val="18"/>
          <w:sz w:val="20"/>
          <w:szCs w:val="20"/>
          <w:lang w:val="es-HN"/>
        </w:rPr>
        <w:t xml:space="preserve"> </w:t>
      </w:r>
      <w:r w:rsidR="007C7E7C" w:rsidRPr="00D4312D">
        <w:rPr>
          <w:rFonts w:ascii="Verdana" w:hAnsi="Verdana"/>
          <w:sz w:val="20"/>
          <w:szCs w:val="20"/>
          <w:lang w:val="es-HN"/>
        </w:rPr>
        <w:t>vez</w:t>
      </w:r>
      <w:r w:rsidR="007C7E7C" w:rsidRPr="00D4312D">
        <w:rPr>
          <w:rFonts w:ascii="Verdana" w:hAnsi="Verdana"/>
          <w:spacing w:val="-3"/>
          <w:sz w:val="20"/>
          <w:szCs w:val="20"/>
          <w:lang w:val="es-HN"/>
        </w:rPr>
        <w:t xml:space="preserve"> </w:t>
      </w:r>
      <w:r w:rsidR="007C7E7C" w:rsidRPr="00D4312D">
        <w:rPr>
          <w:rFonts w:ascii="Verdana" w:hAnsi="Verdana"/>
          <w:sz w:val="20"/>
          <w:szCs w:val="20"/>
          <w:lang w:val="es-HN"/>
        </w:rPr>
        <w:t>más</w:t>
      </w:r>
      <w:r w:rsidR="007C7E7C" w:rsidRPr="00D4312D">
        <w:rPr>
          <w:rFonts w:ascii="Verdana" w:hAnsi="Verdana"/>
          <w:spacing w:val="7"/>
          <w:sz w:val="20"/>
          <w:szCs w:val="20"/>
          <w:lang w:val="es-HN"/>
        </w:rPr>
        <w:t xml:space="preserve"> </w:t>
      </w:r>
      <w:r w:rsidR="007C7E7C" w:rsidRPr="00D4312D">
        <w:rPr>
          <w:rFonts w:ascii="Verdana" w:hAnsi="Verdana"/>
          <w:w w:val="99"/>
          <w:sz w:val="20"/>
          <w:szCs w:val="20"/>
          <w:lang w:val="es-HN"/>
        </w:rPr>
        <w:t>en</w:t>
      </w:r>
      <w:r w:rsidR="007C7E7C" w:rsidRPr="00D4312D">
        <w:rPr>
          <w:rFonts w:ascii="Verdana" w:hAnsi="Verdana"/>
          <w:spacing w:val="6"/>
          <w:sz w:val="20"/>
          <w:szCs w:val="20"/>
          <w:lang w:val="es-HN"/>
        </w:rPr>
        <w:t xml:space="preserve"> </w:t>
      </w:r>
      <w:r w:rsidR="007C7E7C" w:rsidRPr="00D4312D">
        <w:rPr>
          <w:rFonts w:ascii="Verdana" w:hAnsi="Verdana"/>
          <w:sz w:val="20"/>
          <w:szCs w:val="20"/>
          <w:lang w:val="es-HN"/>
        </w:rPr>
        <w:t>legis</w:t>
      </w:r>
      <w:r w:rsidR="007C7E7C" w:rsidRPr="00D4312D">
        <w:rPr>
          <w:rFonts w:ascii="Verdana" w:hAnsi="Verdana"/>
          <w:spacing w:val="1"/>
          <w:sz w:val="20"/>
          <w:szCs w:val="20"/>
          <w:lang w:val="es-HN"/>
        </w:rPr>
        <w:t>l</w:t>
      </w:r>
      <w:r w:rsidR="007C7E7C" w:rsidRPr="00D4312D">
        <w:rPr>
          <w:rFonts w:ascii="Verdana" w:hAnsi="Verdana"/>
          <w:w w:val="99"/>
          <w:sz w:val="20"/>
          <w:szCs w:val="20"/>
          <w:lang w:val="es-HN"/>
        </w:rPr>
        <w:t>aciones</w:t>
      </w:r>
      <w:r w:rsidR="007C7E7C" w:rsidRPr="00D4312D">
        <w:rPr>
          <w:rFonts w:ascii="Verdana" w:hAnsi="Verdana"/>
          <w:spacing w:val="6"/>
          <w:sz w:val="20"/>
          <w:szCs w:val="20"/>
          <w:lang w:val="es-HN"/>
        </w:rPr>
        <w:t xml:space="preserve"> </w:t>
      </w:r>
      <w:r w:rsidR="007C7E7C" w:rsidRPr="00D4312D">
        <w:rPr>
          <w:rFonts w:ascii="Verdana" w:hAnsi="Verdana"/>
          <w:sz w:val="20"/>
          <w:szCs w:val="20"/>
          <w:lang w:val="es-HN"/>
        </w:rPr>
        <w:t>inte</w:t>
      </w:r>
      <w:r w:rsidR="007C7E7C" w:rsidRPr="00D4312D">
        <w:rPr>
          <w:rFonts w:ascii="Verdana" w:hAnsi="Verdana"/>
          <w:spacing w:val="1"/>
          <w:sz w:val="20"/>
          <w:szCs w:val="20"/>
          <w:lang w:val="es-HN"/>
        </w:rPr>
        <w:t>rn</w:t>
      </w:r>
      <w:r w:rsidR="007C7E7C" w:rsidRPr="00D4312D">
        <w:rPr>
          <w:rFonts w:ascii="Verdana" w:hAnsi="Verdana"/>
          <w:sz w:val="20"/>
          <w:szCs w:val="20"/>
          <w:lang w:val="es-HN"/>
        </w:rPr>
        <w:t>as</w:t>
      </w:r>
      <w:r w:rsidR="007C7E7C" w:rsidRPr="00D4312D">
        <w:rPr>
          <w:rFonts w:ascii="Verdana" w:hAnsi="Verdana"/>
          <w:spacing w:val="3"/>
          <w:sz w:val="20"/>
          <w:szCs w:val="20"/>
          <w:lang w:val="es-HN"/>
        </w:rPr>
        <w:t xml:space="preserve"> </w:t>
      </w:r>
      <w:r w:rsidR="007C7E7C" w:rsidRPr="00D4312D">
        <w:rPr>
          <w:rFonts w:ascii="Verdana" w:hAnsi="Verdana"/>
          <w:sz w:val="20"/>
          <w:szCs w:val="20"/>
          <w:lang w:val="es-HN"/>
        </w:rPr>
        <w:t>(tanto</w:t>
      </w:r>
      <w:r w:rsidR="007C7E7C" w:rsidRPr="00D4312D">
        <w:rPr>
          <w:rFonts w:ascii="Verdana" w:hAnsi="Verdana"/>
          <w:spacing w:val="2"/>
          <w:sz w:val="20"/>
          <w:szCs w:val="20"/>
          <w:lang w:val="es-HN"/>
        </w:rPr>
        <w:t xml:space="preserve"> </w:t>
      </w:r>
      <w:r w:rsidR="007C7E7C" w:rsidRPr="00D4312D">
        <w:rPr>
          <w:rFonts w:ascii="Verdana" w:hAnsi="Verdana"/>
          <w:spacing w:val="-2"/>
          <w:sz w:val="20"/>
          <w:szCs w:val="20"/>
          <w:lang w:val="es-HN"/>
        </w:rPr>
        <w:t>m</w:t>
      </w:r>
      <w:r w:rsidR="007C7E7C" w:rsidRPr="00D4312D">
        <w:rPr>
          <w:rFonts w:ascii="Verdana" w:hAnsi="Verdana"/>
          <w:spacing w:val="1"/>
          <w:sz w:val="20"/>
          <w:szCs w:val="20"/>
          <w:lang w:val="es-HN"/>
        </w:rPr>
        <w:t>e</w:t>
      </w:r>
      <w:r w:rsidR="007C7E7C" w:rsidRPr="00D4312D">
        <w:rPr>
          <w:rFonts w:ascii="Verdana" w:hAnsi="Verdana"/>
          <w:sz w:val="20"/>
          <w:szCs w:val="20"/>
          <w:lang w:val="es-HN"/>
        </w:rPr>
        <w:t>diante le</w:t>
      </w:r>
      <w:r w:rsidR="007C7E7C" w:rsidRPr="00D4312D">
        <w:rPr>
          <w:rFonts w:ascii="Verdana" w:hAnsi="Verdana"/>
          <w:spacing w:val="2"/>
          <w:sz w:val="20"/>
          <w:szCs w:val="20"/>
          <w:lang w:val="es-HN"/>
        </w:rPr>
        <w:t>y</w:t>
      </w:r>
      <w:r w:rsidR="007C7E7C" w:rsidRPr="00D4312D">
        <w:rPr>
          <w:rFonts w:ascii="Verdana" w:hAnsi="Verdana"/>
          <w:sz w:val="20"/>
          <w:szCs w:val="20"/>
          <w:lang w:val="es-HN"/>
        </w:rPr>
        <w:t>es</w:t>
      </w:r>
      <w:r w:rsidR="007C7E7C" w:rsidRPr="00D4312D">
        <w:rPr>
          <w:rFonts w:ascii="Verdana" w:hAnsi="Verdana"/>
          <w:spacing w:val="5"/>
          <w:sz w:val="20"/>
          <w:szCs w:val="20"/>
          <w:lang w:val="es-HN"/>
        </w:rPr>
        <w:t xml:space="preserve"> </w:t>
      </w:r>
      <w:r w:rsidR="007C7E7C" w:rsidRPr="00D4312D">
        <w:rPr>
          <w:rFonts w:ascii="Verdana" w:hAnsi="Verdana"/>
          <w:sz w:val="20"/>
          <w:szCs w:val="20"/>
          <w:lang w:val="es-HN"/>
        </w:rPr>
        <w:t>marco, c</w:t>
      </w:r>
      <w:r w:rsidR="007C7E7C" w:rsidRPr="00D4312D">
        <w:rPr>
          <w:rFonts w:ascii="Verdana" w:hAnsi="Verdana"/>
          <w:spacing w:val="2"/>
          <w:sz w:val="20"/>
          <w:szCs w:val="20"/>
          <w:lang w:val="es-HN"/>
        </w:rPr>
        <w:t>o</w:t>
      </w:r>
      <w:r w:rsidR="007C7E7C" w:rsidRPr="00D4312D">
        <w:rPr>
          <w:rFonts w:ascii="Verdana" w:hAnsi="Verdana"/>
          <w:spacing w:val="-2"/>
          <w:sz w:val="20"/>
          <w:szCs w:val="20"/>
          <w:lang w:val="es-HN"/>
        </w:rPr>
        <w:t>m</w:t>
      </w:r>
      <w:r w:rsidR="007C7E7C" w:rsidRPr="00D4312D">
        <w:rPr>
          <w:rFonts w:ascii="Verdana" w:hAnsi="Verdana"/>
          <w:sz w:val="20"/>
          <w:szCs w:val="20"/>
          <w:lang w:val="es-HN"/>
        </w:rPr>
        <w:t>o</w:t>
      </w:r>
      <w:r w:rsidR="007C7E7C" w:rsidRPr="00D4312D">
        <w:rPr>
          <w:rFonts w:ascii="Verdana" w:hAnsi="Verdana"/>
          <w:spacing w:val="8"/>
          <w:sz w:val="20"/>
          <w:szCs w:val="20"/>
          <w:lang w:val="es-HN"/>
        </w:rPr>
        <w:t xml:space="preserve"> </w:t>
      </w:r>
      <w:r w:rsidR="007C7E7C" w:rsidRPr="00D4312D">
        <w:rPr>
          <w:rFonts w:ascii="Verdana" w:hAnsi="Verdana"/>
          <w:sz w:val="20"/>
          <w:szCs w:val="20"/>
          <w:lang w:val="es-HN"/>
        </w:rPr>
        <w:t>de</w:t>
      </w:r>
      <w:r w:rsidR="007C7E7C" w:rsidRPr="00D4312D">
        <w:rPr>
          <w:rFonts w:ascii="Verdana" w:hAnsi="Verdana"/>
          <w:spacing w:val="4"/>
          <w:sz w:val="20"/>
          <w:szCs w:val="20"/>
          <w:lang w:val="es-HN"/>
        </w:rPr>
        <w:t xml:space="preserve"> </w:t>
      </w:r>
      <w:r w:rsidR="007C7E7C" w:rsidRPr="00D4312D">
        <w:rPr>
          <w:rFonts w:ascii="Verdana" w:hAnsi="Verdana"/>
          <w:sz w:val="20"/>
          <w:szCs w:val="20"/>
          <w:lang w:val="es-HN"/>
        </w:rPr>
        <w:t>le</w:t>
      </w:r>
      <w:r w:rsidR="007C7E7C" w:rsidRPr="00D4312D">
        <w:rPr>
          <w:rFonts w:ascii="Verdana" w:hAnsi="Verdana"/>
          <w:spacing w:val="2"/>
          <w:sz w:val="20"/>
          <w:szCs w:val="20"/>
          <w:lang w:val="es-HN"/>
        </w:rPr>
        <w:t>y</w:t>
      </w:r>
      <w:r w:rsidR="007C7E7C" w:rsidRPr="00D4312D">
        <w:rPr>
          <w:rFonts w:ascii="Verdana" w:hAnsi="Verdana"/>
          <w:sz w:val="20"/>
          <w:szCs w:val="20"/>
          <w:lang w:val="es-HN"/>
        </w:rPr>
        <w:t>es</w:t>
      </w:r>
      <w:r w:rsidR="007C7E7C" w:rsidRPr="00D4312D">
        <w:rPr>
          <w:rFonts w:ascii="Verdana" w:hAnsi="Verdana"/>
          <w:spacing w:val="5"/>
          <w:sz w:val="20"/>
          <w:szCs w:val="20"/>
          <w:lang w:val="es-HN"/>
        </w:rPr>
        <w:t xml:space="preserve"> </w:t>
      </w:r>
      <w:r w:rsidR="007C7E7C" w:rsidRPr="00D4312D">
        <w:rPr>
          <w:rFonts w:ascii="Verdana" w:hAnsi="Verdana"/>
          <w:sz w:val="20"/>
          <w:szCs w:val="20"/>
          <w:lang w:val="es-HN"/>
        </w:rPr>
        <w:t>sec</w:t>
      </w:r>
      <w:r w:rsidR="007C7E7C" w:rsidRPr="00D4312D">
        <w:rPr>
          <w:rFonts w:ascii="Verdana" w:hAnsi="Verdana"/>
          <w:spacing w:val="1"/>
          <w:sz w:val="20"/>
          <w:szCs w:val="20"/>
          <w:lang w:val="es-HN"/>
        </w:rPr>
        <w:t>t</w:t>
      </w:r>
      <w:r w:rsidR="007C7E7C" w:rsidRPr="00D4312D">
        <w:rPr>
          <w:rFonts w:ascii="Verdana" w:hAnsi="Verdana"/>
          <w:sz w:val="20"/>
          <w:szCs w:val="20"/>
          <w:lang w:val="es-HN"/>
        </w:rPr>
        <w:t>oriales)</w:t>
      </w:r>
      <w:r w:rsidR="007C7E7C">
        <w:rPr>
          <w:rFonts w:ascii="Verdana" w:hAnsi="Verdana"/>
          <w:sz w:val="20"/>
          <w:szCs w:val="20"/>
          <w:lang w:val="es-HN"/>
        </w:rPr>
        <w:t>.</w:t>
      </w:r>
      <w:r w:rsidR="007C7E7C" w:rsidRPr="00D4312D">
        <w:rPr>
          <w:rFonts w:ascii="Verdana" w:hAnsi="Verdana"/>
          <w:sz w:val="20"/>
          <w:szCs w:val="20"/>
          <w:lang w:val="es-HN"/>
        </w:rPr>
        <w:t xml:space="preserve"> América Latina se encuentra a la vanguardia de esta tendencia mundial”</w:t>
      </w:r>
      <w:r w:rsidR="007C7E7C" w:rsidRPr="008F640E">
        <w:rPr>
          <w:rStyle w:val="Refdenotaalpie"/>
          <w:rFonts w:ascii="Verdana" w:hAnsi="Verdana"/>
          <w:sz w:val="20"/>
          <w:lang w:val="es-HN"/>
        </w:rPr>
        <w:footnoteReference w:id="210"/>
      </w:r>
      <w:r w:rsidR="007C7E7C">
        <w:rPr>
          <w:rFonts w:ascii="Verdana" w:hAnsi="Verdana"/>
          <w:sz w:val="20"/>
          <w:szCs w:val="20"/>
          <w:lang w:val="es-HN"/>
        </w:rPr>
        <w:t>.</w:t>
      </w:r>
      <w:r w:rsidR="007C7E7C" w:rsidRPr="00D4312D">
        <w:rPr>
          <w:rFonts w:ascii="Verdana" w:hAnsi="Verdana"/>
          <w:sz w:val="20"/>
          <w:szCs w:val="20"/>
        </w:rPr>
        <w:t xml:space="preserve"> </w:t>
      </w:r>
    </w:p>
    <w:p w14:paraId="5C355087" w14:textId="77777777" w:rsidR="007C7E7C" w:rsidRPr="00D4312D" w:rsidRDefault="007C7E7C" w:rsidP="007C7E7C">
      <w:pPr>
        <w:pStyle w:val="Prrafodelista"/>
        <w:spacing w:line="240" w:lineRule="auto"/>
        <w:rPr>
          <w:rFonts w:ascii="Verdana" w:hAnsi="Verdana"/>
          <w:sz w:val="20"/>
          <w:szCs w:val="20"/>
        </w:rPr>
      </w:pPr>
    </w:p>
    <w:p w14:paraId="045F2B23" w14:textId="3918BD1F" w:rsidR="007C7E7C" w:rsidRDefault="007C7E7C" w:rsidP="007C7E7C">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3F6706">
        <w:rPr>
          <w:rFonts w:ascii="Verdana" w:hAnsi="Verdana"/>
          <w:sz w:val="20"/>
          <w:szCs w:val="20"/>
        </w:rPr>
        <w:t>Del artículo 34.j de la Carta,</w:t>
      </w:r>
      <w:r w:rsidRPr="00D4312D">
        <w:rPr>
          <w:rFonts w:ascii="Verdana" w:hAnsi="Verdana"/>
          <w:sz w:val="20"/>
          <w:szCs w:val="20"/>
        </w:rPr>
        <w:t xml:space="preserve"> interpretado a la luz de la Declaración Americana, y considerando los demás instrumentos citados, se pueden derivar elementos constitutivos del derecho a la alimentación adecuada. Esta Corte considera que el derecho protege, esencialmente, el acceso de las personas a alimentos que permitan una nutrición adecuada y apta para la preservación de la salud. En ese sentido, como </w:t>
      </w:r>
      <w:r w:rsidRPr="00D4312D">
        <w:rPr>
          <w:rFonts w:ascii="Verdana" w:hAnsi="Verdana"/>
          <w:sz w:val="20"/>
          <w:szCs w:val="20"/>
        </w:rPr>
        <w:lastRenderedPageBreak/>
        <w:t xml:space="preserve">ha señalado el </w:t>
      </w:r>
      <w:r w:rsidRPr="00701456">
        <w:rPr>
          <w:rFonts w:ascii="Verdana" w:hAnsi="Verdana"/>
          <w:sz w:val="20"/>
          <w:szCs w:val="20"/>
        </w:rPr>
        <w:t xml:space="preserve">Comité </w:t>
      </w:r>
      <w:r w:rsidR="001A0D8C">
        <w:rPr>
          <w:rFonts w:ascii="Verdana" w:hAnsi="Verdana"/>
          <w:sz w:val="20"/>
          <w:szCs w:val="20"/>
        </w:rPr>
        <w:t>DESC</w:t>
      </w:r>
      <w:r w:rsidRPr="00D4312D">
        <w:rPr>
          <w:rFonts w:ascii="Verdana" w:hAnsi="Verdana"/>
          <w:sz w:val="20"/>
          <w:szCs w:val="20"/>
        </w:rPr>
        <w:t>, el derecho se ejerce cuando las personas tienen “acceso físico y económico, en todo momento, a la alimentación adecuada o a medios para obtenerla[, sin que] deb[a] interpretarse […]en forma estrecha o restrictiva asimilándolo a un conjunto de calorías, proteínas y otros elementos nutritivos concretos”</w:t>
      </w:r>
      <w:r w:rsidRPr="008F640E">
        <w:rPr>
          <w:rStyle w:val="Refdenotaalpie"/>
          <w:rFonts w:ascii="Verdana" w:hAnsi="Verdana"/>
          <w:sz w:val="20"/>
        </w:rPr>
        <w:footnoteReference w:id="211"/>
      </w:r>
      <w:r w:rsidRPr="00D4312D">
        <w:rPr>
          <w:rFonts w:ascii="Verdana" w:hAnsi="Verdana"/>
          <w:sz w:val="20"/>
          <w:szCs w:val="20"/>
        </w:rPr>
        <w:t>.</w:t>
      </w:r>
      <w:r w:rsidRPr="00D4312D">
        <w:rPr>
          <w:rFonts w:ascii="Verdana" w:hAnsi="Verdana"/>
        </w:rPr>
        <w:t xml:space="preserve"> </w:t>
      </w:r>
    </w:p>
    <w:p w14:paraId="52069B01" w14:textId="77777777" w:rsidR="007C7E7C" w:rsidRPr="00D4312D" w:rsidRDefault="007C7E7C" w:rsidP="007C7E7C">
      <w:pPr>
        <w:pStyle w:val="Prrafodelista"/>
        <w:spacing w:line="240" w:lineRule="auto"/>
        <w:rPr>
          <w:rFonts w:ascii="Verdana" w:hAnsi="Verdana"/>
          <w:sz w:val="20"/>
          <w:szCs w:val="20"/>
        </w:rPr>
      </w:pPr>
    </w:p>
    <w:p w14:paraId="62756587" w14:textId="77777777" w:rsidR="007C7E7C" w:rsidRDefault="007C7E7C" w:rsidP="007C7E7C">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D4312D">
        <w:rPr>
          <w:rFonts w:ascii="Verdana" w:hAnsi="Verdana"/>
          <w:sz w:val="20"/>
          <w:szCs w:val="20"/>
        </w:rPr>
        <w:t xml:space="preserve">Si bien el derecho a la alimentación está ampliamente reconocido en el </w:t>
      </w:r>
      <w:r w:rsidRPr="00D4312D">
        <w:rPr>
          <w:rFonts w:ascii="Verdana" w:hAnsi="Verdana"/>
          <w:i/>
          <w:sz w:val="20"/>
          <w:szCs w:val="20"/>
        </w:rPr>
        <w:t>corp</w:t>
      </w:r>
      <w:r>
        <w:rPr>
          <w:rFonts w:ascii="Verdana" w:hAnsi="Verdana"/>
          <w:i/>
          <w:sz w:val="20"/>
          <w:szCs w:val="20"/>
        </w:rPr>
        <w:t>u</w:t>
      </w:r>
      <w:r w:rsidRPr="00D4312D">
        <w:rPr>
          <w:rFonts w:ascii="Verdana" w:hAnsi="Verdana"/>
          <w:i/>
          <w:sz w:val="20"/>
          <w:szCs w:val="20"/>
        </w:rPr>
        <w:t xml:space="preserve">s iuris </w:t>
      </w:r>
      <w:r w:rsidRPr="00D4312D">
        <w:rPr>
          <w:rFonts w:ascii="Verdana" w:hAnsi="Verdana"/>
          <w:sz w:val="20"/>
          <w:szCs w:val="20"/>
        </w:rPr>
        <w:t>internacional</w:t>
      </w:r>
      <w:r>
        <w:rPr>
          <w:rStyle w:val="Refdenotaalpie"/>
          <w:rFonts w:ascii="Verdana" w:hAnsi="Verdana"/>
          <w:sz w:val="20"/>
        </w:rPr>
        <w:footnoteReference w:id="212"/>
      </w:r>
      <w:r w:rsidRPr="00D4312D">
        <w:rPr>
          <w:rFonts w:ascii="Verdana" w:hAnsi="Verdana"/>
          <w:sz w:val="20"/>
          <w:szCs w:val="20"/>
        </w:rPr>
        <w:t xml:space="preserve">, el </w:t>
      </w:r>
      <w:r w:rsidRPr="00701456">
        <w:rPr>
          <w:rFonts w:ascii="Verdana" w:hAnsi="Verdana"/>
          <w:sz w:val="20"/>
          <w:szCs w:val="20"/>
        </w:rPr>
        <w:t>Comité DESC, con base en el PIDESC, ha desarrollado con claridad el contenido del derecho a la alimentación. Tomar tal desarrollo</w:t>
      </w:r>
      <w:r w:rsidRPr="00D4312D">
        <w:rPr>
          <w:rFonts w:ascii="Verdana" w:hAnsi="Verdana"/>
          <w:sz w:val="20"/>
          <w:szCs w:val="20"/>
        </w:rPr>
        <w:t xml:space="preserve"> como referencia facilita la interpretación de la Corte del contenido del derecho</w:t>
      </w:r>
      <w:r w:rsidRPr="008F640E">
        <w:rPr>
          <w:rStyle w:val="Refdenotaalpie"/>
          <w:rFonts w:ascii="Verdana" w:hAnsi="Verdana"/>
          <w:sz w:val="20"/>
        </w:rPr>
        <w:footnoteReference w:id="213"/>
      </w:r>
      <w:r w:rsidRPr="00D4312D">
        <w:rPr>
          <w:rFonts w:ascii="Verdana" w:hAnsi="Verdana"/>
          <w:sz w:val="20"/>
          <w:szCs w:val="20"/>
        </w:rPr>
        <w:t xml:space="preserve">. </w:t>
      </w:r>
    </w:p>
    <w:p w14:paraId="4CC4E906" w14:textId="77777777" w:rsidR="007C7E7C" w:rsidRPr="00D4312D" w:rsidRDefault="007C7E7C" w:rsidP="007C7E7C">
      <w:pPr>
        <w:pStyle w:val="Prrafodelista"/>
        <w:spacing w:line="240" w:lineRule="auto"/>
        <w:rPr>
          <w:rFonts w:ascii="Verdana" w:hAnsi="Verdana"/>
          <w:sz w:val="20"/>
          <w:szCs w:val="20"/>
        </w:rPr>
      </w:pPr>
    </w:p>
    <w:p w14:paraId="392C641F" w14:textId="77777777" w:rsidR="007C7E7C" w:rsidRDefault="007C7E7C" w:rsidP="007C7E7C">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D4312D">
        <w:rPr>
          <w:rFonts w:ascii="Verdana" w:hAnsi="Verdana"/>
          <w:sz w:val="20"/>
          <w:szCs w:val="20"/>
        </w:rPr>
        <w:t xml:space="preserve">En su </w:t>
      </w:r>
      <w:r w:rsidRPr="00701456">
        <w:rPr>
          <w:rFonts w:ascii="Verdana" w:hAnsi="Verdana"/>
          <w:i/>
          <w:sz w:val="20"/>
          <w:szCs w:val="20"/>
        </w:rPr>
        <w:t>Observación General 12</w:t>
      </w:r>
      <w:r w:rsidRPr="00D4312D">
        <w:rPr>
          <w:rFonts w:ascii="Verdana" w:hAnsi="Verdana"/>
          <w:sz w:val="20"/>
          <w:szCs w:val="20"/>
        </w:rPr>
        <w:t>, el Comité DESC señaló que el “contenido básico” del derecho a la alimentación comprende “</w:t>
      </w:r>
      <w:r>
        <w:rPr>
          <w:rFonts w:ascii="Verdana" w:hAnsi="Verdana"/>
          <w:sz w:val="20"/>
          <w:szCs w:val="20"/>
        </w:rPr>
        <w:t>[l]</w:t>
      </w:r>
      <w:r w:rsidRPr="00D4312D">
        <w:rPr>
          <w:rFonts w:ascii="Verdana" w:hAnsi="Verdana"/>
          <w:color w:val="000000"/>
          <w:sz w:val="20"/>
          <w:szCs w:val="20"/>
        </w:rPr>
        <w:t xml:space="preserve">a </w:t>
      </w:r>
      <w:r w:rsidRPr="00D4312D">
        <w:rPr>
          <w:rFonts w:ascii="Verdana" w:hAnsi="Verdana"/>
          <w:i/>
          <w:color w:val="000000"/>
          <w:sz w:val="20"/>
          <w:szCs w:val="20"/>
        </w:rPr>
        <w:t>disponibilidad</w:t>
      </w:r>
      <w:r w:rsidRPr="00D4312D">
        <w:rPr>
          <w:rFonts w:ascii="Verdana" w:hAnsi="Verdana"/>
          <w:color w:val="000000"/>
          <w:sz w:val="20"/>
          <w:szCs w:val="20"/>
        </w:rPr>
        <w:t xml:space="preserve"> de alimentos en cantidad y calidad suficientes para satisfacer las necesidades alimentarias de los individuos, sin sustancias nocivas, y aceptables para una cultura determinada”, y “[l]a </w:t>
      </w:r>
      <w:r w:rsidRPr="00D4312D">
        <w:rPr>
          <w:rFonts w:ascii="Verdana" w:hAnsi="Verdana"/>
          <w:i/>
          <w:color w:val="000000"/>
          <w:sz w:val="20"/>
          <w:szCs w:val="20"/>
        </w:rPr>
        <w:t>accesibilidad</w:t>
      </w:r>
      <w:r w:rsidRPr="00D4312D">
        <w:rPr>
          <w:rFonts w:ascii="Verdana" w:hAnsi="Verdana"/>
          <w:color w:val="000000"/>
          <w:sz w:val="20"/>
          <w:szCs w:val="20"/>
        </w:rPr>
        <w:t xml:space="preserve"> de esos alimentos en formas que sean sostenibles y que no dificulten el goce de otros derechos humanos”</w:t>
      </w:r>
      <w:r w:rsidRPr="009907B4">
        <w:rPr>
          <w:rStyle w:val="Refdenotaalpie"/>
          <w:rFonts w:ascii="Verdana" w:hAnsi="Verdana"/>
          <w:color w:val="000000"/>
          <w:sz w:val="20"/>
        </w:rPr>
        <w:footnoteReference w:id="214"/>
      </w:r>
      <w:r w:rsidRPr="00D4312D">
        <w:rPr>
          <w:rFonts w:ascii="Verdana" w:hAnsi="Verdana"/>
          <w:color w:val="000000"/>
          <w:sz w:val="20"/>
          <w:szCs w:val="20"/>
        </w:rPr>
        <w:t>.</w:t>
      </w:r>
    </w:p>
    <w:p w14:paraId="7709C40A" w14:textId="77777777" w:rsidR="007C7E7C" w:rsidRPr="00D4312D" w:rsidRDefault="007C7E7C" w:rsidP="007C7E7C">
      <w:pPr>
        <w:pStyle w:val="Prrafodelista"/>
        <w:spacing w:line="240" w:lineRule="auto"/>
        <w:rPr>
          <w:rFonts w:ascii="Verdana" w:hAnsi="Verdana"/>
          <w:sz w:val="20"/>
          <w:szCs w:val="20"/>
        </w:rPr>
      </w:pPr>
    </w:p>
    <w:p w14:paraId="4CB2981C" w14:textId="3A2E03D2" w:rsidR="007C7E7C" w:rsidRDefault="007C7E7C" w:rsidP="007C7E7C">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D4312D">
        <w:rPr>
          <w:rFonts w:ascii="Verdana" w:hAnsi="Verdana"/>
          <w:sz w:val="20"/>
          <w:szCs w:val="20"/>
        </w:rPr>
        <w:t xml:space="preserve">El Comité destacó que por </w:t>
      </w:r>
      <w:r w:rsidRPr="00D4312D">
        <w:rPr>
          <w:rFonts w:ascii="Verdana" w:hAnsi="Verdana"/>
          <w:i/>
          <w:sz w:val="20"/>
          <w:szCs w:val="20"/>
        </w:rPr>
        <w:t xml:space="preserve">disponibilidad </w:t>
      </w:r>
      <w:r w:rsidRPr="00D4312D">
        <w:rPr>
          <w:rFonts w:ascii="Verdana" w:hAnsi="Verdana"/>
          <w:sz w:val="20"/>
          <w:szCs w:val="20"/>
        </w:rPr>
        <w:t>debe entenderse “</w:t>
      </w:r>
      <w:r w:rsidRPr="00D4312D">
        <w:rPr>
          <w:rFonts w:ascii="Verdana" w:hAnsi="Verdana"/>
          <w:color w:val="000000"/>
          <w:sz w:val="20"/>
          <w:szCs w:val="20"/>
        </w:rPr>
        <w:t>las posibilidades que tiene el individuo de alimentarse ya sea directamente, explotando la tierra productiva u otras fuentes naturales de alimentos, o mediante sistemas de distribución, elaboración y de comercialización que funcionen adecuadamente y que puedan trasladar los alimentos desde el lugar de producción a donde sea necesario según la de</w:t>
      </w:r>
      <w:r w:rsidR="002E5ED8">
        <w:rPr>
          <w:rFonts w:ascii="Verdana" w:hAnsi="Verdana"/>
          <w:color w:val="000000"/>
          <w:sz w:val="20"/>
          <w:szCs w:val="20"/>
        </w:rPr>
        <w:t xml:space="preserve">manda”. Explicó también que la </w:t>
      </w:r>
      <w:r w:rsidRPr="00D4312D">
        <w:rPr>
          <w:rFonts w:ascii="Verdana" w:hAnsi="Verdana"/>
          <w:i/>
          <w:iCs/>
          <w:color w:val="000000"/>
          <w:sz w:val="20"/>
          <w:szCs w:val="20"/>
        </w:rPr>
        <w:t xml:space="preserve">accesibilidad </w:t>
      </w:r>
      <w:r w:rsidR="002E5ED8">
        <w:rPr>
          <w:rFonts w:ascii="Verdana" w:hAnsi="Verdana"/>
          <w:color w:val="000000"/>
          <w:sz w:val="20"/>
          <w:szCs w:val="20"/>
        </w:rPr>
        <w:t>“c</w:t>
      </w:r>
      <w:r w:rsidRPr="00D4312D">
        <w:rPr>
          <w:rFonts w:ascii="Verdana" w:hAnsi="Verdana"/>
          <w:color w:val="000000"/>
          <w:sz w:val="20"/>
          <w:szCs w:val="20"/>
        </w:rPr>
        <w:t>omprende la accesibilidad económica y física”</w:t>
      </w:r>
      <w:r>
        <w:rPr>
          <w:rStyle w:val="Refdenotaalpie"/>
          <w:rFonts w:ascii="Verdana" w:hAnsi="Verdana"/>
          <w:color w:val="000000"/>
          <w:sz w:val="20"/>
        </w:rPr>
        <w:footnoteReference w:id="215"/>
      </w:r>
      <w:r w:rsidRPr="00D4312D">
        <w:rPr>
          <w:rFonts w:ascii="Verdana" w:hAnsi="Verdana"/>
          <w:color w:val="000000"/>
          <w:sz w:val="20"/>
          <w:szCs w:val="20"/>
        </w:rPr>
        <w:t>.</w:t>
      </w:r>
    </w:p>
    <w:p w14:paraId="7A825A56" w14:textId="77777777" w:rsidR="007C7E7C" w:rsidRPr="00D4312D" w:rsidRDefault="007C7E7C" w:rsidP="007C7E7C">
      <w:pPr>
        <w:pStyle w:val="Prrafodelista"/>
        <w:spacing w:line="240" w:lineRule="auto"/>
        <w:rPr>
          <w:rFonts w:ascii="Verdana" w:hAnsi="Verdana"/>
          <w:sz w:val="20"/>
          <w:szCs w:val="20"/>
        </w:rPr>
      </w:pPr>
    </w:p>
    <w:p w14:paraId="75D09238" w14:textId="77777777" w:rsidR="007C7E7C" w:rsidRPr="00D4312D" w:rsidRDefault="007C7E7C" w:rsidP="007C7E7C">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D4312D">
        <w:rPr>
          <w:rFonts w:ascii="Verdana" w:hAnsi="Verdana"/>
          <w:sz w:val="20"/>
          <w:szCs w:val="20"/>
        </w:rPr>
        <w:t xml:space="preserve">En lo que también resulta relevante destacar para el caso, corresponde hacer notar que los conceptos de “adecuación” y “seguridad alimentaria” son particularmente importantes respecto al derecho a la alimentación. El primero, pone de relieve que no cualquier tipo de alimentación satisface el derecho, sino que hay factores que deben tomarse en cuenta, que hacen a la alimentación “adecuada”. El segundo concepto se relaciona con el de “sostenibilidad”, </w:t>
      </w:r>
      <w:r>
        <w:rPr>
          <w:rFonts w:ascii="Verdana" w:hAnsi="Verdana"/>
          <w:sz w:val="20"/>
          <w:szCs w:val="20"/>
        </w:rPr>
        <w:t>y</w:t>
      </w:r>
      <w:r w:rsidRPr="00D4312D">
        <w:rPr>
          <w:rFonts w:ascii="Verdana" w:hAnsi="Verdana"/>
          <w:sz w:val="20"/>
          <w:szCs w:val="20"/>
        </w:rPr>
        <w:t xml:space="preserve"> entraña “la posibilidad de acceso a los alimentos por parte de las generaciones presentes y futuras”. El </w:t>
      </w:r>
      <w:r w:rsidRPr="00701456">
        <w:rPr>
          <w:rFonts w:ascii="Verdana" w:hAnsi="Verdana"/>
          <w:sz w:val="20"/>
          <w:szCs w:val="20"/>
        </w:rPr>
        <w:t>Comité DESC</w:t>
      </w:r>
      <w:r w:rsidRPr="00D4312D">
        <w:rPr>
          <w:rFonts w:ascii="Verdana" w:hAnsi="Verdana"/>
          <w:sz w:val="20"/>
          <w:szCs w:val="20"/>
        </w:rPr>
        <w:t xml:space="preserve"> explicó</w:t>
      </w:r>
      <w:r>
        <w:rPr>
          <w:rFonts w:ascii="Verdana" w:hAnsi="Verdana"/>
          <w:sz w:val="20"/>
          <w:szCs w:val="20"/>
        </w:rPr>
        <w:t xml:space="preserve"> también </w:t>
      </w:r>
      <w:r w:rsidRPr="00D4312D">
        <w:rPr>
          <w:rFonts w:ascii="Verdana" w:hAnsi="Verdana"/>
          <w:sz w:val="20"/>
          <w:szCs w:val="20"/>
        </w:rPr>
        <w:t xml:space="preserve">“que </w:t>
      </w:r>
      <w:r w:rsidRPr="00D4312D">
        <w:rPr>
          <w:rFonts w:ascii="Verdana" w:hAnsi="Verdana"/>
          <w:color w:val="000000"/>
          <w:sz w:val="20"/>
          <w:szCs w:val="20"/>
        </w:rPr>
        <w:t>los alimentos deb</w:t>
      </w:r>
      <w:r>
        <w:rPr>
          <w:rFonts w:ascii="Verdana" w:hAnsi="Verdana"/>
          <w:color w:val="000000"/>
          <w:sz w:val="20"/>
          <w:szCs w:val="20"/>
        </w:rPr>
        <w:t>[e]</w:t>
      </w:r>
      <w:r w:rsidRPr="00D4312D">
        <w:rPr>
          <w:rFonts w:ascii="Verdana" w:hAnsi="Verdana"/>
          <w:color w:val="000000"/>
          <w:sz w:val="20"/>
          <w:szCs w:val="20"/>
        </w:rPr>
        <w:t xml:space="preserve">n ser </w:t>
      </w:r>
      <w:r w:rsidRPr="00D4312D">
        <w:rPr>
          <w:rFonts w:ascii="Verdana" w:hAnsi="Verdana"/>
          <w:i/>
          <w:iCs/>
          <w:color w:val="000000"/>
          <w:sz w:val="20"/>
          <w:szCs w:val="20"/>
        </w:rPr>
        <w:t>aceptables para una cultura o unos consumidores determinados</w:t>
      </w:r>
      <w:r w:rsidRPr="00BF0EF1">
        <w:rPr>
          <w:rFonts w:ascii="Verdana" w:hAnsi="Verdana"/>
          <w:iCs/>
          <w:color w:val="000000"/>
          <w:sz w:val="20"/>
          <w:szCs w:val="20"/>
        </w:rPr>
        <w:t>[,</w:t>
      </w:r>
      <w:r w:rsidR="00F13724">
        <w:rPr>
          <w:rFonts w:ascii="Verdana" w:hAnsi="Verdana"/>
          <w:iCs/>
          <w:color w:val="000000"/>
          <w:sz w:val="20"/>
          <w:szCs w:val="20"/>
        </w:rPr>
        <w:t xml:space="preserve"> </w:t>
      </w:r>
      <w:r w:rsidRPr="00BF0EF1">
        <w:rPr>
          <w:rFonts w:ascii="Verdana" w:hAnsi="Verdana"/>
          <w:iCs/>
          <w:color w:val="000000"/>
          <w:sz w:val="20"/>
          <w:szCs w:val="20"/>
        </w:rPr>
        <w:t xml:space="preserve">lo que] </w:t>
      </w:r>
      <w:r w:rsidRPr="00D4312D">
        <w:rPr>
          <w:rFonts w:ascii="Verdana" w:hAnsi="Verdana"/>
          <w:color w:val="000000"/>
          <w:sz w:val="20"/>
          <w:szCs w:val="20"/>
        </w:rPr>
        <w:t>significa que hay que tener también en cuenta, en la medida de lo posible, los valores no relacionados con la nutrición que se asocian a los alimentos y el consumo de alimentos”</w:t>
      </w:r>
      <w:r w:rsidRPr="008F640E">
        <w:rPr>
          <w:rStyle w:val="Refdenotaalpie"/>
          <w:rFonts w:ascii="Verdana" w:hAnsi="Verdana"/>
          <w:sz w:val="20"/>
        </w:rPr>
        <w:footnoteReference w:id="216"/>
      </w:r>
      <w:r w:rsidRPr="00D4312D">
        <w:rPr>
          <w:rFonts w:ascii="Verdana" w:hAnsi="Verdana"/>
          <w:sz w:val="20"/>
          <w:szCs w:val="20"/>
        </w:rPr>
        <w:t>.</w:t>
      </w:r>
    </w:p>
    <w:p w14:paraId="5D866DA5" w14:textId="77777777" w:rsidR="007C7E7C" w:rsidRDefault="007C7E7C" w:rsidP="007C7E7C">
      <w:pPr>
        <w:pStyle w:val="Prrafodelista"/>
        <w:spacing w:after="0" w:line="240" w:lineRule="auto"/>
        <w:ind w:left="0" w:right="6"/>
        <w:jc w:val="both"/>
        <w:rPr>
          <w:rFonts w:ascii="Verdana" w:eastAsia="Batang" w:hAnsi="Verdana" w:cs="Times"/>
          <w:sz w:val="20"/>
          <w:szCs w:val="20"/>
          <w:lang w:val="es-CR" w:eastAsia="es-CR"/>
        </w:rPr>
      </w:pPr>
    </w:p>
    <w:p w14:paraId="09294429" w14:textId="640FDD7C" w:rsidR="007C7E7C" w:rsidRDefault="007C7E7C" w:rsidP="007C7E7C">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D4312D">
        <w:rPr>
          <w:rFonts w:ascii="Verdana" w:hAnsi="Verdana"/>
          <w:sz w:val="20"/>
          <w:szCs w:val="20"/>
        </w:rPr>
        <w:t>Los Estados tienen el deber no solo de respetar</w:t>
      </w:r>
      <w:r>
        <w:rPr>
          <w:rStyle w:val="Refdenotaalpie"/>
          <w:rFonts w:ascii="Verdana" w:hAnsi="Verdana"/>
          <w:sz w:val="20"/>
        </w:rPr>
        <w:footnoteReference w:id="217"/>
      </w:r>
      <w:r w:rsidRPr="00D4312D">
        <w:rPr>
          <w:rFonts w:ascii="Verdana" w:hAnsi="Verdana"/>
          <w:sz w:val="20"/>
          <w:szCs w:val="20"/>
        </w:rPr>
        <w:t>, sino también de garantizar el derecho a la alimentación, y debe entenderse como parte de tal obligación el deber de “protección” del derecho, tal como fue conceptuado por el Comité DESC: “</w:t>
      </w:r>
      <w:r w:rsidR="002E5ED8">
        <w:rPr>
          <w:rFonts w:ascii="Verdana" w:hAnsi="Verdana"/>
          <w:sz w:val="20"/>
          <w:szCs w:val="20"/>
        </w:rPr>
        <w:t>[l]</w:t>
      </w:r>
      <w:r w:rsidRPr="00D4312D">
        <w:rPr>
          <w:rFonts w:ascii="Verdana" w:hAnsi="Verdana"/>
          <w:sz w:val="20"/>
          <w:szCs w:val="20"/>
        </w:rPr>
        <w:t>a obligación de proteger requiere que el Estado Parte adopte medidas para velar por que las empresas o los particulares no priven a las personas del acceso a una alimentación adecuada”. Correlativamente, el derecho se ve vulnerado por el Estado al “</w:t>
      </w:r>
      <w:r w:rsidRPr="00D4312D">
        <w:rPr>
          <w:rFonts w:ascii="Verdana" w:hAnsi="Verdana"/>
          <w:color w:val="000000"/>
          <w:sz w:val="20"/>
          <w:szCs w:val="20"/>
        </w:rPr>
        <w:t>no controlar las actividades de individuos o grupos para evitar que violen el derecho a la alimentación de otras personas”</w:t>
      </w:r>
      <w:r w:rsidRPr="008F640E">
        <w:rPr>
          <w:rStyle w:val="Refdenotaalpie"/>
          <w:rFonts w:ascii="Verdana" w:hAnsi="Verdana"/>
          <w:sz w:val="20"/>
        </w:rPr>
        <w:footnoteReference w:id="218"/>
      </w:r>
      <w:r w:rsidRPr="00D4312D">
        <w:rPr>
          <w:rFonts w:ascii="Verdana" w:hAnsi="Verdana"/>
          <w:sz w:val="20"/>
          <w:szCs w:val="20"/>
        </w:rPr>
        <w:t>.</w:t>
      </w:r>
    </w:p>
    <w:p w14:paraId="0F289DFB" w14:textId="77777777" w:rsidR="007C7E7C" w:rsidRDefault="007C7E7C" w:rsidP="007C7E7C">
      <w:pPr>
        <w:pStyle w:val="Prrafodelista"/>
        <w:spacing w:after="0" w:line="240" w:lineRule="auto"/>
        <w:rPr>
          <w:rFonts w:ascii="Verdana" w:hAnsi="Verdana" w:cs="Arial"/>
          <w:sz w:val="20"/>
          <w:szCs w:val="20"/>
        </w:rPr>
      </w:pPr>
    </w:p>
    <w:p w14:paraId="10A66B7B" w14:textId="77777777" w:rsidR="00197653" w:rsidRDefault="00197653" w:rsidP="007C7E7C">
      <w:pPr>
        <w:pStyle w:val="Prrafodelista"/>
        <w:spacing w:after="0" w:line="240" w:lineRule="auto"/>
        <w:rPr>
          <w:rFonts w:ascii="Verdana" w:hAnsi="Verdana" w:cs="Arial"/>
          <w:sz w:val="20"/>
          <w:szCs w:val="20"/>
        </w:rPr>
      </w:pPr>
    </w:p>
    <w:p w14:paraId="24416BCB" w14:textId="77777777" w:rsidR="007C7E7C" w:rsidRPr="00AE1909" w:rsidRDefault="007C7E7C" w:rsidP="007C7E7C">
      <w:pPr>
        <w:pStyle w:val="Ttulo5"/>
        <w:spacing w:before="0" w:line="240" w:lineRule="auto"/>
        <w:ind w:left="1134"/>
        <w:rPr>
          <w:rFonts w:ascii="Verdana" w:hAnsi="Verdana"/>
          <w:i/>
          <w:sz w:val="20"/>
          <w:szCs w:val="20"/>
        </w:rPr>
      </w:pPr>
      <w:bookmarkStart w:id="234" w:name="_Toc32227144"/>
      <w:bookmarkStart w:id="235" w:name="_Toc34337572"/>
      <w:r w:rsidRPr="00AE1909">
        <w:rPr>
          <w:rFonts w:ascii="Verdana" w:hAnsi="Verdana"/>
          <w:i/>
          <w:color w:val="auto"/>
          <w:sz w:val="20"/>
          <w:szCs w:val="20"/>
        </w:rPr>
        <w:lastRenderedPageBreak/>
        <w:t>B.1.1.</w:t>
      </w:r>
      <w:r>
        <w:rPr>
          <w:rFonts w:ascii="Verdana" w:hAnsi="Verdana"/>
          <w:i/>
          <w:color w:val="auto"/>
          <w:sz w:val="20"/>
          <w:szCs w:val="20"/>
        </w:rPr>
        <w:t>3</w:t>
      </w:r>
      <w:r w:rsidRPr="00AE1909">
        <w:rPr>
          <w:rFonts w:ascii="Verdana" w:hAnsi="Verdana"/>
          <w:i/>
          <w:color w:val="auto"/>
          <w:sz w:val="20"/>
          <w:szCs w:val="20"/>
        </w:rPr>
        <w:t xml:space="preserve"> El derecho a</w:t>
      </w:r>
      <w:r>
        <w:rPr>
          <w:rFonts w:ascii="Verdana" w:hAnsi="Verdana"/>
          <w:i/>
          <w:color w:val="auto"/>
          <w:sz w:val="20"/>
          <w:szCs w:val="20"/>
        </w:rPr>
        <w:t>l agua</w:t>
      </w:r>
      <w:bookmarkEnd w:id="234"/>
      <w:bookmarkEnd w:id="235"/>
    </w:p>
    <w:p w14:paraId="7CD11AC4" w14:textId="77777777" w:rsidR="007C7E7C" w:rsidRPr="0066230B" w:rsidRDefault="007C7E7C" w:rsidP="007C7E7C">
      <w:pPr>
        <w:pStyle w:val="Prrafodelista"/>
        <w:spacing w:after="0" w:line="240" w:lineRule="auto"/>
        <w:rPr>
          <w:rFonts w:ascii="Verdana" w:hAnsi="Verdana" w:cs="Arial"/>
          <w:sz w:val="20"/>
          <w:szCs w:val="20"/>
          <w:lang w:val="es-CR"/>
        </w:rPr>
      </w:pPr>
    </w:p>
    <w:p w14:paraId="7CFCD11A" w14:textId="77777777" w:rsidR="007C7E7C" w:rsidRDefault="007C7E7C" w:rsidP="007C7E7C">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D4312D">
        <w:rPr>
          <w:rFonts w:ascii="Verdana" w:hAnsi="Verdana" w:cs="Arial"/>
          <w:sz w:val="20"/>
          <w:szCs w:val="20"/>
        </w:rPr>
        <w:t xml:space="preserve">El </w:t>
      </w:r>
      <w:r w:rsidRPr="00D4312D">
        <w:rPr>
          <w:rFonts w:ascii="Verdana" w:hAnsi="Verdana" w:cs="Arial"/>
          <w:i/>
          <w:sz w:val="20"/>
          <w:szCs w:val="20"/>
        </w:rPr>
        <w:t>derecho al agua</w:t>
      </w:r>
      <w:r w:rsidRPr="00D4312D">
        <w:rPr>
          <w:rFonts w:ascii="Verdana" w:hAnsi="Verdana" w:cs="Arial"/>
          <w:sz w:val="20"/>
          <w:szCs w:val="20"/>
        </w:rPr>
        <w:t xml:space="preserve"> se encuentra protegido por el artículo 26 de la Convención Americana. Ello se desprende de las normas de la Carta de la OEA, en tanto las mismas permiten derivar derechos de los que, a su vez, se desprende el derecho al agua</w:t>
      </w:r>
      <w:r>
        <w:rPr>
          <w:rStyle w:val="Refdenotaalpie"/>
          <w:rFonts w:ascii="Verdana" w:hAnsi="Verdana"/>
          <w:sz w:val="20"/>
        </w:rPr>
        <w:footnoteReference w:id="219"/>
      </w:r>
      <w:r w:rsidRPr="00D4312D">
        <w:rPr>
          <w:rFonts w:ascii="Verdana" w:hAnsi="Verdana" w:cs="Arial"/>
          <w:sz w:val="20"/>
          <w:szCs w:val="20"/>
        </w:rPr>
        <w:t>. Al respecto, baste señalar que entre aquellos se encuentran el derecho a un medio ambiente sano y el derecho a la alimentación</w:t>
      </w:r>
      <w:r>
        <w:rPr>
          <w:rFonts w:ascii="Verdana" w:hAnsi="Verdana" w:cs="Arial"/>
          <w:sz w:val="20"/>
          <w:szCs w:val="20"/>
        </w:rPr>
        <w:t xml:space="preserve"> adecuada</w:t>
      </w:r>
      <w:r w:rsidRPr="00D4312D">
        <w:rPr>
          <w:rFonts w:ascii="Verdana" w:hAnsi="Verdana" w:cs="Arial"/>
          <w:sz w:val="20"/>
          <w:szCs w:val="20"/>
        </w:rPr>
        <w:t>, cuya inclusión en el citado artículo 26 ya ha quedado establecida en esta Sentencia, como asimismo el derecho a la salud, del que también este Tribunal ya ha indicado que está incluido en la norma</w:t>
      </w:r>
      <w:r>
        <w:rPr>
          <w:rStyle w:val="Refdenotaalpie"/>
          <w:rFonts w:ascii="Verdana" w:hAnsi="Verdana"/>
          <w:sz w:val="20"/>
        </w:rPr>
        <w:footnoteReference w:id="220"/>
      </w:r>
      <w:r w:rsidRPr="00D4312D">
        <w:rPr>
          <w:rFonts w:ascii="Verdana" w:hAnsi="Verdana" w:cs="Arial"/>
          <w:sz w:val="20"/>
          <w:szCs w:val="20"/>
        </w:rPr>
        <w:t xml:space="preserve">. </w:t>
      </w:r>
      <w:r w:rsidRPr="00D4312D">
        <w:rPr>
          <w:rFonts w:ascii="Verdana" w:hAnsi="Verdana" w:cs="Arial"/>
          <w:sz w:val="20"/>
          <w:szCs w:val="20"/>
        </w:rPr>
        <w:lastRenderedPageBreak/>
        <w:t>E</w:t>
      </w:r>
      <w:r>
        <w:rPr>
          <w:rFonts w:ascii="Verdana" w:hAnsi="Verdana" w:cs="Arial"/>
          <w:sz w:val="20"/>
          <w:szCs w:val="20"/>
        </w:rPr>
        <w:t>l derecho al agua</w:t>
      </w:r>
      <w:r w:rsidRPr="00D4312D">
        <w:rPr>
          <w:rFonts w:ascii="Verdana" w:hAnsi="Verdana" w:cs="Arial"/>
          <w:sz w:val="20"/>
          <w:szCs w:val="20"/>
        </w:rPr>
        <w:t xml:space="preserve"> puede vincularse con otros derechos</w:t>
      </w:r>
      <w:r>
        <w:rPr>
          <w:rFonts w:ascii="Verdana" w:hAnsi="Verdana" w:cs="Arial"/>
          <w:sz w:val="20"/>
          <w:szCs w:val="20"/>
        </w:rPr>
        <w:t>, inclusive el derecho a participar en la vida cultural, también tratado en esta Sentencia (</w:t>
      </w:r>
      <w:r>
        <w:rPr>
          <w:rFonts w:ascii="Verdana" w:hAnsi="Verdana" w:cs="Arial"/>
          <w:i/>
          <w:sz w:val="20"/>
          <w:szCs w:val="20"/>
        </w:rPr>
        <w:t xml:space="preserve">infra </w:t>
      </w:r>
      <w:r>
        <w:rPr>
          <w:rFonts w:ascii="Verdana" w:hAnsi="Verdana" w:cs="Arial"/>
          <w:sz w:val="20"/>
          <w:szCs w:val="20"/>
        </w:rPr>
        <w:t xml:space="preserve">párrs. </w:t>
      </w:r>
      <w:r w:rsidR="00A0136E">
        <w:rPr>
          <w:rFonts w:ascii="Verdana" w:hAnsi="Verdana" w:cs="Arial"/>
          <w:sz w:val="20"/>
          <w:szCs w:val="20"/>
        </w:rPr>
        <w:t>231 a 242</w:t>
      </w:r>
      <w:r>
        <w:rPr>
          <w:rFonts w:ascii="Verdana" w:hAnsi="Verdana" w:cs="Arial"/>
          <w:sz w:val="20"/>
          <w:szCs w:val="20"/>
        </w:rPr>
        <w:t>)</w:t>
      </w:r>
      <w:r>
        <w:rPr>
          <w:rStyle w:val="Refdenotaalpie"/>
          <w:rFonts w:ascii="Verdana" w:hAnsi="Verdana"/>
          <w:sz w:val="20"/>
        </w:rPr>
        <w:footnoteReference w:id="221"/>
      </w:r>
      <w:r w:rsidRPr="00D4312D">
        <w:rPr>
          <w:rFonts w:ascii="Verdana" w:hAnsi="Verdana" w:cs="Arial"/>
          <w:sz w:val="20"/>
          <w:szCs w:val="20"/>
        </w:rPr>
        <w:t xml:space="preserve">. </w:t>
      </w:r>
    </w:p>
    <w:p w14:paraId="09EED50D" w14:textId="77777777" w:rsidR="007C7E7C" w:rsidRPr="00D4312D" w:rsidRDefault="007C7E7C" w:rsidP="007C7E7C">
      <w:pPr>
        <w:pStyle w:val="Prrafodelista"/>
        <w:spacing w:line="240" w:lineRule="auto"/>
        <w:rPr>
          <w:rFonts w:ascii="Verdana" w:eastAsia="Times New Roman" w:hAnsi="Verdana" w:cs="Arial"/>
          <w:sz w:val="20"/>
          <w:szCs w:val="20"/>
          <w:lang w:val="es-CR" w:eastAsia="es-CR"/>
        </w:rPr>
      </w:pPr>
    </w:p>
    <w:p w14:paraId="2A6FF7EA" w14:textId="77777777" w:rsidR="007C7E7C" w:rsidRDefault="007C7E7C" w:rsidP="007C7E7C">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D4312D">
        <w:rPr>
          <w:rFonts w:ascii="Verdana" w:eastAsia="Times New Roman" w:hAnsi="Verdana" w:cs="Arial"/>
          <w:sz w:val="20"/>
          <w:szCs w:val="20"/>
          <w:lang w:val="es-CR" w:eastAsia="es-CR"/>
        </w:rPr>
        <w:t xml:space="preserve">Es pertinente destacar también que la Declaración Universal de los Derechos Humanos contempla en su artículo 25 el derecho a “un nivel de vida adecuado”, como también lo hace el </w:t>
      </w:r>
      <w:r w:rsidRPr="004B0E35">
        <w:rPr>
          <w:rFonts w:ascii="Verdana" w:eastAsia="Times New Roman" w:hAnsi="Verdana" w:cs="Arial"/>
          <w:sz w:val="20"/>
          <w:szCs w:val="20"/>
          <w:lang w:val="es-CR" w:eastAsia="es-CR"/>
        </w:rPr>
        <w:t>PIDESC</w:t>
      </w:r>
      <w:r w:rsidRPr="00D4312D">
        <w:rPr>
          <w:rFonts w:ascii="Verdana" w:eastAsia="Times New Roman" w:hAnsi="Verdana" w:cs="Arial"/>
          <w:sz w:val="20"/>
          <w:szCs w:val="20"/>
          <w:lang w:val="es-CR" w:eastAsia="es-CR"/>
        </w:rPr>
        <w:t xml:space="preserve"> en su artículo 11. Este derecho debe considerarse inclusivo del derecho al agua, como lo ha hecho notar el </w:t>
      </w:r>
      <w:r w:rsidRPr="004B0E35">
        <w:rPr>
          <w:rFonts w:ascii="Verdana" w:eastAsia="Times New Roman" w:hAnsi="Verdana" w:cs="Arial"/>
          <w:sz w:val="20"/>
          <w:szCs w:val="20"/>
          <w:lang w:val="es-CR" w:eastAsia="es-CR"/>
        </w:rPr>
        <w:t>Comité DESC,</w:t>
      </w:r>
      <w:r w:rsidRPr="00D4312D">
        <w:rPr>
          <w:rFonts w:ascii="Verdana" w:eastAsia="Times New Roman" w:hAnsi="Verdana" w:cs="Arial"/>
          <w:sz w:val="20"/>
          <w:szCs w:val="20"/>
          <w:lang w:val="es-CR" w:eastAsia="es-CR"/>
        </w:rPr>
        <w:t xml:space="preserve"> que también ha considerado su relación con otros derechos. De este modo, también en el ámbito universal se ha determinado la existencia del derecho al agua pese a la falta de un reconocimiento expreso general</w:t>
      </w:r>
      <w:r w:rsidRPr="0016513C">
        <w:rPr>
          <w:rStyle w:val="Refdenotaalpie"/>
          <w:rFonts w:ascii="Verdana" w:eastAsia="Times New Roman" w:hAnsi="Verdana"/>
          <w:sz w:val="20"/>
          <w:lang w:val="es-CR" w:eastAsia="es-CR"/>
        </w:rPr>
        <w:footnoteReference w:id="222"/>
      </w:r>
      <w:r w:rsidRPr="00D4312D">
        <w:rPr>
          <w:rFonts w:ascii="Verdana" w:eastAsia="Times New Roman" w:hAnsi="Verdana" w:cs="Arial"/>
          <w:sz w:val="20"/>
          <w:szCs w:val="20"/>
          <w:lang w:val="es-CR" w:eastAsia="es-CR"/>
        </w:rPr>
        <w:t xml:space="preserve">. Sí hacen referencia expresa al agua algunos tratados del sistema universal referidos a aspectos específicos de protección de los derechos humanos, como la Convención </w:t>
      </w:r>
      <w:r>
        <w:rPr>
          <w:rFonts w:ascii="Verdana" w:eastAsia="Times New Roman" w:hAnsi="Verdana" w:cs="Arial"/>
          <w:sz w:val="20"/>
          <w:szCs w:val="20"/>
          <w:lang w:val="es-CR" w:eastAsia="es-CR"/>
        </w:rPr>
        <w:t>sobre</w:t>
      </w:r>
      <w:r w:rsidRPr="00D4312D">
        <w:rPr>
          <w:rFonts w:ascii="Verdana" w:eastAsia="Times New Roman" w:hAnsi="Verdana" w:cs="Arial"/>
          <w:sz w:val="20"/>
          <w:szCs w:val="20"/>
          <w:lang w:val="es-CR" w:eastAsia="es-CR"/>
        </w:rPr>
        <w:t xml:space="preserve"> los Derechos del Niño, en el artículo 24, o la Convención sobre la </w:t>
      </w:r>
      <w:r>
        <w:rPr>
          <w:rFonts w:ascii="Verdana" w:eastAsia="Times New Roman" w:hAnsi="Verdana" w:cs="Arial"/>
          <w:sz w:val="20"/>
          <w:szCs w:val="20"/>
          <w:lang w:val="es-CR" w:eastAsia="es-CR"/>
        </w:rPr>
        <w:t>E</w:t>
      </w:r>
      <w:r w:rsidRPr="00D4312D">
        <w:rPr>
          <w:rFonts w:ascii="Verdana" w:eastAsia="Times New Roman" w:hAnsi="Verdana" w:cs="Arial"/>
          <w:sz w:val="20"/>
          <w:szCs w:val="20"/>
          <w:lang w:val="es-CR" w:eastAsia="es-CR"/>
        </w:rPr>
        <w:t xml:space="preserve">liminación de todas las </w:t>
      </w:r>
      <w:r>
        <w:rPr>
          <w:rFonts w:ascii="Verdana" w:eastAsia="Times New Roman" w:hAnsi="Verdana" w:cs="Arial"/>
          <w:sz w:val="20"/>
          <w:szCs w:val="20"/>
          <w:lang w:val="es-CR" w:eastAsia="es-CR"/>
        </w:rPr>
        <w:t>F</w:t>
      </w:r>
      <w:r w:rsidRPr="00D4312D">
        <w:rPr>
          <w:rFonts w:ascii="Verdana" w:eastAsia="Times New Roman" w:hAnsi="Verdana" w:cs="Arial"/>
          <w:sz w:val="20"/>
          <w:szCs w:val="20"/>
          <w:lang w:val="es-CR" w:eastAsia="es-CR"/>
        </w:rPr>
        <w:t xml:space="preserve">ormas de </w:t>
      </w:r>
      <w:r>
        <w:rPr>
          <w:rFonts w:ascii="Verdana" w:eastAsia="Times New Roman" w:hAnsi="Verdana" w:cs="Arial"/>
          <w:sz w:val="20"/>
          <w:szCs w:val="20"/>
          <w:lang w:val="es-CR" w:eastAsia="es-CR"/>
        </w:rPr>
        <w:t>D</w:t>
      </w:r>
      <w:r w:rsidRPr="00D4312D">
        <w:rPr>
          <w:rFonts w:ascii="Verdana" w:eastAsia="Times New Roman" w:hAnsi="Verdana" w:cs="Arial"/>
          <w:sz w:val="20"/>
          <w:szCs w:val="20"/>
          <w:lang w:val="es-CR" w:eastAsia="es-CR"/>
        </w:rPr>
        <w:t xml:space="preserve">iscriminación contra la </w:t>
      </w:r>
      <w:r>
        <w:rPr>
          <w:rFonts w:ascii="Verdana" w:eastAsia="Times New Roman" w:hAnsi="Verdana" w:cs="Arial"/>
          <w:sz w:val="20"/>
          <w:szCs w:val="20"/>
          <w:lang w:val="es-CR" w:eastAsia="es-CR"/>
        </w:rPr>
        <w:t>M</w:t>
      </w:r>
      <w:r w:rsidRPr="00D4312D">
        <w:rPr>
          <w:rFonts w:ascii="Verdana" w:eastAsia="Times New Roman" w:hAnsi="Verdana" w:cs="Arial"/>
          <w:sz w:val="20"/>
          <w:szCs w:val="20"/>
          <w:lang w:val="es-CR" w:eastAsia="es-CR"/>
        </w:rPr>
        <w:t>ujer, en el artículo 14</w:t>
      </w:r>
      <w:r>
        <w:rPr>
          <w:rFonts w:ascii="Verdana" w:eastAsia="Times New Roman" w:hAnsi="Verdana" w:cs="Arial"/>
          <w:sz w:val="20"/>
          <w:szCs w:val="20"/>
          <w:lang w:val="es-CR" w:eastAsia="es-CR"/>
        </w:rPr>
        <w:t>, referido a “problemas especiales a que hace frente la […] mujer de las zonas rurales”</w:t>
      </w:r>
      <w:r w:rsidRPr="00D4312D">
        <w:rPr>
          <w:rFonts w:ascii="Verdana" w:eastAsia="Times New Roman" w:hAnsi="Verdana" w:cs="Arial"/>
          <w:sz w:val="20"/>
          <w:szCs w:val="20"/>
          <w:lang w:val="es-CR" w:eastAsia="es-CR"/>
        </w:rPr>
        <w:t>.</w:t>
      </w:r>
    </w:p>
    <w:p w14:paraId="24869B95" w14:textId="77777777" w:rsidR="007C7E7C" w:rsidRPr="00D4312D" w:rsidRDefault="007C7E7C" w:rsidP="007C7E7C">
      <w:pPr>
        <w:pStyle w:val="Prrafodelista"/>
        <w:spacing w:line="240" w:lineRule="auto"/>
        <w:rPr>
          <w:rFonts w:ascii="Verdana" w:hAnsi="Verdana"/>
          <w:sz w:val="20"/>
          <w:szCs w:val="20"/>
        </w:rPr>
      </w:pPr>
    </w:p>
    <w:p w14:paraId="5B0B7938" w14:textId="4CC2CFA4" w:rsidR="007C7E7C" w:rsidRPr="00D4312D" w:rsidRDefault="007C7E7C" w:rsidP="007C7E7C">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D4312D">
        <w:rPr>
          <w:rFonts w:ascii="Verdana" w:hAnsi="Verdana"/>
          <w:sz w:val="20"/>
          <w:szCs w:val="20"/>
        </w:rPr>
        <w:t xml:space="preserve">De modo </w:t>
      </w:r>
      <w:r w:rsidRPr="004B0E35">
        <w:rPr>
          <w:rFonts w:ascii="Verdana" w:hAnsi="Verdana"/>
          <w:sz w:val="20"/>
          <w:szCs w:val="20"/>
        </w:rPr>
        <w:t>adicional a lo expuesto, debe resaltarse que la Organización de las Naciones Unidas</w:t>
      </w:r>
      <w:r w:rsidRPr="00D4312D">
        <w:rPr>
          <w:rFonts w:ascii="Verdana" w:hAnsi="Verdana"/>
          <w:sz w:val="20"/>
          <w:szCs w:val="20"/>
        </w:rPr>
        <w:t xml:space="preserve">, a través de su Asamblea General, emitió el 28 de julio de 2010 la Resolución 64/292 titulada “El derecho humano al agua y el saneamiento”, que reconoce que </w:t>
      </w:r>
      <w:r>
        <w:rPr>
          <w:rFonts w:ascii="Verdana" w:hAnsi="Verdana"/>
          <w:sz w:val="20"/>
          <w:szCs w:val="20"/>
        </w:rPr>
        <w:t>“</w:t>
      </w:r>
      <w:r w:rsidRPr="00D4312D">
        <w:rPr>
          <w:rFonts w:ascii="Verdana" w:hAnsi="Verdana"/>
          <w:sz w:val="20"/>
          <w:szCs w:val="20"/>
        </w:rPr>
        <w:t xml:space="preserve">el derecho al agua potable y el saneamiento es un derecho humano esencial para el pleno disfrute de la vida y de todos los derechos humanos”. </w:t>
      </w:r>
      <w:r w:rsidRPr="00D4312D">
        <w:rPr>
          <w:rFonts w:ascii="Verdana" w:eastAsia="Times New Roman" w:hAnsi="Verdana" w:cs="Arial"/>
          <w:sz w:val="20"/>
          <w:szCs w:val="20"/>
          <w:lang w:val="es-CR" w:eastAsia="es-CR"/>
        </w:rPr>
        <w:t xml:space="preserve">En </w:t>
      </w:r>
      <w:r w:rsidR="00381C49">
        <w:rPr>
          <w:rFonts w:ascii="Verdana" w:eastAsia="Times New Roman" w:hAnsi="Verdana" w:cs="Arial"/>
          <w:sz w:val="20"/>
          <w:szCs w:val="20"/>
          <w:lang w:val="es-CR" w:eastAsia="es-CR"/>
        </w:rPr>
        <w:t xml:space="preserve">la misma </w:t>
      </w:r>
      <w:r w:rsidRPr="00D4312D">
        <w:rPr>
          <w:rFonts w:ascii="Verdana" w:eastAsia="Times New Roman" w:hAnsi="Verdana" w:cs="Arial"/>
          <w:sz w:val="20"/>
          <w:szCs w:val="20"/>
          <w:lang w:val="es-CR" w:eastAsia="es-CR"/>
        </w:rPr>
        <w:t xml:space="preserve">línea, la Carta Social de las Américas, en su artículo </w:t>
      </w:r>
      <w:r>
        <w:rPr>
          <w:rFonts w:ascii="Verdana" w:eastAsia="Times New Roman" w:hAnsi="Verdana" w:cs="Arial"/>
          <w:sz w:val="20"/>
          <w:szCs w:val="20"/>
          <w:lang w:val="es-CR" w:eastAsia="es-CR"/>
        </w:rPr>
        <w:t>9 del Capítulo III</w:t>
      </w:r>
      <w:r w:rsidRPr="00D4312D">
        <w:rPr>
          <w:rFonts w:ascii="Verdana" w:eastAsia="Times New Roman" w:hAnsi="Verdana" w:cs="Arial"/>
          <w:sz w:val="20"/>
          <w:szCs w:val="20"/>
          <w:lang w:val="es-CR" w:eastAsia="es-CR"/>
        </w:rPr>
        <w:t>, afirma que “[l]os Estados […] reconocen que el agua es fundamental para la vida y básica para el desarrollo socioeconómico y la sostenibilidad ambiental” y que “se comprometen a continuar trabajando para garantizar el acceso al agua potable y a los servicios de saneamiento para las presentes y futuras generaciones”. La Asamblea General de la OEA adoptó también, en 2007 y 2012, las resoluciones 2349/07 y 2760/12, denominadas respectivamente “[e]l agua, la salud y los derechos humanos” y “[e]l derecho humano al agua potable y el saneamiento”</w:t>
      </w:r>
      <w:r w:rsidR="0015769C">
        <w:rPr>
          <w:rFonts w:ascii="Verdana" w:eastAsia="Times New Roman" w:hAnsi="Verdana" w:cs="Arial"/>
          <w:sz w:val="20"/>
          <w:szCs w:val="20"/>
          <w:lang w:val="es-CR" w:eastAsia="es-CR"/>
        </w:rPr>
        <w:t>. L</w:t>
      </w:r>
      <w:r w:rsidRPr="00D4312D">
        <w:rPr>
          <w:rFonts w:ascii="Verdana" w:eastAsia="Times New Roman" w:hAnsi="Verdana" w:cs="Arial"/>
          <w:sz w:val="20"/>
          <w:szCs w:val="20"/>
          <w:lang w:val="es-CR" w:eastAsia="es-CR"/>
        </w:rPr>
        <w:t>a primera, en sus artículos 1 y 4, “[r]econoce” al agua como “esencial para la vida y la salud” e “</w:t>
      </w:r>
      <w:r w:rsidRPr="00D4312D">
        <w:rPr>
          <w:rFonts w:ascii="Verdana" w:hAnsi="Verdana"/>
          <w:sz w:val="20"/>
          <w:szCs w:val="20"/>
        </w:rPr>
        <w:t>indispensable para poder vivir una vida con dignidad humana”, así como “</w:t>
      </w:r>
      <w:r w:rsidRPr="00D4312D">
        <w:rPr>
          <w:rFonts w:ascii="Verdana" w:hAnsi="Verdana"/>
          <w:sz w:val="20"/>
          <w:szCs w:val="20"/>
          <w:lang w:val="es-AR"/>
        </w:rPr>
        <w:t>el uso ancestral del agua por parte de las comunidades urbanas, rurales y pueblos indígenas</w:t>
      </w:r>
      <w:r>
        <w:rPr>
          <w:rFonts w:ascii="Verdana" w:hAnsi="Verdana"/>
          <w:sz w:val="20"/>
          <w:szCs w:val="20"/>
          <w:lang w:val="es-AR"/>
        </w:rPr>
        <w:t xml:space="preserve">, </w:t>
      </w:r>
      <w:r w:rsidRPr="00BF0EF1">
        <w:rPr>
          <w:rFonts w:ascii="Verdana" w:hAnsi="Verdana"/>
          <w:sz w:val="20"/>
          <w:szCs w:val="20"/>
          <w:lang w:val="es-AR"/>
        </w:rPr>
        <w:t xml:space="preserve">en el marco de sus usos y costumbres sobre el </w:t>
      </w:r>
      <w:r w:rsidRPr="00BF0EF1">
        <w:rPr>
          <w:rFonts w:ascii="Verdana" w:hAnsi="Verdana"/>
          <w:sz w:val="20"/>
          <w:szCs w:val="20"/>
          <w:lang w:val="es-AR"/>
        </w:rPr>
        <w:lastRenderedPageBreak/>
        <w:t>uso del agua, de conformidad con las respectivas legislaciones nacionales</w:t>
      </w:r>
      <w:r w:rsidRPr="009B2F46">
        <w:rPr>
          <w:rFonts w:ascii="Verdana" w:hAnsi="Verdana"/>
          <w:sz w:val="20"/>
          <w:szCs w:val="20"/>
          <w:lang w:val="es-AR"/>
        </w:rPr>
        <w:t>”.</w:t>
      </w:r>
      <w:r w:rsidRPr="00D4312D">
        <w:rPr>
          <w:rFonts w:ascii="Verdana" w:hAnsi="Verdana"/>
          <w:sz w:val="20"/>
          <w:szCs w:val="20"/>
          <w:lang w:val="es-AR"/>
        </w:rPr>
        <w:t xml:space="preserve"> La segunda, en su primer artículo, “invita” a los Estados a “seguir trabajando” para “</w:t>
      </w:r>
      <w:r w:rsidRPr="00D4312D">
        <w:rPr>
          <w:rFonts w:ascii="Verdana" w:hAnsi="Verdana"/>
          <w:sz w:val="20"/>
          <w:szCs w:val="20"/>
        </w:rPr>
        <w:t>asegurar el acceso al agua potable y a servicios de saneamiento para las generaciones presentes y futuras”. El derecho también está contemplado en el artículo 12 de la Convención Interamericana sobre la Protección de los Derechos Humanos de las Personas Mayores</w:t>
      </w:r>
      <w:r>
        <w:rPr>
          <w:rStyle w:val="Refdenotaalpie"/>
          <w:rFonts w:ascii="Verdana" w:hAnsi="Verdana"/>
          <w:sz w:val="20"/>
        </w:rPr>
        <w:footnoteReference w:id="223"/>
      </w:r>
      <w:r w:rsidRPr="00D4312D">
        <w:rPr>
          <w:rFonts w:ascii="Verdana" w:hAnsi="Verdana"/>
          <w:sz w:val="20"/>
          <w:szCs w:val="20"/>
        </w:rPr>
        <w:t xml:space="preserve">. </w:t>
      </w:r>
    </w:p>
    <w:p w14:paraId="62364E3B" w14:textId="77777777" w:rsidR="007C7E7C" w:rsidRDefault="007C7E7C" w:rsidP="007C7E7C">
      <w:pPr>
        <w:pStyle w:val="Prrafodelista"/>
        <w:spacing w:after="0" w:line="240" w:lineRule="auto"/>
        <w:ind w:left="0" w:right="6"/>
        <w:jc w:val="both"/>
        <w:rPr>
          <w:rFonts w:ascii="Verdana" w:eastAsia="Batang" w:hAnsi="Verdana" w:cs="Times"/>
          <w:sz w:val="20"/>
          <w:szCs w:val="20"/>
          <w:lang w:val="es-CR" w:eastAsia="es-CR"/>
        </w:rPr>
      </w:pPr>
    </w:p>
    <w:p w14:paraId="5864150F" w14:textId="626040A6" w:rsidR="007C7E7C" w:rsidRDefault="007C7E7C" w:rsidP="007C7E7C">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D4312D">
        <w:rPr>
          <w:rFonts w:ascii="Verdana" w:hAnsi="Verdana"/>
          <w:sz w:val="20"/>
          <w:szCs w:val="20"/>
        </w:rPr>
        <w:t xml:space="preserve">Es pertinente hacer mención, de forma complementaria, al derecho constitucional pertinente en el caso. Argentina, en su Constitución Nacional incluye el derecho a un ambiente sano y, por dotar de “jerarquía constitucional” a instrumentos de derechos humanos, también </w:t>
      </w:r>
      <w:r>
        <w:rPr>
          <w:rFonts w:ascii="Verdana" w:hAnsi="Verdana"/>
          <w:sz w:val="20"/>
          <w:szCs w:val="20"/>
        </w:rPr>
        <w:t xml:space="preserve">a </w:t>
      </w:r>
      <w:r w:rsidRPr="00D4312D">
        <w:rPr>
          <w:rFonts w:ascii="Verdana" w:hAnsi="Verdana"/>
          <w:sz w:val="20"/>
          <w:szCs w:val="20"/>
        </w:rPr>
        <w:t xml:space="preserve">los derechos a la alimentación y a la salud, </w:t>
      </w:r>
      <w:r>
        <w:rPr>
          <w:rFonts w:ascii="Verdana" w:hAnsi="Verdana"/>
          <w:sz w:val="20"/>
          <w:szCs w:val="20"/>
        </w:rPr>
        <w:t xml:space="preserve">entre otros, </w:t>
      </w:r>
      <w:r w:rsidRPr="00D4312D">
        <w:rPr>
          <w:rFonts w:ascii="Verdana" w:hAnsi="Verdana"/>
          <w:sz w:val="20"/>
          <w:szCs w:val="20"/>
        </w:rPr>
        <w:t xml:space="preserve">los cuales están vinculados estrechamente con el derecho al agua. </w:t>
      </w:r>
      <w:r w:rsidRPr="00D4312D">
        <w:rPr>
          <w:rFonts w:ascii="Verdana" w:hAnsi="Verdana" w:cs="Arial"/>
          <w:sz w:val="20"/>
          <w:szCs w:val="20"/>
          <w:lang w:val="es-CR"/>
        </w:rPr>
        <w:t>La Constitución de Salta, por su parte, expresa en su artículo 83 que “[e]</w:t>
      </w:r>
      <w:r w:rsidRPr="00D4312D">
        <w:rPr>
          <w:rFonts w:ascii="Verdana" w:eastAsia="Times New Roman" w:hAnsi="Verdana" w:cs="Arial"/>
          <w:sz w:val="20"/>
          <w:szCs w:val="20"/>
          <w:lang w:val="es-CR" w:eastAsia="es-CR"/>
        </w:rPr>
        <w:t>l uso de las aguas del dominio público destinadas a las necesidades de consumo de la población es un derecho de ésta”. Además</w:t>
      </w:r>
      <w:r w:rsidR="00F13724">
        <w:rPr>
          <w:rFonts w:ascii="Verdana" w:eastAsia="Times New Roman" w:hAnsi="Verdana" w:cs="Arial"/>
          <w:sz w:val="20"/>
          <w:szCs w:val="20"/>
          <w:lang w:val="es-CR" w:eastAsia="es-CR"/>
        </w:rPr>
        <w:t>,</w:t>
      </w:r>
      <w:r w:rsidRPr="00D4312D">
        <w:rPr>
          <w:rFonts w:ascii="Verdana" w:eastAsia="Times New Roman" w:hAnsi="Verdana" w:cs="Arial"/>
          <w:sz w:val="20"/>
          <w:szCs w:val="20"/>
          <w:lang w:val="es-CR" w:eastAsia="es-CR"/>
        </w:rPr>
        <w:t xml:space="preserve"> como ya se ha indicado, recepta los derechos al ambiente </w:t>
      </w:r>
      <w:r w:rsidR="00D10B17">
        <w:rPr>
          <w:rFonts w:ascii="Verdana" w:eastAsia="Times New Roman" w:hAnsi="Verdana" w:cs="Arial"/>
          <w:sz w:val="20"/>
          <w:szCs w:val="20"/>
          <w:lang w:val="es-CR" w:eastAsia="es-CR"/>
        </w:rPr>
        <w:t xml:space="preserve">sano </w:t>
      </w:r>
      <w:r w:rsidRPr="00D4312D">
        <w:rPr>
          <w:rFonts w:ascii="Verdana" w:eastAsia="Times New Roman" w:hAnsi="Verdana" w:cs="Arial"/>
          <w:sz w:val="20"/>
          <w:szCs w:val="20"/>
          <w:lang w:val="es-CR" w:eastAsia="es-CR"/>
        </w:rPr>
        <w:t>y a la salud, y tiene normas específicas sobre alimentación. (</w:t>
      </w:r>
      <w:r w:rsidRPr="00D4312D">
        <w:rPr>
          <w:rFonts w:ascii="Verdana" w:eastAsia="Times New Roman" w:hAnsi="Verdana" w:cs="Arial"/>
          <w:i/>
          <w:sz w:val="20"/>
          <w:szCs w:val="20"/>
          <w:lang w:val="es-CR" w:eastAsia="es-CR"/>
        </w:rPr>
        <w:t xml:space="preserve">supra </w:t>
      </w:r>
      <w:r w:rsidRPr="00D4312D">
        <w:rPr>
          <w:rFonts w:ascii="Verdana" w:eastAsia="Times New Roman" w:hAnsi="Verdana" w:cs="Arial"/>
          <w:sz w:val="20"/>
          <w:szCs w:val="20"/>
          <w:lang w:val="es-CR" w:eastAsia="es-CR"/>
        </w:rPr>
        <w:t>párr</w:t>
      </w:r>
      <w:r>
        <w:rPr>
          <w:rFonts w:ascii="Verdana" w:eastAsia="Times New Roman" w:hAnsi="Verdana" w:cs="Arial"/>
          <w:sz w:val="20"/>
          <w:szCs w:val="20"/>
          <w:lang w:val="es-CR" w:eastAsia="es-CR"/>
        </w:rPr>
        <w:t>s</w:t>
      </w:r>
      <w:r w:rsidRPr="00D4312D">
        <w:rPr>
          <w:rFonts w:ascii="Verdana" w:eastAsia="Times New Roman" w:hAnsi="Verdana" w:cs="Arial"/>
          <w:sz w:val="20"/>
          <w:szCs w:val="20"/>
          <w:lang w:val="es-CR" w:eastAsia="es-CR"/>
        </w:rPr>
        <w:t xml:space="preserve">. </w:t>
      </w:r>
      <w:r>
        <w:rPr>
          <w:rFonts w:ascii="Verdana" w:eastAsia="Times New Roman" w:hAnsi="Verdana" w:cs="Arial"/>
          <w:sz w:val="20"/>
          <w:szCs w:val="20"/>
          <w:lang w:val="es-CR" w:eastAsia="es-CR"/>
        </w:rPr>
        <w:t>204 y 214</w:t>
      </w:r>
      <w:r w:rsidRPr="00D4312D">
        <w:rPr>
          <w:rFonts w:ascii="Verdana" w:eastAsia="Times New Roman" w:hAnsi="Verdana" w:cs="Arial"/>
          <w:sz w:val="20"/>
          <w:szCs w:val="20"/>
          <w:lang w:val="es-CR" w:eastAsia="es-CR"/>
        </w:rPr>
        <w:t>).</w:t>
      </w:r>
    </w:p>
    <w:p w14:paraId="1288C24F" w14:textId="77777777" w:rsidR="007C7E7C" w:rsidRPr="00D4312D" w:rsidRDefault="007C7E7C" w:rsidP="007C7E7C">
      <w:pPr>
        <w:pStyle w:val="Prrafodelista"/>
        <w:spacing w:line="240" w:lineRule="auto"/>
        <w:rPr>
          <w:rFonts w:ascii="Verdana" w:hAnsi="Verdana" w:cs="Arial"/>
          <w:sz w:val="20"/>
          <w:szCs w:val="20"/>
          <w:lang w:val="es-CR"/>
        </w:rPr>
      </w:pPr>
    </w:p>
    <w:p w14:paraId="23930CB8" w14:textId="4FB0C3A6" w:rsidR="007C7E7C" w:rsidRPr="00BF0EF1" w:rsidRDefault="007C7E7C" w:rsidP="007C7E7C">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D4312D">
        <w:rPr>
          <w:rFonts w:ascii="Verdana" w:hAnsi="Verdana" w:cs="Arial"/>
          <w:sz w:val="20"/>
          <w:szCs w:val="20"/>
          <w:lang w:val="es-CR"/>
        </w:rPr>
        <w:t xml:space="preserve">Habiendo dado cuenta de disposiciones normativas que dan sustento al derecho, es relevante señalar su contenido. El </w:t>
      </w:r>
      <w:r w:rsidRPr="004B0E35">
        <w:rPr>
          <w:rFonts w:ascii="Verdana" w:hAnsi="Verdana" w:cs="Arial"/>
          <w:sz w:val="20"/>
          <w:szCs w:val="20"/>
          <w:lang w:val="es-CR"/>
        </w:rPr>
        <w:t>Comité DESC</w:t>
      </w:r>
      <w:r w:rsidRPr="00D4312D">
        <w:rPr>
          <w:rFonts w:ascii="Verdana" w:hAnsi="Verdana" w:cs="Arial"/>
          <w:sz w:val="20"/>
          <w:szCs w:val="20"/>
          <w:lang w:val="es-CR"/>
        </w:rPr>
        <w:t xml:space="preserve"> ha expresado que</w:t>
      </w:r>
      <w:r w:rsidR="002E5ED8">
        <w:rPr>
          <w:rFonts w:ascii="Verdana" w:hAnsi="Verdana" w:cs="Arial"/>
          <w:sz w:val="20"/>
          <w:szCs w:val="20"/>
          <w:lang w:val="es-CR"/>
        </w:rPr>
        <w:t>:</w:t>
      </w:r>
      <w:r w:rsidRPr="00D4312D">
        <w:rPr>
          <w:rFonts w:ascii="Verdana" w:hAnsi="Verdana" w:cs="Arial"/>
          <w:sz w:val="20"/>
          <w:szCs w:val="20"/>
          <w:lang w:val="es-CR"/>
        </w:rPr>
        <w:t xml:space="preserve"> </w:t>
      </w:r>
    </w:p>
    <w:p w14:paraId="5B5BB546" w14:textId="77777777" w:rsidR="007C7E7C" w:rsidRPr="00BF0EF1" w:rsidRDefault="007C7E7C" w:rsidP="007C7E7C">
      <w:pPr>
        <w:pStyle w:val="Prrafodelista"/>
        <w:spacing w:line="240" w:lineRule="auto"/>
        <w:rPr>
          <w:rFonts w:ascii="Verdana" w:hAnsi="Verdana" w:cs="Arial"/>
          <w:sz w:val="20"/>
          <w:szCs w:val="20"/>
          <w:lang w:val="es-CR"/>
        </w:rPr>
      </w:pPr>
    </w:p>
    <w:p w14:paraId="684634BD" w14:textId="77777777" w:rsidR="007C7E7C" w:rsidRPr="00BF0EF1" w:rsidRDefault="007C7E7C" w:rsidP="007C7E7C">
      <w:pPr>
        <w:pStyle w:val="Prrafodelista"/>
        <w:spacing w:after="0" w:line="240" w:lineRule="auto"/>
        <w:ind w:left="284" w:right="333"/>
        <w:jc w:val="both"/>
        <w:rPr>
          <w:rFonts w:ascii="Verdana" w:eastAsia="Batang" w:hAnsi="Verdana" w:cs="Times"/>
          <w:sz w:val="16"/>
          <w:szCs w:val="16"/>
          <w:lang w:val="es-CR" w:eastAsia="es-CR"/>
        </w:rPr>
      </w:pPr>
      <w:r w:rsidRPr="00BF0EF1">
        <w:rPr>
          <w:rFonts w:ascii="Verdana" w:hAnsi="Verdana" w:cs="Arial"/>
          <w:sz w:val="16"/>
          <w:szCs w:val="16"/>
          <w:lang w:val="es-CR"/>
        </w:rPr>
        <w:t>[e]l derecho humano al agua es el derecho de todos a disponer de agua suficiente, salubre, aceptable, accesible y asequible para el uso personal y doméstico. Un abastecimiento adecuado de agua salubre es necesario para evitar la muerte por deshidratación, para reducir el riesgo de las enfermedades relacionadas con el agua y para satisfacer las necesidades de consumo y cocina y las necesidades de higiene personal y doméstica</w:t>
      </w:r>
      <w:r w:rsidRPr="00BF0EF1">
        <w:rPr>
          <w:rStyle w:val="Refdenotaalpie"/>
          <w:rFonts w:ascii="Verdana" w:hAnsi="Verdana"/>
          <w:sz w:val="16"/>
          <w:szCs w:val="16"/>
          <w:lang w:val="es-CR"/>
        </w:rPr>
        <w:footnoteReference w:id="224"/>
      </w:r>
      <w:r w:rsidRPr="00BF0EF1">
        <w:rPr>
          <w:rFonts w:ascii="Verdana" w:hAnsi="Verdana" w:cs="Arial"/>
          <w:sz w:val="16"/>
          <w:szCs w:val="16"/>
          <w:lang w:val="es-CR"/>
        </w:rPr>
        <w:t xml:space="preserve">. </w:t>
      </w:r>
    </w:p>
    <w:p w14:paraId="68622F98" w14:textId="77777777" w:rsidR="007C7E7C" w:rsidRPr="00BF0EF1" w:rsidRDefault="007C7E7C" w:rsidP="007C7E7C">
      <w:pPr>
        <w:pStyle w:val="Prrafodelista"/>
        <w:spacing w:line="240" w:lineRule="auto"/>
        <w:rPr>
          <w:rFonts w:ascii="Verdana" w:hAnsi="Verdana" w:cs="Arial"/>
          <w:sz w:val="20"/>
          <w:szCs w:val="20"/>
          <w:lang w:val="es-CR"/>
        </w:rPr>
      </w:pPr>
    </w:p>
    <w:p w14:paraId="19C8BA81" w14:textId="77777777" w:rsidR="007C7E7C" w:rsidRDefault="007C7E7C" w:rsidP="007C7E7C">
      <w:pPr>
        <w:pStyle w:val="Prrafodelista"/>
        <w:spacing w:after="0" w:line="240" w:lineRule="auto"/>
        <w:ind w:left="0" w:right="6"/>
        <w:jc w:val="both"/>
        <w:rPr>
          <w:rFonts w:ascii="Verdana" w:eastAsia="Batang" w:hAnsi="Verdana" w:cs="Times"/>
          <w:sz w:val="20"/>
          <w:szCs w:val="20"/>
          <w:lang w:val="es-CR" w:eastAsia="es-CR"/>
        </w:rPr>
      </w:pPr>
      <w:r w:rsidRPr="00D4312D">
        <w:rPr>
          <w:rFonts w:ascii="Verdana" w:hAnsi="Verdana" w:cs="Arial"/>
          <w:sz w:val="20"/>
          <w:szCs w:val="20"/>
          <w:lang w:val="es-CR"/>
        </w:rPr>
        <w:t>En el mismo sentido l</w:t>
      </w:r>
      <w:r w:rsidRPr="00D4312D">
        <w:rPr>
          <w:rFonts w:ascii="Verdana" w:hAnsi="Verdana"/>
          <w:sz w:val="20"/>
          <w:szCs w:val="20"/>
        </w:rPr>
        <w:t xml:space="preserve">a Corte, siguiendo lineamientos del </w:t>
      </w:r>
      <w:r w:rsidRPr="004B0E35">
        <w:rPr>
          <w:rFonts w:ascii="Verdana" w:hAnsi="Verdana"/>
          <w:sz w:val="20"/>
          <w:szCs w:val="20"/>
        </w:rPr>
        <w:t>Comité DESC,</w:t>
      </w:r>
      <w:r w:rsidRPr="00D4312D">
        <w:rPr>
          <w:rFonts w:ascii="Verdana" w:hAnsi="Verdana"/>
          <w:sz w:val="20"/>
          <w:szCs w:val="20"/>
        </w:rPr>
        <w:t xml:space="preserve"> ha expresado que “el acceso al agua […]</w:t>
      </w:r>
      <w:r>
        <w:rPr>
          <w:rFonts w:ascii="Verdana" w:hAnsi="Verdana"/>
          <w:sz w:val="20"/>
          <w:szCs w:val="20"/>
        </w:rPr>
        <w:t xml:space="preserve"> </w:t>
      </w:r>
      <w:r w:rsidRPr="00D4312D">
        <w:rPr>
          <w:rFonts w:ascii="Verdana" w:hAnsi="Verdana"/>
          <w:sz w:val="20"/>
          <w:szCs w:val="20"/>
        </w:rPr>
        <w:t>comprende ‘el consumo, el saneamiento, la colada, la preparación de alimentos y la higiene personal y doméstica’</w:t>
      </w:r>
      <w:r w:rsidRPr="00D4312D">
        <w:rPr>
          <w:rFonts w:ascii="Verdana" w:hAnsi="Verdana"/>
          <w:sz w:val="20"/>
          <w:szCs w:val="20"/>
          <w:lang w:val="es-CR"/>
        </w:rPr>
        <w:t xml:space="preserve">, así como para </w:t>
      </w:r>
      <w:r w:rsidRPr="00D4312D">
        <w:rPr>
          <w:rFonts w:ascii="Verdana" w:hAnsi="Verdana"/>
          <w:sz w:val="20"/>
          <w:szCs w:val="20"/>
        </w:rPr>
        <w:t xml:space="preserve">algunos individuos y grupos también </w:t>
      </w:r>
      <w:r>
        <w:rPr>
          <w:rFonts w:ascii="Verdana" w:hAnsi="Verdana"/>
          <w:sz w:val="20"/>
          <w:szCs w:val="20"/>
        </w:rPr>
        <w:t xml:space="preserve">[…] </w:t>
      </w:r>
      <w:r w:rsidRPr="00D4312D">
        <w:rPr>
          <w:rFonts w:ascii="Verdana" w:hAnsi="Verdana"/>
          <w:sz w:val="20"/>
          <w:szCs w:val="20"/>
        </w:rPr>
        <w:t>‘recursos de agua adicionales en razón de la salud, el clima y las condiciones de trabajo’”</w:t>
      </w:r>
      <w:r w:rsidRPr="00132A02">
        <w:rPr>
          <w:rStyle w:val="Refdenotaalpie"/>
          <w:rFonts w:ascii="Verdana" w:hAnsi="Verdana"/>
          <w:sz w:val="20"/>
          <w:lang w:val="es-CR"/>
        </w:rPr>
        <w:footnoteReference w:id="225"/>
      </w:r>
      <w:r w:rsidRPr="00D4312D">
        <w:rPr>
          <w:rFonts w:ascii="Verdana" w:hAnsi="Verdana"/>
          <w:sz w:val="20"/>
          <w:szCs w:val="20"/>
          <w:lang w:val="es-CR"/>
        </w:rPr>
        <w:t xml:space="preserve">. </w:t>
      </w:r>
    </w:p>
    <w:p w14:paraId="44A7AA00" w14:textId="77777777" w:rsidR="007C7E7C" w:rsidRPr="00D4312D" w:rsidRDefault="007C7E7C" w:rsidP="007C7E7C">
      <w:pPr>
        <w:pStyle w:val="Prrafodelista"/>
        <w:spacing w:line="240" w:lineRule="auto"/>
        <w:rPr>
          <w:rFonts w:ascii="Verdana" w:hAnsi="Verdana" w:cs="Arial"/>
          <w:sz w:val="20"/>
          <w:szCs w:val="20"/>
          <w:lang w:val="es-CR"/>
        </w:rPr>
      </w:pPr>
    </w:p>
    <w:p w14:paraId="6F31923F" w14:textId="1037A8B3" w:rsidR="007C7E7C" w:rsidRPr="002E5ED8" w:rsidRDefault="007C7E7C" w:rsidP="007C7E7C">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D4312D">
        <w:rPr>
          <w:rFonts w:ascii="Verdana" w:hAnsi="Verdana" w:cs="Arial"/>
          <w:sz w:val="20"/>
          <w:szCs w:val="20"/>
          <w:lang w:val="es-CR"/>
        </w:rPr>
        <w:t xml:space="preserve">El </w:t>
      </w:r>
      <w:r w:rsidRPr="004B0E35">
        <w:rPr>
          <w:rFonts w:ascii="Verdana" w:hAnsi="Verdana" w:cs="Arial"/>
          <w:sz w:val="20"/>
          <w:szCs w:val="20"/>
          <w:lang w:val="es-CR"/>
        </w:rPr>
        <w:t>Comité DESC</w:t>
      </w:r>
      <w:r w:rsidRPr="00D4312D">
        <w:rPr>
          <w:rFonts w:ascii="Verdana" w:hAnsi="Verdana" w:cs="Arial"/>
          <w:sz w:val="20"/>
          <w:szCs w:val="20"/>
          <w:lang w:val="es-CR"/>
        </w:rPr>
        <w:t xml:space="preserve"> ha indicado que “[e]</w:t>
      </w:r>
      <w:r w:rsidRPr="00D4312D">
        <w:rPr>
          <w:rFonts w:ascii="Verdana" w:hAnsi="Verdana"/>
          <w:iCs/>
          <w:sz w:val="20"/>
          <w:szCs w:val="20"/>
          <w:lang w:val="es-CR"/>
        </w:rPr>
        <w:t xml:space="preserve">l derecho al agua entraña tanto libertades como derechos”. Las primeras implican poder “mantener el acceso a un suministro de agua” y “no ser objeto de injerencias”, entre las que puede encontrarse la “contaminación de los recursos hídricos”. Los derechos, por su parte, se vinculan a “un sistema de abastecimiento y gestión del agua que ofrezca a la población iguales oportunidades de disfrutar del derecho”. Destacó también que </w:t>
      </w:r>
      <w:r w:rsidRPr="00D4312D">
        <w:rPr>
          <w:rFonts w:ascii="Verdana" w:hAnsi="Verdana" w:cs="Arial"/>
          <w:sz w:val="20"/>
          <w:szCs w:val="20"/>
          <w:lang w:val="es-CR"/>
        </w:rPr>
        <w:t>“[e]</w:t>
      </w:r>
      <w:r w:rsidRPr="00D4312D">
        <w:rPr>
          <w:rFonts w:ascii="Verdana" w:hAnsi="Verdana"/>
          <w:color w:val="000000"/>
          <w:sz w:val="20"/>
          <w:szCs w:val="20"/>
        </w:rPr>
        <w:t>l agua debe tratarse como un bien social y cultural, y no fundamentalmente como un bien económico”</w:t>
      </w:r>
      <w:r w:rsidRPr="00CB5C24">
        <w:rPr>
          <w:rStyle w:val="Refdenotaalpie"/>
          <w:rFonts w:ascii="Verdana" w:hAnsi="Verdana"/>
          <w:color w:val="000000"/>
          <w:sz w:val="20"/>
        </w:rPr>
        <w:footnoteReference w:id="226"/>
      </w:r>
      <w:r w:rsidRPr="00D4312D">
        <w:rPr>
          <w:rFonts w:ascii="Verdana" w:hAnsi="Verdana"/>
          <w:color w:val="000000"/>
          <w:sz w:val="20"/>
          <w:szCs w:val="20"/>
        </w:rPr>
        <w:t>, y que “los siguientes factores se aplican en cualquier circunstancia:</w:t>
      </w:r>
    </w:p>
    <w:p w14:paraId="4B4E9CD5" w14:textId="77777777" w:rsidR="002E5ED8" w:rsidRDefault="002E5ED8" w:rsidP="002E5ED8">
      <w:pPr>
        <w:pStyle w:val="Prrafodelista"/>
        <w:spacing w:after="0" w:line="240" w:lineRule="auto"/>
        <w:ind w:left="0" w:right="6"/>
        <w:jc w:val="both"/>
        <w:rPr>
          <w:rFonts w:ascii="Verdana" w:eastAsia="Batang" w:hAnsi="Verdana" w:cs="Times"/>
          <w:sz w:val="20"/>
          <w:szCs w:val="20"/>
          <w:lang w:val="es-CR" w:eastAsia="es-CR"/>
        </w:rPr>
      </w:pPr>
    </w:p>
    <w:p w14:paraId="5BC46954" w14:textId="77777777" w:rsidR="007C7E7C" w:rsidRPr="00CB5C24" w:rsidRDefault="007C7E7C" w:rsidP="007C7E7C">
      <w:pPr>
        <w:pStyle w:val="Prrafodelista"/>
        <w:numPr>
          <w:ilvl w:val="0"/>
          <w:numId w:val="31"/>
        </w:numPr>
        <w:spacing w:after="0" w:line="240" w:lineRule="auto"/>
        <w:ind w:left="142" w:firstLine="0"/>
        <w:jc w:val="both"/>
        <w:rPr>
          <w:rFonts w:ascii="Verdana" w:hAnsi="Verdana"/>
          <w:iCs/>
          <w:sz w:val="20"/>
          <w:szCs w:val="20"/>
          <w:lang w:val="es-CR"/>
        </w:rPr>
      </w:pPr>
      <w:r w:rsidRPr="00CB5C24">
        <w:rPr>
          <w:rFonts w:ascii="Verdana" w:hAnsi="Verdana"/>
          <w:i/>
          <w:iCs/>
          <w:color w:val="000000"/>
          <w:sz w:val="20"/>
          <w:szCs w:val="20"/>
        </w:rPr>
        <w:lastRenderedPageBreak/>
        <w:t>La disponibilidad.</w:t>
      </w:r>
      <w:r>
        <w:rPr>
          <w:rFonts w:ascii="Verdana" w:hAnsi="Verdana"/>
          <w:i/>
          <w:iCs/>
          <w:color w:val="000000"/>
          <w:sz w:val="20"/>
          <w:szCs w:val="20"/>
        </w:rPr>
        <w:t xml:space="preserve"> </w:t>
      </w:r>
      <w:r w:rsidRPr="00CB5C24">
        <w:rPr>
          <w:rFonts w:ascii="Verdana" w:hAnsi="Verdana"/>
          <w:color w:val="000000"/>
          <w:sz w:val="20"/>
          <w:szCs w:val="20"/>
        </w:rPr>
        <w:t>El abastecimiento de agua de cada persona debe ser continuo y suficiente para los usos personales y domésticos […]</w:t>
      </w:r>
      <w:r>
        <w:rPr>
          <w:rFonts w:ascii="Verdana" w:hAnsi="Verdana"/>
          <w:color w:val="000000"/>
          <w:sz w:val="20"/>
          <w:szCs w:val="20"/>
        </w:rPr>
        <w:t>.</w:t>
      </w:r>
    </w:p>
    <w:p w14:paraId="1909B1D5" w14:textId="77777777" w:rsidR="007C7E7C" w:rsidRPr="00CB5C24" w:rsidRDefault="007C7E7C" w:rsidP="007C7E7C">
      <w:pPr>
        <w:pStyle w:val="Prrafodelista"/>
        <w:numPr>
          <w:ilvl w:val="0"/>
          <w:numId w:val="31"/>
        </w:numPr>
        <w:spacing w:after="0" w:line="240" w:lineRule="auto"/>
        <w:ind w:left="142" w:firstLine="0"/>
        <w:jc w:val="both"/>
        <w:rPr>
          <w:rFonts w:ascii="Verdana" w:hAnsi="Verdana"/>
          <w:iCs/>
          <w:sz w:val="20"/>
          <w:szCs w:val="20"/>
          <w:lang w:val="es-CR"/>
        </w:rPr>
      </w:pPr>
      <w:r w:rsidRPr="00CB5C24">
        <w:rPr>
          <w:rFonts w:ascii="Verdana" w:hAnsi="Verdana"/>
          <w:i/>
          <w:iCs/>
          <w:color w:val="000000"/>
          <w:sz w:val="20"/>
          <w:szCs w:val="20"/>
        </w:rPr>
        <w:t>La calidad.</w:t>
      </w:r>
      <w:r>
        <w:rPr>
          <w:rFonts w:ascii="Verdana" w:hAnsi="Verdana"/>
          <w:i/>
          <w:iCs/>
          <w:color w:val="000000"/>
          <w:sz w:val="20"/>
          <w:szCs w:val="20"/>
        </w:rPr>
        <w:t xml:space="preserve"> </w:t>
      </w:r>
      <w:r w:rsidRPr="00CB5C24">
        <w:rPr>
          <w:rFonts w:ascii="Verdana" w:hAnsi="Verdana"/>
          <w:color w:val="000000"/>
          <w:sz w:val="20"/>
          <w:szCs w:val="20"/>
        </w:rPr>
        <w:t>El agua necesaria para cada uso personal o doméstico debe ser salubre</w:t>
      </w:r>
      <w:r>
        <w:rPr>
          <w:rFonts w:ascii="Verdana" w:hAnsi="Verdana"/>
          <w:color w:val="000000"/>
          <w:sz w:val="20"/>
          <w:szCs w:val="20"/>
        </w:rPr>
        <w:t xml:space="preserve"> </w:t>
      </w:r>
      <w:r w:rsidRPr="00CB5C24">
        <w:rPr>
          <w:rFonts w:ascii="Verdana" w:hAnsi="Verdana"/>
          <w:color w:val="000000"/>
          <w:sz w:val="20"/>
          <w:szCs w:val="20"/>
        </w:rPr>
        <w:t>[…]</w:t>
      </w:r>
      <w:r>
        <w:rPr>
          <w:rFonts w:ascii="Verdana" w:hAnsi="Verdana"/>
          <w:color w:val="000000"/>
          <w:sz w:val="20"/>
          <w:szCs w:val="20"/>
        </w:rPr>
        <w:t>.</w:t>
      </w:r>
      <w:r w:rsidRPr="00CB5C24">
        <w:rPr>
          <w:rFonts w:ascii="Verdana" w:hAnsi="Verdana"/>
          <w:color w:val="000000"/>
          <w:sz w:val="20"/>
          <w:szCs w:val="20"/>
        </w:rPr>
        <w:t xml:space="preserve"> Además, el agua debería tener un color, un olor y un sabor aceptables […].</w:t>
      </w:r>
    </w:p>
    <w:p w14:paraId="23F7E497" w14:textId="77777777" w:rsidR="007C7E7C" w:rsidRPr="00CB5C24" w:rsidRDefault="007C7E7C" w:rsidP="007C7E7C">
      <w:pPr>
        <w:pStyle w:val="Prrafodelista"/>
        <w:numPr>
          <w:ilvl w:val="0"/>
          <w:numId w:val="31"/>
        </w:numPr>
        <w:spacing w:after="0" w:line="240" w:lineRule="auto"/>
        <w:ind w:left="142" w:firstLine="0"/>
        <w:jc w:val="both"/>
        <w:rPr>
          <w:rFonts w:ascii="Verdana" w:hAnsi="Verdana"/>
          <w:iCs/>
          <w:sz w:val="20"/>
          <w:szCs w:val="20"/>
          <w:lang w:val="es-CR"/>
        </w:rPr>
      </w:pPr>
      <w:r w:rsidRPr="00CB5C24">
        <w:rPr>
          <w:rFonts w:ascii="Verdana" w:hAnsi="Verdana"/>
          <w:i/>
          <w:iCs/>
          <w:color w:val="000000"/>
          <w:sz w:val="20"/>
          <w:szCs w:val="20"/>
        </w:rPr>
        <w:t xml:space="preserve">La accesibilidad. </w:t>
      </w:r>
      <w:r w:rsidRPr="00CB5C24">
        <w:rPr>
          <w:rFonts w:ascii="Verdana" w:hAnsi="Verdana"/>
          <w:color w:val="000000"/>
          <w:sz w:val="20"/>
          <w:szCs w:val="20"/>
        </w:rPr>
        <w:t>El agua y las instalaciones y servicios de agua deben ser accesibles para todos, sin discriminación alguna, dentro de la jurisdicción del Estado Parte”</w:t>
      </w:r>
      <w:r w:rsidRPr="00CB5C24">
        <w:rPr>
          <w:rStyle w:val="Refdenotaalpie"/>
          <w:rFonts w:ascii="Verdana" w:hAnsi="Verdana"/>
          <w:iCs/>
          <w:sz w:val="20"/>
          <w:lang w:val="es-CR"/>
        </w:rPr>
        <w:t xml:space="preserve"> </w:t>
      </w:r>
      <w:r w:rsidRPr="00CB5C24">
        <w:rPr>
          <w:rStyle w:val="Refdenotaalpie"/>
          <w:rFonts w:ascii="Verdana" w:hAnsi="Verdana"/>
          <w:iCs/>
          <w:sz w:val="20"/>
          <w:lang w:val="es-CR"/>
        </w:rPr>
        <w:footnoteReference w:id="227"/>
      </w:r>
      <w:r w:rsidRPr="00CB5C24">
        <w:rPr>
          <w:rFonts w:ascii="Verdana" w:hAnsi="Verdana"/>
          <w:color w:val="000000"/>
          <w:sz w:val="20"/>
          <w:szCs w:val="20"/>
        </w:rPr>
        <w:t xml:space="preserve">. </w:t>
      </w:r>
    </w:p>
    <w:p w14:paraId="78092EC6" w14:textId="77777777" w:rsidR="007C7E7C" w:rsidRPr="00D4312D" w:rsidRDefault="007C7E7C" w:rsidP="007C7E7C">
      <w:pPr>
        <w:pStyle w:val="Prrafodelista"/>
        <w:spacing w:line="240" w:lineRule="auto"/>
        <w:rPr>
          <w:rFonts w:ascii="Verdana" w:hAnsi="Verdana" w:cs="Arial"/>
          <w:sz w:val="20"/>
          <w:szCs w:val="20"/>
        </w:rPr>
      </w:pPr>
    </w:p>
    <w:p w14:paraId="13544B6F" w14:textId="077D3A66" w:rsidR="007C7E7C" w:rsidRPr="00D4312D" w:rsidRDefault="007C7E7C" w:rsidP="007C7E7C">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D4312D">
        <w:rPr>
          <w:rFonts w:ascii="Verdana" w:hAnsi="Verdana" w:cs="Arial"/>
          <w:sz w:val="20"/>
          <w:szCs w:val="20"/>
        </w:rPr>
        <w:t xml:space="preserve">El </w:t>
      </w:r>
      <w:r w:rsidRPr="004B0E35">
        <w:rPr>
          <w:rFonts w:ascii="Verdana" w:hAnsi="Verdana" w:cs="Arial"/>
          <w:sz w:val="20"/>
          <w:szCs w:val="20"/>
        </w:rPr>
        <w:t>Comité DESC</w:t>
      </w:r>
      <w:r w:rsidRPr="00D4312D">
        <w:rPr>
          <w:rFonts w:ascii="Verdana" w:hAnsi="Verdana" w:cs="Arial"/>
          <w:sz w:val="20"/>
          <w:szCs w:val="20"/>
        </w:rPr>
        <w:t xml:space="preserve">, </w:t>
      </w:r>
      <w:r w:rsidR="002E5ED8">
        <w:rPr>
          <w:rFonts w:ascii="Verdana" w:hAnsi="Verdana" w:cs="Arial"/>
          <w:sz w:val="20"/>
          <w:szCs w:val="20"/>
        </w:rPr>
        <w:t xml:space="preserve">al </w:t>
      </w:r>
      <w:r w:rsidRPr="00D4312D">
        <w:rPr>
          <w:rFonts w:ascii="Verdana" w:hAnsi="Verdana" w:cs="Arial"/>
          <w:sz w:val="20"/>
          <w:szCs w:val="20"/>
        </w:rPr>
        <w:t>explica</w:t>
      </w:r>
      <w:r w:rsidR="002E5ED8">
        <w:rPr>
          <w:rFonts w:ascii="Verdana" w:hAnsi="Verdana" w:cs="Arial"/>
          <w:sz w:val="20"/>
          <w:szCs w:val="20"/>
        </w:rPr>
        <w:t>r</w:t>
      </w:r>
      <w:r w:rsidRPr="00D4312D">
        <w:rPr>
          <w:rFonts w:ascii="Verdana" w:hAnsi="Verdana" w:cs="Arial"/>
          <w:sz w:val="20"/>
          <w:szCs w:val="20"/>
        </w:rPr>
        <w:t xml:space="preserve"> cómo el derecho al agua se vincula con otros derechos, señaló también la importancia</w:t>
      </w:r>
      <w:r w:rsidRPr="00D4312D">
        <w:rPr>
          <w:rFonts w:ascii="Verdana" w:eastAsia="Times New Roman" w:hAnsi="Verdana" w:cs="Arial"/>
          <w:sz w:val="20"/>
          <w:szCs w:val="20"/>
          <w:lang w:val="es-CR" w:eastAsia="es-CR"/>
        </w:rPr>
        <w:t xml:space="preserve"> de “garantizar un acceso sostenible a los recursos hídricos con fines agrícolas para el ejercicio del derecho a una alimentación adecuada”. Agregó que “los Estados […] deberían garantizar un acceso suficiente al agua para la agricultura de subsistencia y para asegurar la de subsistencia de los pueblos indígenas</w:t>
      </w:r>
      <w:bookmarkStart w:id="236" w:name="_ednref8"/>
      <w:r w:rsidRPr="00D4312D">
        <w:rPr>
          <w:rFonts w:ascii="Verdana" w:eastAsia="Times New Roman" w:hAnsi="Verdana" w:cs="Arial"/>
          <w:sz w:val="20"/>
          <w:szCs w:val="20"/>
          <w:lang w:val="es-CR" w:eastAsia="es-CR"/>
        </w:rPr>
        <w:t>”</w:t>
      </w:r>
      <w:bookmarkEnd w:id="236"/>
      <w:r w:rsidRPr="00D4312D">
        <w:rPr>
          <w:rFonts w:ascii="Verdana" w:eastAsia="Times New Roman" w:hAnsi="Verdana" w:cs="Arial"/>
          <w:sz w:val="20"/>
          <w:szCs w:val="20"/>
          <w:lang w:val="es-CR" w:eastAsia="es-CR"/>
        </w:rPr>
        <w:t xml:space="preserve">. </w:t>
      </w:r>
      <w:r w:rsidR="002E5ED8">
        <w:rPr>
          <w:rFonts w:ascii="Verdana" w:eastAsia="Times New Roman" w:hAnsi="Verdana" w:cs="Arial"/>
          <w:sz w:val="20"/>
          <w:szCs w:val="20"/>
          <w:lang w:val="es-CR" w:eastAsia="es-CR"/>
        </w:rPr>
        <w:t>Sostuvo</w:t>
      </w:r>
      <w:r w:rsidRPr="00D4312D">
        <w:rPr>
          <w:rFonts w:ascii="Verdana" w:eastAsia="Times New Roman" w:hAnsi="Verdana" w:cs="Arial"/>
          <w:sz w:val="20"/>
          <w:szCs w:val="20"/>
          <w:lang w:val="es-CR" w:eastAsia="es-CR"/>
        </w:rPr>
        <w:t xml:space="preserve"> que “[l]a higiene ambiental, como aspecto del derecho a la salud […] entraña la adopción de medidas no discriminatorias para evitar los riesgos para la salud que representa el agua insalubre y contaminada por sustancias tóxicas</w:t>
      </w:r>
      <w:bookmarkStart w:id="237" w:name="_ednref9"/>
      <w:r w:rsidRPr="00D4312D">
        <w:rPr>
          <w:rFonts w:ascii="Verdana" w:eastAsia="Times New Roman" w:hAnsi="Verdana" w:cs="Arial"/>
          <w:sz w:val="20"/>
          <w:szCs w:val="20"/>
          <w:lang w:val="es-CR" w:eastAsia="es-CR"/>
        </w:rPr>
        <w:t>”</w:t>
      </w:r>
      <w:bookmarkEnd w:id="237"/>
      <w:r w:rsidRPr="00771ED8">
        <w:rPr>
          <w:rStyle w:val="Refdenotaalpie"/>
          <w:rFonts w:ascii="Verdana" w:eastAsia="Times New Roman" w:hAnsi="Verdana"/>
          <w:sz w:val="20"/>
          <w:lang w:val="es-CR" w:eastAsia="es-CR"/>
        </w:rPr>
        <w:footnoteReference w:id="228"/>
      </w:r>
      <w:r w:rsidRPr="00D4312D">
        <w:rPr>
          <w:rFonts w:ascii="Verdana" w:eastAsia="Times New Roman" w:hAnsi="Verdana" w:cs="Arial"/>
          <w:sz w:val="20"/>
          <w:szCs w:val="20"/>
          <w:lang w:val="es-CR" w:eastAsia="es-CR"/>
        </w:rPr>
        <w:t xml:space="preserve">. La Corte ya ha notado, en el mismo sentido, que </w:t>
      </w:r>
      <w:r w:rsidRPr="00D4312D">
        <w:rPr>
          <w:rFonts w:ascii="Verdana" w:hAnsi="Verdana" w:cs="Arial"/>
          <w:sz w:val="20"/>
          <w:szCs w:val="20"/>
        </w:rPr>
        <w:t>el “derecho al agua” (como también los derechos a la alimentación y a participar en la vida cultural) está “entre</w:t>
      </w:r>
      <w:r w:rsidRPr="00D4312D">
        <w:rPr>
          <w:rFonts w:ascii="Verdana" w:hAnsi="Verdana"/>
          <w:sz w:val="20"/>
          <w:szCs w:val="20"/>
          <w:lang w:val="es-ES"/>
        </w:rPr>
        <w:t xml:space="preserve"> los derechos particularmente vulnerables a afectaciones ambientales”</w:t>
      </w:r>
      <w:r w:rsidRPr="00771ED8">
        <w:rPr>
          <w:rStyle w:val="Refdenotaalpie"/>
          <w:rFonts w:ascii="Verdana" w:hAnsi="Verdana"/>
          <w:sz w:val="20"/>
          <w:lang w:val="es-ES"/>
        </w:rPr>
        <w:footnoteReference w:id="229"/>
      </w:r>
      <w:r w:rsidRPr="00D4312D">
        <w:rPr>
          <w:rFonts w:ascii="Verdana" w:hAnsi="Verdana"/>
          <w:sz w:val="20"/>
          <w:szCs w:val="20"/>
          <w:lang w:val="es-ES"/>
        </w:rPr>
        <w:t xml:space="preserve">. </w:t>
      </w:r>
      <w:bookmarkStart w:id="238" w:name="_Toc25169782"/>
      <w:bookmarkStart w:id="239" w:name="_Toc30667646"/>
    </w:p>
    <w:p w14:paraId="23DE8B36" w14:textId="77777777" w:rsidR="007C7E7C" w:rsidRDefault="007C7E7C" w:rsidP="007C7E7C">
      <w:pPr>
        <w:pStyle w:val="Prrafodelista"/>
        <w:spacing w:after="0" w:line="240" w:lineRule="auto"/>
        <w:ind w:left="0" w:right="6"/>
        <w:jc w:val="both"/>
        <w:rPr>
          <w:rFonts w:ascii="Verdana" w:eastAsia="Batang" w:hAnsi="Verdana" w:cs="Times"/>
          <w:sz w:val="20"/>
          <w:szCs w:val="20"/>
          <w:lang w:val="es-CR" w:eastAsia="es-CR"/>
        </w:rPr>
      </w:pPr>
    </w:p>
    <w:p w14:paraId="2B8F5EB3" w14:textId="424F94CC" w:rsidR="007C7E7C" w:rsidRDefault="007C7E7C" w:rsidP="007C7E7C">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D4312D">
        <w:rPr>
          <w:rFonts w:ascii="Verdana" w:hAnsi="Verdana"/>
          <w:iCs/>
          <w:sz w:val="20"/>
          <w:szCs w:val="20"/>
          <w:lang w:val="es-CR"/>
        </w:rPr>
        <w:t>En cuanto a las obligaciones que conlleva el derecho al agua, cabe agregar a lo expuesto algunas especificaciones. Rige, desde luego, el deber de respetar el ejercicio del derecho</w:t>
      </w:r>
      <w:r w:rsidRPr="007D57E8">
        <w:rPr>
          <w:rStyle w:val="Refdenotaalpie"/>
          <w:rFonts w:ascii="Verdana" w:hAnsi="Verdana"/>
          <w:iCs/>
          <w:sz w:val="20"/>
          <w:lang w:val="es-CR"/>
        </w:rPr>
        <w:footnoteReference w:id="230"/>
      </w:r>
      <w:r w:rsidRPr="00D4312D">
        <w:rPr>
          <w:rFonts w:ascii="Verdana" w:hAnsi="Verdana"/>
          <w:iCs/>
          <w:sz w:val="20"/>
          <w:szCs w:val="20"/>
          <w:lang w:val="es-CR"/>
        </w:rPr>
        <w:t>, así como el deber de garantía</w:t>
      </w:r>
      <w:r>
        <w:rPr>
          <w:rFonts w:ascii="Verdana" w:hAnsi="Verdana"/>
          <w:iCs/>
          <w:sz w:val="20"/>
          <w:szCs w:val="20"/>
          <w:lang w:val="es-CR"/>
        </w:rPr>
        <w:t>,</w:t>
      </w:r>
      <w:r w:rsidRPr="00D4312D">
        <w:rPr>
          <w:rFonts w:ascii="Verdana" w:hAnsi="Verdana"/>
          <w:iCs/>
          <w:sz w:val="20"/>
          <w:szCs w:val="20"/>
          <w:lang w:val="es-CR"/>
        </w:rPr>
        <w:t xml:space="preserve"> señalados en el artículo 1.1 de la </w:t>
      </w:r>
      <w:r w:rsidRPr="00D4312D">
        <w:rPr>
          <w:rFonts w:ascii="Verdana" w:hAnsi="Verdana"/>
          <w:iCs/>
          <w:sz w:val="20"/>
          <w:szCs w:val="20"/>
          <w:lang w:val="es-CR"/>
        </w:rPr>
        <w:lastRenderedPageBreak/>
        <w:t>Convención. Este Tribunal ha indicado que “el acceso al agua” implica “obligaciones de realización progresiva”, pero que “sin embargo, los Estados tienen obligaciones inmediatas, como garantizar [dicho acceso] sin discriminación y adoptar medidas para lograr su plena realización”</w:t>
      </w:r>
      <w:r w:rsidRPr="007D57E8">
        <w:rPr>
          <w:rStyle w:val="Refdenotaalpie"/>
          <w:rFonts w:ascii="Verdana" w:hAnsi="Verdana"/>
          <w:sz w:val="20"/>
          <w:lang w:val="es-CR"/>
        </w:rPr>
        <w:footnoteReference w:id="231"/>
      </w:r>
      <w:r w:rsidR="002E5ED8">
        <w:rPr>
          <w:rFonts w:ascii="Verdana" w:hAnsi="Verdana"/>
          <w:iCs/>
          <w:sz w:val="20"/>
          <w:szCs w:val="20"/>
          <w:lang w:val="es-CR"/>
        </w:rPr>
        <w:t>.</w:t>
      </w:r>
      <w:r w:rsidRPr="00D4312D">
        <w:rPr>
          <w:rFonts w:ascii="Verdana" w:hAnsi="Verdana"/>
          <w:iCs/>
          <w:sz w:val="20"/>
          <w:szCs w:val="20"/>
          <w:lang w:val="es-CR"/>
        </w:rPr>
        <w:t xml:space="preserve"> Entre las obligaciones estatales que pueden entenderse comprendidas en el deber de garantía se encuentra la de </w:t>
      </w:r>
      <w:r>
        <w:rPr>
          <w:rFonts w:ascii="Verdana" w:hAnsi="Verdana"/>
          <w:iCs/>
          <w:sz w:val="20"/>
          <w:szCs w:val="20"/>
          <w:lang w:val="es-CR"/>
        </w:rPr>
        <w:t>brindar protección frente a actos de particulares</w:t>
      </w:r>
      <w:r w:rsidRPr="00D4312D">
        <w:rPr>
          <w:rFonts w:ascii="Verdana" w:hAnsi="Verdana"/>
          <w:iCs/>
          <w:sz w:val="20"/>
          <w:szCs w:val="20"/>
          <w:lang w:val="es-CR"/>
        </w:rPr>
        <w:t xml:space="preserve">, que </w:t>
      </w:r>
      <w:r w:rsidRPr="00D4312D">
        <w:rPr>
          <w:rFonts w:ascii="Verdana" w:hAnsi="Verdana"/>
          <w:color w:val="000000"/>
          <w:sz w:val="20"/>
          <w:szCs w:val="20"/>
        </w:rPr>
        <w:t xml:space="preserve">exige que los Estados </w:t>
      </w:r>
      <w:r>
        <w:rPr>
          <w:rFonts w:ascii="Verdana" w:hAnsi="Verdana"/>
          <w:color w:val="000000"/>
          <w:sz w:val="20"/>
          <w:szCs w:val="20"/>
        </w:rPr>
        <w:t>i</w:t>
      </w:r>
      <w:r w:rsidRPr="00D4312D">
        <w:rPr>
          <w:rFonts w:ascii="Verdana" w:hAnsi="Verdana"/>
          <w:color w:val="000000"/>
          <w:sz w:val="20"/>
          <w:szCs w:val="20"/>
        </w:rPr>
        <w:t>mpidan a terceros que menoscaben el disfrute del derecho al agua, así como</w:t>
      </w:r>
      <w:r w:rsidRPr="00D4312D">
        <w:rPr>
          <w:rFonts w:ascii="Verdana" w:hAnsi="Verdana"/>
          <w:iCs/>
          <w:sz w:val="20"/>
          <w:szCs w:val="20"/>
          <w:lang w:val="es-CR"/>
        </w:rPr>
        <w:t>“garantizar un mínimo esencial de agua” en aquellos “casos particulares de personas o grupos de personas que no están en condiciones de acceder por sí mismos al agua […], por razones ajenas a su voluntad”</w:t>
      </w:r>
      <w:r w:rsidRPr="007D57E8">
        <w:rPr>
          <w:rStyle w:val="Refdenotaalpie"/>
          <w:rFonts w:ascii="Verdana" w:hAnsi="Verdana"/>
          <w:sz w:val="20"/>
          <w:lang w:val="es-CR"/>
        </w:rPr>
        <w:footnoteReference w:id="232"/>
      </w:r>
      <w:r w:rsidRPr="00D4312D">
        <w:rPr>
          <w:rFonts w:ascii="Verdana" w:hAnsi="Verdana"/>
          <w:iCs/>
          <w:sz w:val="20"/>
          <w:szCs w:val="20"/>
          <w:lang w:val="es-CR"/>
        </w:rPr>
        <w:t xml:space="preserve">. </w:t>
      </w:r>
    </w:p>
    <w:p w14:paraId="3630C8D4" w14:textId="77777777" w:rsidR="007C7E7C" w:rsidRPr="00D4312D" w:rsidRDefault="007C7E7C" w:rsidP="007C7E7C">
      <w:pPr>
        <w:pStyle w:val="Prrafodelista"/>
        <w:spacing w:line="240" w:lineRule="auto"/>
        <w:rPr>
          <w:rFonts w:ascii="Verdana" w:hAnsi="Verdana"/>
          <w:color w:val="000000"/>
          <w:sz w:val="20"/>
          <w:szCs w:val="20"/>
        </w:rPr>
      </w:pPr>
    </w:p>
    <w:p w14:paraId="089531A7" w14:textId="506D8839" w:rsidR="007C7E7C" w:rsidRDefault="007C7E7C" w:rsidP="007C7E7C">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D4312D">
        <w:rPr>
          <w:rFonts w:ascii="Verdana" w:hAnsi="Verdana"/>
          <w:color w:val="000000"/>
          <w:sz w:val="20"/>
          <w:szCs w:val="20"/>
        </w:rPr>
        <w:t xml:space="preserve">La Corte concuerda con </w:t>
      </w:r>
      <w:r w:rsidRPr="004B0E35">
        <w:rPr>
          <w:rFonts w:ascii="Verdana" w:hAnsi="Verdana"/>
          <w:color w:val="000000"/>
          <w:sz w:val="20"/>
          <w:szCs w:val="20"/>
        </w:rPr>
        <w:t>el Comité DESC</w:t>
      </w:r>
      <w:r w:rsidRPr="00D4312D">
        <w:rPr>
          <w:rFonts w:ascii="Verdana" w:hAnsi="Verdana"/>
          <w:color w:val="000000"/>
          <w:sz w:val="20"/>
          <w:szCs w:val="20"/>
        </w:rPr>
        <w:t xml:space="preserve"> en cuanto a que, en el cumplimiento de sus obligaciones relativas al derecho al agua, los Estados “deben prestar especial atención a las personas y grupos de personas que tradicionalmente han tenido dificultades para ejercer este derecho”, inclusive, entre otros, “los pueblos indígenas”. En ese sentido, deben velar porque “</w:t>
      </w:r>
      <w:r>
        <w:rPr>
          <w:rFonts w:ascii="Verdana" w:hAnsi="Verdana"/>
          <w:color w:val="000000"/>
          <w:sz w:val="20"/>
          <w:szCs w:val="20"/>
        </w:rPr>
        <w:t>[</w:t>
      </w:r>
      <w:r w:rsidRPr="00D4312D">
        <w:rPr>
          <w:rFonts w:ascii="Verdana" w:hAnsi="Verdana"/>
          <w:color w:val="000000"/>
          <w:sz w:val="20"/>
          <w:szCs w:val="20"/>
        </w:rPr>
        <w:t>e</w:t>
      </w:r>
      <w:r>
        <w:rPr>
          <w:rFonts w:ascii="Verdana" w:hAnsi="Verdana"/>
          <w:color w:val="000000"/>
          <w:sz w:val="20"/>
          <w:szCs w:val="20"/>
        </w:rPr>
        <w:t>]</w:t>
      </w:r>
      <w:r w:rsidRPr="00D4312D">
        <w:rPr>
          <w:rFonts w:ascii="Verdana" w:hAnsi="Verdana"/>
          <w:color w:val="000000"/>
          <w:sz w:val="20"/>
          <w:szCs w:val="20"/>
        </w:rPr>
        <w:t>l acceso de los pueblos indígenas a los recursos de agua en sus tierras ancestrales sea protegido de toda transgresión y contaminación ilícitas” y “facilitar recursos para que los pueblos indígenas planifiquen, ejerzan y controlen su acceso al agua”, así como que “[l]as comunidades nómadas […] tengan acceso al agua potable en sus lugares de acampada tradicionales”</w:t>
      </w:r>
      <w:r w:rsidRPr="007D57E8">
        <w:rPr>
          <w:rStyle w:val="Refdenotaalpie"/>
          <w:rFonts w:ascii="Verdana" w:hAnsi="Verdana"/>
          <w:color w:val="000000"/>
          <w:sz w:val="20"/>
        </w:rPr>
        <w:footnoteReference w:id="233"/>
      </w:r>
      <w:r w:rsidRPr="00D4312D">
        <w:rPr>
          <w:rFonts w:ascii="Verdana" w:hAnsi="Verdana"/>
          <w:color w:val="000000"/>
          <w:sz w:val="20"/>
          <w:szCs w:val="20"/>
        </w:rPr>
        <w:t>.</w:t>
      </w:r>
      <w:bookmarkEnd w:id="238"/>
      <w:bookmarkEnd w:id="239"/>
    </w:p>
    <w:p w14:paraId="5E9E95D4" w14:textId="77777777" w:rsidR="007C7E7C" w:rsidRDefault="007C7E7C" w:rsidP="007C7E7C">
      <w:pPr>
        <w:pStyle w:val="Prrafodelista"/>
        <w:spacing w:line="240" w:lineRule="auto"/>
        <w:rPr>
          <w:rFonts w:ascii="Verdana" w:hAnsi="Verdana"/>
          <w:sz w:val="20"/>
          <w:szCs w:val="20"/>
        </w:rPr>
      </w:pPr>
    </w:p>
    <w:p w14:paraId="04E6CEC5" w14:textId="77777777" w:rsidR="007C7E7C" w:rsidRPr="008F640E" w:rsidRDefault="007C7E7C" w:rsidP="007C7E7C">
      <w:pPr>
        <w:pStyle w:val="Prrafodelista"/>
        <w:spacing w:line="240" w:lineRule="auto"/>
        <w:ind w:left="1134"/>
        <w:outlineLvl w:val="4"/>
        <w:rPr>
          <w:rFonts w:ascii="Verdana" w:hAnsi="Verdana"/>
          <w:i/>
          <w:sz w:val="20"/>
          <w:szCs w:val="20"/>
        </w:rPr>
      </w:pPr>
      <w:bookmarkStart w:id="240" w:name="_Toc32218869"/>
      <w:bookmarkStart w:id="241" w:name="_Toc32227145"/>
      <w:bookmarkStart w:id="242" w:name="_Toc34337573"/>
      <w:r w:rsidRPr="008F640E">
        <w:rPr>
          <w:rFonts w:ascii="Verdana" w:hAnsi="Verdana"/>
          <w:i/>
          <w:sz w:val="20"/>
          <w:szCs w:val="20"/>
        </w:rPr>
        <w:t>B.1.</w:t>
      </w:r>
      <w:r>
        <w:rPr>
          <w:rFonts w:ascii="Verdana" w:hAnsi="Verdana"/>
          <w:i/>
          <w:sz w:val="20"/>
          <w:szCs w:val="20"/>
        </w:rPr>
        <w:t>1.4</w:t>
      </w:r>
      <w:r w:rsidRPr="008F640E">
        <w:rPr>
          <w:rFonts w:ascii="Verdana" w:hAnsi="Verdana"/>
          <w:i/>
          <w:sz w:val="20"/>
          <w:szCs w:val="20"/>
        </w:rPr>
        <w:t xml:space="preserve"> El derecho a </w:t>
      </w:r>
      <w:r>
        <w:rPr>
          <w:rFonts w:ascii="Verdana" w:hAnsi="Verdana"/>
          <w:i/>
          <w:sz w:val="20"/>
          <w:szCs w:val="20"/>
        </w:rPr>
        <w:t xml:space="preserve">participar en la vida </w:t>
      </w:r>
      <w:r w:rsidRPr="008F640E">
        <w:rPr>
          <w:rFonts w:ascii="Verdana" w:hAnsi="Verdana"/>
          <w:i/>
          <w:sz w:val="20"/>
          <w:szCs w:val="20"/>
        </w:rPr>
        <w:t>cultural</w:t>
      </w:r>
      <w:bookmarkEnd w:id="240"/>
      <w:bookmarkEnd w:id="241"/>
      <w:bookmarkEnd w:id="242"/>
    </w:p>
    <w:p w14:paraId="25970C7F" w14:textId="77777777" w:rsidR="007C7E7C" w:rsidRPr="00D4312D" w:rsidRDefault="007C7E7C" w:rsidP="007C7E7C">
      <w:pPr>
        <w:pStyle w:val="Prrafodelista"/>
        <w:spacing w:line="240" w:lineRule="auto"/>
        <w:rPr>
          <w:rFonts w:ascii="Verdana" w:hAnsi="Verdana"/>
          <w:sz w:val="20"/>
          <w:szCs w:val="20"/>
        </w:rPr>
      </w:pPr>
    </w:p>
    <w:p w14:paraId="2EC72F11" w14:textId="77777777" w:rsidR="007C7E7C" w:rsidRPr="00D4312D" w:rsidRDefault="007C7E7C" w:rsidP="007C7E7C">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D4312D">
        <w:rPr>
          <w:rFonts w:ascii="Verdana" w:hAnsi="Verdana"/>
          <w:sz w:val="20"/>
          <w:szCs w:val="20"/>
        </w:rPr>
        <w:t xml:space="preserve">En lo concerniente al </w:t>
      </w:r>
      <w:r w:rsidRPr="00D4312D">
        <w:rPr>
          <w:rFonts w:ascii="Verdana" w:hAnsi="Verdana"/>
          <w:i/>
          <w:sz w:val="20"/>
          <w:szCs w:val="20"/>
        </w:rPr>
        <w:t xml:space="preserve">derecho a </w:t>
      </w:r>
      <w:r>
        <w:rPr>
          <w:rFonts w:ascii="Verdana" w:hAnsi="Verdana"/>
          <w:i/>
          <w:sz w:val="20"/>
          <w:szCs w:val="20"/>
        </w:rPr>
        <w:t>participar en la vida</w:t>
      </w:r>
      <w:r w:rsidRPr="00D4312D">
        <w:rPr>
          <w:rFonts w:ascii="Verdana" w:hAnsi="Verdana"/>
          <w:i/>
          <w:sz w:val="20"/>
          <w:szCs w:val="20"/>
        </w:rPr>
        <w:t xml:space="preserve"> cultural</w:t>
      </w:r>
      <w:r>
        <w:rPr>
          <w:rFonts w:ascii="Verdana" w:hAnsi="Verdana"/>
          <w:i/>
          <w:sz w:val="20"/>
          <w:szCs w:val="20"/>
        </w:rPr>
        <w:t xml:space="preserve">, </w:t>
      </w:r>
      <w:r w:rsidRPr="00BF0EF1">
        <w:rPr>
          <w:rFonts w:ascii="Verdana" w:hAnsi="Verdana"/>
          <w:sz w:val="20"/>
          <w:szCs w:val="20"/>
        </w:rPr>
        <w:t>que incluye el</w:t>
      </w:r>
      <w:r>
        <w:rPr>
          <w:rFonts w:ascii="Verdana" w:hAnsi="Verdana"/>
          <w:i/>
          <w:sz w:val="20"/>
          <w:szCs w:val="20"/>
        </w:rPr>
        <w:t xml:space="preserve"> derecho a la identidad cultural</w:t>
      </w:r>
      <w:r w:rsidRPr="00BF0EF1">
        <w:rPr>
          <w:rStyle w:val="Refdenotaalpie"/>
          <w:rFonts w:ascii="Verdana" w:hAnsi="Verdana"/>
          <w:sz w:val="20"/>
        </w:rPr>
        <w:footnoteReference w:id="234"/>
      </w:r>
      <w:r w:rsidRPr="00D4312D">
        <w:rPr>
          <w:rFonts w:ascii="Verdana" w:hAnsi="Verdana"/>
          <w:sz w:val="20"/>
          <w:szCs w:val="20"/>
        </w:rPr>
        <w:t xml:space="preserve">, la Carta establece, en sus artículos 30, 45 f., 47 y 48, </w:t>
      </w:r>
      <w:r w:rsidRPr="00D4312D">
        <w:rPr>
          <w:rFonts w:ascii="Verdana" w:hAnsi="Verdana"/>
          <w:sz w:val="20"/>
          <w:szCs w:val="20"/>
        </w:rPr>
        <w:lastRenderedPageBreak/>
        <w:t>el compromiso de los Estados para a) “que sus pueblos alcancen un desarrollo integral[, que] abarca [el] campo […] cultural […]”; b) [l]a incorporación y creciente participación de los sectores marginales de la población, tanto del campo como de la ciudad, en la vida […] cultural</w:t>
      </w:r>
      <w:r>
        <w:rPr>
          <w:rFonts w:ascii="Verdana" w:hAnsi="Verdana"/>
          <w:sz w:val="20"/>
          <w:szCs w:val="20"/>
        </w:rPr>
        <w:t xml:space="preserve"> […]</w:t>
      </w:r>
      <w:r w:rsidRPr="00D4312D">
        <w:rPr>
          <w:rFonts w:ascii="Verdana" w:hAnsi="Verdana"/>
          <w:sz w:val="20"/>
          <w:szCs w:val="20"/>
        </w:rPr>
        <w:t>, a fin de lograr la plena integración de la comunidad nacional”; c) “estimul[ar…] la cultura” y d) “preservar y enriquecer el patrimonio cultural de los pueblos americanos”</w:t>
      </w:r>
      <w:r w:rsidRPr="00D4312D">
        <w:rPr>
          <w:rStyle w:val="Refdenotaalpie"/>
          <w:rFonts w:ascii="Verdana" w:hAnsi="Verdana"/>
          <w:sz w:val="20"/>
        </w:rPr>
        <w:t xml:space="preserve"> </w:t>
      </w:r>
      <w:r w:rsidRPr="008F640E">
        <w:rPr>
          <w:rStyle w:val="Refdenotaalpie"/>
          <w:rFonts w:ascii="Verdana" w:hAnsi="Verdana"/>
          <w:sz w:val="20"/>
        </w:rPr>
        <w:footnoteReference w:id="235"/>
      </w:r>
      <w:r w:rsidRPr="00D4312D">
        <w:rPr>
          <w:rFonts w:ascii="Verdana" w:hAnsi="Verdana"/>
          <w:sz w:val="20"/>
          <w:szCs w:val="20"/>
        </w:rPr>
        <w:t>.</w:t>
      </w:r>
      <w:r w:rsidRPr="00D4312D">
        <w:rPr>
          <w:rFonts w:ascii="Verdana" w:hAnsi="Verdana" w:cs="Arial"/>
          <w:sz w:val="20"/>
          <w:szCs w:val="20"/>
        </w:rPr>
        <w:t xml:space="preserve"> </w:t>
      </w:r>
    </w:p>
    <w:p w14:paraId="2A656B3B" w14:textId="77777777" w:rsidR="007C7E7C" w:rsidRDefault="007C7E7C" w:rsidP="007C7E7C">
      <w:pPr>
        <w:pStyle w:val="Prrafodelista"/>
        <w:spacing w:after="0" w:line="240" w:lineRule="auto"/>
        <w:ind w:left="0" w:right="6"/>
        <w:jc w:val="both"/>
        <w:rPr>
          <w:rFonts w:ascii="Verdana" w:eastAsia="Batang" w:hAnsi="Verdana" w:cs="Times"/>
          <w:sz w:val="20"/>
          <w:szCs w:val="20"/>
          <w:lang w:val="es-CR" w:eastAsia="es-CR"/>
        </w:rPr>
      </w:pPr>
    </w:p>
    <w:p w14:paraId="0FCF77ED" w14:textId="77777777" w:rsidR="007C7E7C" w:rsidRDefault="007C7E7C" w:rsidP="007C7E7C">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D4312D">
        <w:rPr>
          <w:rFonts w:ascii="Verdana" w:hAnsi="Verdana" w:cs="Arial"/>
          <w:sz w:val="20"/>
          <w:szCs w:val="20"/>
        </w:rPr>
        <w:t>Además, el artículo XIII de la Declaración Americana indica, en lo pertinente, que “[t]oda persona tiene el derecho de participar en la vida cultural de la comunidad”.</w:t>
      </w:r>
    </w:p>
    <w:p w14:paraId="25386922" w14:textId="77777777" w:rsidR="007C7E7C" w:rsidRPr="00D4312D" w:rsidRDefault="007C7E7C" w:rsidP="007C7E7C">
      <w:pPr>
        <w:pStyle w:val="Prrafodelista"/>
        <w:spacing w:line="240" w:lineRule="auto"/>
        <w:rPr>
          <w:rFonts w:ascii="Verdana" w:hAnsi="Verdana"/>
          <w:sz w:val="20"/>
          <w:szCs w:val="20"/>
        </w:rPr>
      </w:pPr>
    </w:p>
    <w:p w14:paraId="00261360" w14:textId="77777777" w:rsidR="007C7E7C" w:rsidRDefault="007C7E7C" w:rsidP="007C7E7C">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D4312D">
        <w:rPr>
          <w:rFonts w:ascii="Verdana" w:hAnsi="Verdana"/>
          <w:sz w:val="20"/>
          <w:szCs w:val="20"/>
        </w:rPr>
        <w:t xml:space="preserve">El Protocolo de San Salvador, por su parte, reconoce en su artículo 14.1.a. “el derecho de toda persona a […] participar en la vida cultural”. </w:t>
      </w:r>
    </w:p>
    <w:p w14:paraId="4FC1EB11" w14:textId="77777777" w:rsidR="007C7E7C" w:rsidRPr="00D4312D" w:rsidRDefault="007C7E7C" w:rsidP="007C7E7C">
      <w:pPr>
        <w:pStyle w:val="Prrafodelista"/>
        <w:spacing w:line="240" w:lineRule="auto"/>
        <w:rPr>
          <w:rFonts w:ascii="Verdana" w:hAnsi="Verdana"/>
          <w:sz w:val="20"/>
          <w:szCs w:val="20"/>
        </w:rPr>
      </w:pPr>
    </w:p>
    <w:p w14:paraId="5D63D6EC" w14:textId="596B8009" w:rsidR="007C7E7C" w:rsidRDefault="007C7E7C" w:rsidP="007C7E7C">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D4312D">
        <w:rPr>
          <w:rFonts w:ascii="Verdana" w:hAnsi="Verdana"/>
          <w:sz w:val="20"/>
          <w:szCs w:val="20"/>
        </w:rPr>
        <w:t xml:space="preserve">En el ámbito universal, la Declaración Universal de los Derechos Humanos, en su artículo 27.1, </w:t>
      </w:r>
      <w:r w:rsidR="007E3209">
        <w:rPr>
          <w:rFonts w:ascii="Verdana" w:hAnsi="Verdana"/>
          <w:sz w:val="20"/>
          <w:szCs w:val="20"/>
        </w:rPr>
        <w:t>dispone que</w:t>
      </w:r>
      <w:r w:rsidRPr="00D4312D">
        <w:rPr>
          <w:rFonts w:ascii="Verdana" w:hAnsi="Verdana"/>
          <w:sz w:val="20"/>
          <w:szCs w:val="20"/>
        </w:rPr>
        <w:t>: “</w:t>
      </w:r>
      <w:r w:rsidR="007E3209">
        <w:rPr>
          <w:rFonts w:ascii="Verdana" w:hAnsi="Verdana"/>
          <w:sz w:val="20"/>
          <w:szCs w:val="20"/>
        </w:rPr>
        <w:t>[t]</w:t>
      </w:r>
      <w:r w:rsidRPr="00D4312D">
        <w:rPr>
          <w:rFonts w:ascii="Verdana" w:hAnsi="Verdana"/>
          <w:sz w:val="20"/>
          <w:szCs w:val="20"/>
        </w:rPr>
        <w:t xml:space="preserve">oda persona tiene derecho a tomar parte libremente en la vida cultural de la comunidad”. </w:t>
      </w:r>
      <w:r w:rsidR="00B02A6B">
        <w:rPr>
          <w:rFonts w:ascii="Verdana" w:hAnsi="Verdana"/>
          <w:sz w:val="20"/>
          <w:szCs w:val="20"/>
        </w:rPr>
        <w:t>E</w:t>
      </w:r>
      <w:r w:rsidRPr="00D4312D">
        <w:rPr>
          <w:rFonts w:ascii="Verdana" w:hAnsi="Verdana"/>
          <w:sz w:val="20"/>
          <w:szCs w:val="20"/>
        </w:rPr>
        <w:t xml:space="preserve">l </w:t>
      </w:r>
      <w:r w:rsidRPr="004B0E35">
        <w:rPr>
          <w:rFonts w:ascii="Verdana" w:hAnsi="Verdana"/>
          <w:sz w:val="20"/>
          <w:szCs w:val="20"/>
        </w:rPr>
        <w:t>PIDESC</w:t>
      </w:r>
      <w:r w:rsidRPr="00D4312D">
        <w:rPr>
          <w:rFonts w:ascii="Verdana" w:hAnsi="Verdana"/>
          <w:sz w:val="20"/>
          <w:szCs w:val="20"/>
        </w:rPr>
        <w:t xml:space="preserve"> en su artículo 15.1.a. señala “</w:t>
      </w:r>
      <w:r w:rsidRPr="00D4312D">
        <w:rPr>
          <w:rFonts w:ascii="Verdana" w:eastAsia="Times New Roman" w:hAnsi="Verdana" w:cs="Times New Roman"/>
          <w:color w:val="000000"/>
          <w:sz w:val="20"/>
          <w:szCs w:val="20"/>
          <w:lang w:eastAsia="es-CR"/>
        </w:rPr>
        <w:t xml:space="preserve">el derecho de toda persona a […p]articipar en la vida cultural”. Además, el </w:t>
      </w:r>
      <w:r>
        <w:rPr>
          <w:rFonts w:ascii="Verdana" w:eastAsia="Times New Roman" w:hAnsi="Verdana" w:cs="Times New Roman"/>
          <w:color w:val="000000"/>
          <w:sz w:val="20"/>
          <w:szCs w:val="20"/>
          <w:lang w:eastAsia="es-CR"/>
        </w:rPr>
        <w:t xml:space="preserve">Pacto Internacional de Derechos Civiles y Políticos </w:t>
      </w:r>
      <w:r w:rsidRPr="004B0E35">
        <w:rPr>
          <w:rFonts w:ascii="Verdana" w:eastAsia="Times New Roman" w:hAnsi="Verdana" w:cs="Times New Roman"/>
          <w:color w:val="000000"/>
          <w:sz w:val="20"/>
          <w:szCs w:val="20"/>
          <w:lang w:eastAsia="es-CR"/>
        </w:rPr>
        <w:t>(</w:t>
      </w:r>
      <w:r w:rsidRPr="004B0E35">
        <w:rPr>
          <w:rFonts w:ascii="Verdana" w:hAnsi="Verdana"/>
          <w:sz w:val="20"/>
          <w:szCs w:val="20"/>
        </w:rPr>
        <w:t>PIDCP)</w:t>
      </w:r>
      <w:r w:rsidRPr="00D4312D">
        <w:rPr>
          <w:rFonts w:ascii="Verdana" w:hAnsi="Verdana"/>
          <w:sz w:val="20"/>
          <w:szCs w:val="20"/>
        </w:rPr>
        <w:t xml:space="preserve"> </w:t>
      </w:r>
      <w:r w:rsidR="007E3209">
        <w:rPr>
          <w:rFonts w:ascii="Verdana" w:hAnsi="Verdana"/>
          <w:sz w:val="20"/>
          <w:szCs w:val="20"/>
        </w:rPr>
        <w:t xml:space="preserve">prevé </w:t>
      </w:r>
      <w:r w:rsidRPr="00D4312D">
        <w:rPr>
          <w:rFonts w:ascii="Verdana" w:hAnsi="Verdana"/>
          <w:sz w:val="20"/>
          <w:szCs w:val="20"/>
        </w:rPr>
        <w:t>en su artículo 27 que “[e]</w:t>
      </w:r>
      <w:r w:rsidRPr="00D4312D">
        <w:rPr>
          <w:rFonts w:ascii="Verdana" w:hAnsi="Verdana"/>
          <w:color w:val="000000"/>
          <w:sz w:val="20"/>
          <w:szCs w:val="20"/>
          <w:shd w:val="clear" w:color="auto" w:fill="FFFFFF"/>
        </w:rPr>
        <w:t>n los Estados en que existan minorías étnicas, religiosas o lingüísticas, no se negará a las personas que pertenezcan a dichas minorías el derecho que les corresponde, en común con los demás miembros de su grupo, a tener su propia vida cultural</w:t>
      </w:r>
      <w:r w:rsidRPr="00B535B1">
        <w:rPr>
          <w:rFonts w:ascii="Verdana" w:hAnsi="Verdana"/>
          <w:color w:val="000000"/>
          <w:sz w:val="20"/>
          <w:szCs w:val="20"/>
          <w:shd w:val="clear" w:color="auto" w:fill="FFFFFF"/>
        </w:rPr>
        <w:t>, a profesar y practicar su propia religión y a emplear su propio idioma</w:t>
      </w:r>
      <w:r w:rsidRPr="00D4312D">
        <w:rPr>
          <w:rFonts w:ascii="Verdana" w:hAnsi="Verdana"/>
          <w:color w:val="000000"/>
          <w:sz w:val="20"/>
          <w:szCs w:val="20"/>
          <w:shd w:val="clear" w:color="auto" w:fill="FFFFFF"/>
        </w:rPr>
        <w:t>”.</w:t>
      </w:r>
      <w:r w:rsidRPr="00D4312D">
        <w:rPr>
          <w:rFonts w:ascii="Verdana" w:hAnsi="Verdana"/>
          <w:color w:val="000000"/>
          <w:sz w:val="19"/>
          <w:szCs w:val="19"/>
          <w:shd w:val="clear" w:color="auto" w:fill="FFFFFF"/>
        </w:rPr>
        <w:t xml:space="preserve"> </w:t>
      </w:r>
    </w:p>
    <w:p w14:paraId="5A390B9A" w14:textId="77777777" w:rsidR="007C7E7C" w:rsidRPr="00D4312D" w:rsidRDefault="007C7E7C" w:rsidP="007C7E7C">
      <w:pPr>
        <w:pStyle w:val="Prrafodelista"/>
        <w:spacing w:line="240" w:lineRule="auto"/>
        <w:rPr>
          <w:rFonts w:ascii="Verdana" w:hAnsi="Verdana"/>
          <w:sz w:val="20"/>
          <w:szCs w:val="20"/>
        </w:rPr>
      </w:pPr>
    </w:p>
    <w:p w14:paraId="597EF40D" w14:textId="39A74BE4" w:rsidR="007C7E7C" w:rsidRPr="00BF0EF1" w:rsidRDefault="007C7E7C" w:rsidP="007C7E7C">
      <w:pPr>
        <w:pStyle w:val="Prrafodelista"/>
        <w:numPr>
          <w:ilvl w:val="0"/>
          <w:numId w:val="46"/>
        </w:numPr>
        <w:spacing w:after="0" w:line="240" w:lineRule="auto"/>
        <w:ind w:left="0" w:right="6" w:firstLine="0"/>
        <w:jc w:val="both"/>
        <w:rPr>
          <w:rFonts w:ascii="Verdana" w:hAnsi="Verdana"/>
          <w:sz w:val="20"/>
          <w:szCs w:val="20"/>
        </w:rPr>
      </w:pPr>
      <w:r w:rsidRPr="00A658FF">
        <w:rPr>
          <w:rFonts w:ascii="Verdana" w:hAnsi="Verdana"/>
          <w:sz w:val="20"/>
          <w:szCs w:val="20"/>
        </w:rPr>
        <w:t xml:space="preserve">Por otra parte, la Constitución Nacional de Argentina, como ya se indicó, asignó “jerarquía constitucional” a la Declaración Universal de Derechos Humanos, a la Declaración Americana, a la Convención Americana, al </w:t>
      </w:r>
      <w:r w:rsidRPr="00EE7987">
        <w:rPr>
          <w:rFonts w:ascii="Verdana" w:hAnsi="Verdana"/>
          <w:sz w:val="20"/>
          <w:szCs w:val="20"/>
        </w:rPr>
        <w:t>PIDESC y al PIDCP</w:t>
      </w:r>
      <w:r w:rsidRPr="00A658FF">
        <w:rPr>
          <w:rFonts w:ascii="Verdana" w:hAnsi="Verdana"/>
          <w:sz w:val="20"/>
          <w:szCs w:val="20"/>
        </w:rPr>
        <w:t>. En</w:t>
      </w:r>
      <w:r>
        <w:rPr>
          <w:rFonts w:ascii="Verdana" w:hAnsi="Verdana"/>
          <w:sz w:val="20"/>
          <w:szCs w:val="20"/>
        </w:rPr>
        <w:t xml:space="preserve"> particular respecto a pueblos indígenas</w:t>
      </w:r>
      <w:r w:rsidRPr="00A658FF">
        <w:rPr>
          <w:rFonts w:ascii="Verdana" w:hAnsi="Verdana"/>
          <w:sz w:val="20"/>
          <w:szCs w:val="20"/>
        </w:rPr>
        <w:t xml:space="preserve"> su artículo 75, como ya se señaló (</w:t>
      </w:r>
      <w:r w:rsidRPr="00A658FF">
        <w:rPr>
          <w:rFonts w:ascii="Verdana" w:hAnsi="Verdana"/>
          <w:i/>
          <w:sz w:val="20"/>
          <w:szCs w:val="20"/>
        </w:rPr>
        <w:t xml:space="preserve">supra </w:t>
      </w:r>
      <w:r w:rsidRPr="00A658FF">
        <w:rPr>
          <w:rFonts w:ascii="Verdana" w:hAnsi="Verdana"/>
          <w:sz w:val="20"/>
          <w:szCs w:val="20"/>
        </w:rPr>
        <w:t>párr. 54), estableció que “[c]orresponde al Congreso […r]</w:t>
      </w:r>
      <w:r w:rsidRPr="00BF0EF1">
        <w:rPr>
          <w:rFonts w:ascii="Verdana" w:hAnsi="Verdana"/>
          <w:sz w:val="20"/>
          <w:szCs w:val="20"/>
          <w:lang w:val="es-CR"/>
        </w:rPr>
        <w:t>econocer la preexistencia étnica y cultural de los pueblos indígenas argentinos</w:t>
      </w:r>
      <w:r w:rsidRPr="00A658FF">
        <w:rPr>
          <w:rFonts w:ascii="Verdana" w:hAnsi="Verdana"/>
          <w:sz w:val="20"/>
          <w:szCs w:val="20"/>
          <w:lang w:val="es-CR"/>
        </w:rPr>
        <w:t>”, y también que le corresponde</w:t>
      </w:r>
      <w:r>
        <w:rPr>
          <w:rFonts w:ascii="Verdana" w:hAnsi="Verdana"/>
          <w:sz w:val="20"/>
          <w:szCs w:val="20"/>
          <w:lang w:val="es-CR"/>
        </w:rPr>
        <w:t>, entre otros deberes,</w:t>
      </w:r>
      <w:r w:rsidRPr="00A658FF">
        <w:rPr>
          <w:rFonts w:ascii="Verdana" w:hAnsi="Verdana"/>
          <w:sz w:val="20"/>
          <w:szCs w:val="20"/>
          <w:lang w:val="es-CR"/>
        </w:rPr>
        <w:t xml:space="preserve"> </w:t>
      </w:r>
      <w:r>
        <w:rPr>
          <w:rFonts w:ascii="Verdana" w:hAnsi="Verdana"/>
          <w:sz w:val="20"/>
          <w:szCs w:val="20"/>
          <w:lang w:val="es-CR"/>
        </w:rPr>
        <w:t>“[g]</w:t>
      </w:r>
      <w:r w:rsidRPr="00A658FF">
        <w:rPr>
          <w:rFonts w:ascii="Verdana" w:hAnsi="Verdana"/>
          <w:sz w:val="20"/>
          <w:szCs w:val="20"/>
          <w:lang w:val="es-CR"/>
        </w:rPr>
        <w:t>arantizar el respeto a su identidad</w:t>
      </w:r>
      <w:r>
        <w:rPr>
          <w:rFonts w:ascii="Verdana" w:hAnsi="Verdana"/>
          <w:sz w:val="20"/>
          <w:szCs w:val="20"/>
          <w:lang w:val="es-CR"/>
        </w:rPr>
        <w:t xml:space="preserve">”. </w:t>
      </w:r>
      <w:r w:rsidRPr="00A658FF">
        <w:rPr>
          <w:rFonts w:ascii="Verdana" w:hAnsi="Verdana"/>
          <w:sz w:val="20"/>
          <w:szCs w:val="20"/>
        </w:rPr>
        <w:t xml:space="preserve">La Constitución de Salta, por su parte, </w:t>
      </w:r>
      <w:r w:rsidRPr="00A658FF">
        <w:rPr>
          <w:rFonts w:ascii="Verdana" w:hAnsi="Verdana"/>
          <w:sz w:val="20"/>
          <w:szCs w:val="20"/>
        </w:rPr>
        <w:lastRenderedPageBreak/>
        <w:t>en su artículo 52 “</w:t>
      </w:r>
      <w:r w:rsidRPr="00A658FF">
        <w:rPr>
          <w:rFonts w:ascii="Verdana" w:hAnsi="Verdana"/>
          <w:sz w:val="20"/>
          <w:szCs w:val="20"/>
          <w:lang w:val="es-CR"/>
        </w:rPr>
        <w:t>asegura a todos los habitantes el derecho a acceder a la cultura”</w:t>
      </w:r>
      <w:r>
        <w:rPr>
          <w:rFonts w:ascii="Verdana" w:hAnsi="Verdana"/>
          <w:sz w:val="20"/>
          <w:szCs w:val="20"/>
          <w:lang w:val="es-CR"/>
        </w:rPr>
        <w:t xml:space="preserve"> e</w:t>
      </w:r>
      <w:r w:rsidRPr="00A658FF">
        <w:rPr>
          <w:rFonts w:ascii="Verdana" w:hAnsi="Verdana"/>
          <w:sz w:val="20"/>
          <w:szCs w:val="20"/>
          <w:lang w:val="es-CR"/>
        </w:rPr>
        <w:t xml:space="preserve"> indica que el Estado “[p]romueve las manifestaciones culturales […] colectivas”.</w:t>
      </w:r>
      <w:r>
        <w:rPr>
          <w:rFonts w:ascii="Verdana" w:hAnsi="Verdana"/>
          <w:sz w:val="20"/>
          <w:szCs w:val="20"/>
          <w:lang w:val="es-CR"/>
        </w:rPr>
        <w:t xml:space="preserve"> Además, de modo puntual sobre pueblos indígenas, el artículo 15 de la Constitución salteña, entre otras cosas, dice que </w:t>
      </w:r>
      <w:r w:rsidRPr="00BF0EF1">
        <w:rPr>
          <w:rFonts w:ascii="Verdana" w:hAnsi="Verdana"/>
          <w:sz w:val="20"/>
          <w:szCs w:val="20"/>
          <w:lang w:val="es-CR"/>
        </w:rPr>
        <w:t>“[l]</w:t>
      </w:r>
      <w:r w:rsidRPr="00BF0EF1">
        <w:rPr>
          <w:rFonts w:ascii="Verdana" w:hAnsi="Verdana"/>
          <w:sz w:val="20"/>
          <w:szCs w:val="20"/>
        </w:rPr>
        <w:t>a Provincia reconoce la preexistencia étnica y cultural de los pueblos indígenas que residen en el territorio de Salta[, y que r]econoce y garantiza el respeto a su identidad”</w:t>
      </w:r>
      <w:r>
        <w:rPr>
          <w:rFonts w:ascii="Verdana" w:hAnsi="Verdana"/>
          <w:sz w:val="20"/>
          <w:szCs w:val="20"/>
        </w:rPr>
        <w:t>.</w:t>
      </w:r>
    </w:p>
    <w:p w14:paraId="76658025" w14:textId="77777777" w:rsidR="007C7E7C" w:rsidRPr="00D4312D" w:rsidRDefault="007C7E7C" w:rsidP="007C7E7C">
      <w:pPr>
        <w:pStyle w:val="Prrafodelista"/>
        <w:spacing w:line="240" w:lineRule="auto"/>
        <w:rPr>
          <w:rFonts w:ascii="Verdana" w:hAnsi="Verdana"/>
          <w:sz w:val="20"/>
          <w:szCs w:val="20"/>
        </w:rPr>
      </w:pPr>
    </w:p>
    <w:p w14:paraId="2EF1FB16" w14:textId="77777777" w:rsidR="007C7E7C" w:rsidRPr="00BF0EF1" w:rsidRDefault="007C7E7C" w:rsidP="007C7E7C">
      <w:pPr>
        <w:pStyle w:val="Prrafodelista"/>
        <w:numPr>
          <w:ilvl w:val="0"/>
          <w:numId w:val="46"/>
        </w:numPr>
        <w:spacing w:after="0" w:line="240" w:lineRule="auto"/>
        <w:ind w:left="0" w:right="6" w:firstLine="0"/>
        <w:jc w:val="both"/>
        <w:rPr>
          <w:rFonts w:ascii="Verdana" w:hAnsi="Verdana"/>
          <w:bCs/>
          <w:sz w:val="20"/>
          <w:szCs w:val="20"/>
          <w:lang w:val="es-CR"/>
        </w:rPr>
      </w:pPr>
      <w:r>
        <w:rPr>
          <w:rFonts w:ascii="Verdana" w:hAnsi="Verdana"/>
          <w:sz w:val="20"/>
          <w:szCs w:val="20"/>
        </w:rPr>
        <w:t>T</w:t>
      </w:r>
      <w:r w:rsidRPr="00D4312D">
        <w:rPr>
          <w:rFonts w:ascii="Verdana" w:hAnsi="Verdana"/>
          <w:sz w:val="20"/>
          <w:szCs w:val="20"/>
        </w:rPr>
        <w:t>extos constitucionales de diversos países de la región</w:t>
      </w:r>
      <w:r>
        <w:rPr>
          <w:rFonts w:ascii="Verdana" w:hAnsi="Verdana"/>
          <w:sz w:val="20"/>
          <w:szCs w:val="20"/>
        </w:rPr>
        <w:t>, con denominaciones diversas (entre ellas, por ejemplo, “identidad cultural” y “diversidad cultural”), en términos generales y/o en relación con pueblos indígenas o tribales, tutelan la identidad cultural y/o la participación en la vida cultural. Entre las disposiciones relevantes pueden señalarse</w:t>
      </w:r>
      <w:r w:rsidRPr="00D4312D">
        <w:rPr>
          <w:rFonts w:ascii="Verdana" w:hAnsi="Verdana"/>
          <w:sz w:val="20"/>
          <w:szCs w:val="20"/>
        </w:rPr>
        <w:t xml:space="preserve"> </w:t>
      </w:r>
      <w:r>
        <w:rPr>
          <w:rFonts w:ascii="Verdana" w:hAnsi="Verdana"/>
          <w:sz w:val="20"/>
          <w:szCs w:val="20"/>
        </w:rPr>
        <w:t>el artículo 30 de la Constitución d</w:t>
      </w:r>
      <w:r w:rsidRPr="00D4312D">
        <w:rPr>
          <w:rFonts w:ascii="Verdana" w:hAnsi="Verdana"/>
          <w:sz w:val="20"/>
          <w:szCs w:val="20"/>
        </w:rPr>
        <w:t xml:space="preserve">e Bolivia; </w:t>
      </w:r>
      <w:r>
        <w:rPr>
          <w:rFonts w:ascii="Verdana" w:hAnsi="Verdana"/>
          <w:sz w:val="20"/>
          <w:szCs w:val="20"/>
        </w:rPr>
        <w:t>los artículos 215 y 231 de la</w:t>
      </w:r>
      <w:r w:rsidRPr="00D4312D">
        <w:rPr>
          <w:rFonts w:ascii="Verdana" w:hAnsi="Verdana"/>
          <w:sz w:val="20"/>
          <w:szCs w:val="20"/>
        </w:rPr>
        <w:t xml:space="preserve"> Constitución de Brasil;</w:t>
      </w:r>
      <w:r>
        <w:rPr>
          <w:rFonts w:ascii="Verdana" w:hAnsi="Verdana"/>
          <w:sz w:val="20"/>
          <w:szCs w:val="20"/>
        </w:rPr>
        <w:t xml:space="preserve"> el artículo 7 de </w:t>
      </w:r>
      <w:r w:rsidRPr="00D4312D">
        <w:rPr>
          <w:rFonts w:ascii="Verdana" w:hAnsi="Verdana"/>
          <w:sz w:val="20"/>
          <w:szCs w:val="20"/>
        </w:rPr>
        <w:t>la Constitución de Colombia; l</w:t>
      </w:r>
      <w:r>
        <w:rPr>
          <w:rFonts w:ascii="Verdana" w:hAnsi="Verdana"/>
          <w:sz w:val="20"/>
          <w:szCs w:val="20"/>
        </w:rPr>
        <w:t>os artículos 21 y 23</w:t>
      </w:r>
      <w:r w:rsidRPr="00D4312D">
        <w:rPr>
          <w:rFonts w:ascii="Verdana" w:hAnsi="Verdana"/>
          <w:sz w:val="20"/>
          <w:szCs w:val="20"/>
        </w:rPr>
        <w:t xml:space="preserve"> de</w:t>
      </w:r>
      <w:r>
        <w:rPr>
          <w:rFonts w:ascii="Verdana" w:hAnsi="Verdana"/>
          <w:sz w:val="20"/>
          <w:szCs w:val="20"/>
        </w:rPr>
        <w:t xml:space="preserve"> la Constitución de</w:t>
      </w:r>
      <w:r w:rsidRPr="00D4312D">
        <w:rPr>
          <w:rFonts w:ascii="Verdana" w:hAnsi="Verdana"/>
          <w:sz w:val="20"/>
          <w:szCs w:val="20"/>
        </w:rPr>
        <w:t xml:space="preserve"> Ecuador; </w:t>
      </w:r>
      <w:r w:rsidRPr="00D4312D">
        <w:rPr>
          <w:rFonts w:ascii="Verdana" w:hAnsi="Verdana"/>
          <w:sz w:val="20"/>
          <w:szCs w:val="20"/>
          <w:lang w:val="es-CR"/>
        </w:rPr>
        <w:t>l</w:t>
      </w:r>
      <w:r>
        <w:rPr>
          <w:rFonts w:ascii="Verdana" w:hAnsi="Verdana"/>
          <w:sz w:val="20"/>
          <w:szCs w:val="20"/>
          <w:lang w:val="es-CR"/>
        </w:rPr>
        <w:t>os artículos 57, 58 y 66 de la Constitución</w:t>
      </w:r>
      <w:r w:rsidRPr="00D4312D">
        <w:rPr>
          <w:rFonts w:ascii="Verdana" w:hAnsi="Verdana"/>
          <w:sz w:val="20"/>
          <w:szCs w:val="20"/>
          <w:lang w:val="es-CR"/>
        </w:rPr>
        <w:t xml:space="preserve"> de Guatemala; </w:t>
      </w:r>
      <w:r>
        <w:rPr>
          <w:rFonts w:ascii="Verdana" w:hAnsi="Verdana"/>
          <w:sz w:val="20"/>
          <w:szCs w:val="20"/>
        </w:rPr>
        <w:t xml:space="preserve">el artículo 4 de la Constitución </w:t>
      </w:r>
      <w:r w:rsidRPr="00D4312D">
        <w:rPr>
          <w:rFonts w:ascii="Verdana" w:hAnsi="Verdana"/>
          <w:sz w:val="20"/>
          <w:szCs w:val="20"/>
          <w:lang w:val="es-CR"/>
        </w:rPr>
        <w:t xml:space="preserve">de México; </w:t>
      </w:r>
      <w:r>
        <w:rPr>
          <w:rFonts w:ascii="Verdana" w:hAnsi="Verdana"/>
          <w:sz w:val="20"/>
          <w:szCs w:val="20"/>
          <w:lang w:val="es-CR"/>
        </w:rPr>
        <w:t>los artículos 5 y 89 a 91 de la Constitución de</w:t>
      </w:r>
      <w:r w:rsidRPr="00D4312D">
        <w:rPr>
          <w:rFonts w:ascii="Verdana" w:hAnsi="Verdana"/>
          <w:sz w:val="20"/>
          <w:szCs w:val="20"/>
          <w:lang w:val="es-CR"/>
        </w:rPr>
        <w:t xml:space="preserve"> Nicaragua; </w:t>
      </w:r>
      <w:r>
        <w:rPr>
          <w:rFonts w:ascii="Verdana" w:hAnsi="Verdana"/>
          <w:sz w:val="20"/>
          <w:szCs w:val="20"/>
          <w:lang w:val="es-CR"/>
        </w:rPr>
        <w:t xml:space="preserve">el artículo 90 de la Constitución </w:t>
      </w:r>
      <w:r w:rsidRPr="00D4312D">
        <w:rPr>
          <w:rFonts w:ascii="Verdana" w:hAnsi="Verdana"/>
          <w:sz w:val="20"/>
          <w:szCs w:val="20"/>
          <w:lang w:val="es-CR"/>
        </w:rPr>
        <w:t>de Panamá</w:t>
      </w:r>
      <w:r>
        <w:rPr>
          <w:rFonts w:ascii="Verdana" w:hAnsi="Verdana"/>
          <w:sz w:val="20"/>
          <w:szCs w:val="20"/>
          <w:lang w:val="es-CR"/>
        </w:rPr>
        <w:t xml:space="preserve">; los artículos 63 y 65 de la Constitución </w:t>
      </w:r>
      <w:r w:rsidRPr="00D4312D">
        <w:rPr>
          <w:rFonts w:ascii="Verdana" w:hAnsi="Verdana"/>
          <w:sz w:val="20"/>
          <w:szCs w:val="20"/>
          <w:lang w:val="es-CR"/>
        </w:rPr>
        <w:t>de Paraguay</w:t>
      </w:r>
      <w:r>
        <w:rPr>
          <w:rFonts w:ascii="Verdana" w:hAnsi="Verdana"/>
          <w:sz w:val="20"/>
          <w:szCs w:val="20"/>
          <w:lang w:val="es-CR"/>
        </w:rPr>
        <w:t xml:space="preserve">; </w:t>
      </w:r>
      <w:r w:rsidRPr="00D4312D">
        <w:rPr>
          <w:rFonts w:ascii="Verdana" w:hAnsi="Verdana"/>
          <w:sz w:val="20"/>
          <w:szCs w:val="20"/>
          <w:lang w:val="es-CR"/>
        </w:rPr>
        <w:t>l</w:t>
      </w:r>
      <w:r>
        <w:rPr>
          <w:rFonts w:ascii="Verdana" w:hAnsi="Verdana"/>
          <w:sz w:val="20"/>
          <w:szCs w:val="20"/>
          <w:lang w:val="es-CR"/>
        </w:rPr>
        <w:t>os artículos 2 y 89</w:t>
      </w:r>
      <w:r w:rsidRPr="00D4312D">
        <w:rPr>
          <w:rFonts w:ascii="Verdana" w:hAnsi="Verdana"/>
          <w:sz w:val="20"/>
          <w:szCs w:val="20"/>
          <w:lang w:val="es-CR"/>
        </w:rPr>
        <w:t xml:space="preserve"> de</w:t>
      </w:r>
      <w:r>
        <w:rPr>
          <w:rFonts w:ascii="Verdana" w:hAnsi="Verdana"/>
          <w:sz w:val="20"/>
          <w:szCs w:val="20"/>
          <w:lang w:val="es-CR"/>
        </w:rPr>
        <w:t xml:space="preserve"> la Constitución de</w:t>
      </w:r>
      <w:r w:rsidRPr="00D4312D">
        <w:rPr>
          <w:rFonts w:ascii="Verdana" w:hAnsi="Verdana"/>
          <w:sz w:val="20"/>
          <w:szCs w:val="20"/>
          <w:lang w:val="es-CR"/>
        </w:rPr>
        <w:t xml:space="preserve"> Perú, </w:t>
      </w:r>
      <w:r>
        <w:rPr>
          <w:rFonts w:ascii="Verdana" w:hAnsi="Verdana"/>
          <w:sz w:val="20"/>
          <w:szCs w:val="20"/>
          <w:lang w:val="es-CR"/>
        </w:rPr>
        <w:t xml:space="preserve">y </w:t>
      </w:r>
      <w:r w:rsidRPr="00BF0EF1">
        <w:rPr>
          <w:rFonts w:ascii="Verdana" w:hAnsi="Verdana"/>
          <w:sz w:val="20"/>
          <w:szCs w:val="20"/>
        </w:rPr>
        <w:t>el artículo 121 de la Constitución de Venezuela</w:t>
      </w:r>
      <w:r>
        <w:rPr>
          <w:rFonts w:ascii="Verdana" w:hAnsi="Verdana"/>
          <w:sz w:val="20"/>
          <w:szCs w:val="20"/>
        </w:rPr>
        <w:t>.</w:t>
      </w:r>
    </w:p>
    <w:p w14:paraId="143A4759" w14:textId="77777777" w:rsidR="007C7E7C" w:rsidRPr="00BF0EF1" w:rsidRDefault="007C7E7C" w:rsidP="007C7E7C">
      <w:pPr>
        <w:pStyle w:val="Prrafodelista"/>
        <w:spacing w:line="240" w:lineRule="auto"/>
        <w:rPr>
          <w:rFonts w:ascii="Verdana" w:hAnsi="Verdana"/>
          <w:bCs/>
          <w:sz w:val="20"/>
          <w:szCs w:val="20"/>
          <w:lang w:val="es-CR"/>
        </w:rPr>
      </w:pPr>
    </w:p>
    <w:p w14:paraId="1ACFD855" w14:textId="1B044F04" w:rsidR="007C7E7C" w:rsidRPr="008753E4" w:rsidRDefault="007C7E7C" w:rsidP="007C7E7C">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8753E4">
        <w:rPr>
          <w:rFonts w:ascii="Verdana" w:hAnsi="Verdana"/>
          <w:bCs/>
          <w:sz w:val="20"/>
          <w:szCs w:val="20"/>
          <w:lang w:val="es-ES"/>
        </w:rPr>
        <w:t xml:space="preserve">Ahora bien, en </w:t>
      </w:r>
      <w:r w:rsidR="00381C49">
        <w:rPr>
          <w:rFonts w:ascii="Verdana" w:hAnsi="Verdana"/>
          <w:bCs/>
          <w:sz w:val="20"/>
          <w:szCs w:val="20"/>
          <w:lang w:val="es-ES"/>
        </w:rPr>
        <w:t>lo referente al</w:t>
      </w:r>
      <w:r w:rsidRPr="008753E4">
        <w:rPr>
          <w:rFonts w:ascii="Verdana" w:hAnsi="Verdana"/>
          <w:bCs/>
          <w:sz w:val="20"/>
          <w:szCs w:val="20"/>
          <w:lang w:val="es-ES"/>
        </w:rPr>
        <w:t xml:space="preserve"> concepto pertinente de “cultura”, resulta útil t</w:t>
      </w:r>
      <w:r w:rsidR="007E3209">
        <w:rPr>
          <w:rFonts w:ascii="Verdana" w:hAnsi="Verdana"/>
          <w:bCs/>
          <w:sz w:val="20"/>
          <w:szCs w:val="20"/>
          <w:lang w:val="es-ES"/>
        </w:rPr>
        <w:t>omar en cuenta lo señalado por l</w:t>
      </w:r>
      <w:r w:rsidRPr="008753E4">
        <w:rPr>
          <w:rFonts w:ascii="Verdana" w:hAnsi="Verdana"/>
          <w:bCs/>
          <w:sz w:val="20"/>
          <w:szCs w:val="20"/>
          <w:lang w:val="es-ES"/>
        </w:rPr>
        <w:t>a</w:t>
      </w:r>
      <w:r w:rsidRPr="008753E4">
        <w:rPr>
          <w:rFonts w:ascii="Verdana" w:hAnsi="Verdana"/>
          <w:sz w:val="20"/>
          <w:szCs w:val="20"/>
        </w:rPr>
        <w:t xml:space="preserve"> Organización de las Naciones Unidas para la Educación, la Ciencia y la Cultura (UNESCO), que la ha definido como “el conjunto de los rasgos distintivos espirituales y materiales, intelectuales y afectivos que caracterizan a una sociedad o a un grupo social y que abarca, además de las artes y las letras, los modos de vida, las maneras de vivir juntos, los sistemas de valores, las tradiciones y las creencias”</w:t>
      </w:r>
      <w:r w:rsidRPr="008753E4">
        <w:rPr>
          <w:rStyle w:val="Refdenotaalpie"/>
          <w:rFonts w:ascii="Verdana" w:hAnsi="Verdana"/>
          <w:sz w:val="20"/>
        </w:rPr>
        <w:footnoteReference w:id="236"/>
      </w:r>
      <w:r w:rsidRPr="008753E4">
        <w:rPr>
          <w:rFonts w:ascii="Verdana" w:hAnsi="Verdana"/>
          <w:sz w:val="20"/>
          <w:szCs w:val="20"/>
        </w:rPr>
        <w:t>.</w:t>
      </w:r>
      <w:r w:rsidRPr="008753E4">
        <w:rPr>
          <w:rFonts w:ascii="Verdana" w:hAnsi="Verdana"/>
          <w:bCs/>
          <w:sz w:val="16"/>
          <w:szCs w:val="16"/>
          <w:lang w:val="es-ES"/>
        </w:rPr>
        <w:t xml:space="preserve"> </w:t>
      </w:r>
    </w:p>
    <w:p w14:paraId="32AAF4CB" w14:textId="77777777" w:rsidR="007C7E7C" w:rsidRPr="008753E4" w:rsidRDefault="007C7E7C" w:rsidP="007C7E7C">
      <w:pPr>
        <w:pStyle w:val="Prrafodelista"/>
        <w:spacing w:line="240" w:lineRule="auto"/>
        <w:rPr>
          <w:rFonts w:ascii="Verdana" w:hAnsi="Verdana"/>
          <w:sz w:val="20"/>
          <w:szCs w:val="20"/>
        </w:rPr>
      </w:pPr>
    </w:p>
    <w:p w14:paraId="637DE743" w14:textId="77777777" w:rsidR="007C7E7C" w:rsidRPr="008753E4" w:rsidRDefault="007C7E7C" w:rsidP="007C7E7C">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8753E4">
        <w:rPr>
          <w:rFonts w:ascii="Verdana" w:hAnsi="Verdana"/>
          <w:sz w:val="20"/>
          <w:szCs w:val="20"/>
        </w:rPr>
        <w:t xml:space="preserve">La diversidad cultural y su riqueza deben ser protegidas por los Estados ya que, en palabras de la UNESCO, </w:t>
      </w:r>
      <w:r w:rsidRPr="00BF0EF1">
        <w:rPr>
          <w:rFonts w:ascii="Verdana" w:hAnsi="Verdana"/>
          <w:sz w:val="20"/>
          <w:szCs w:val="20"/>
        </w:rPr>
        <w:t>“</w:t>
      </w:r>
      <w:r w:rsidRPr="008753E4">
        <w:rPr>
          <w:rFonts w:ascii="Verdana" w:hAnsi="Verdana"/>
          <w:sz w:val="20"/>
          <w:szCs w:val="20"/>
        </w:rPr>
        <w:t>es</w:t>
      </w:r>
      <w:r w:rsidRPr="00BF0EF1">
        <w:rPr>
          <w:rFonts w:ascii="Verdana" w:hAnsi="Verdana"/>
          <w:sz w:val="20"/>
          <w:szCs w:val="20"/>
        </w:rPr>
        <w:t xml:space="preserve"> tan necesaria </w:t>
      </w:r>
      <w:r w:rsidRPr="008753E4">
        <w:rPr>
          <w:rFonts w:ascii="Verdana" w:hAnsi="Verdana"/>
          <w:sz w:val="20"/>
          <w:szCs w:val="20"/>
        </w:rPr>
        <w:t>para el género humano como la diversidad biológica para los organismos vivos[</w:t>
      </w:r>
      <w:r w:rsidRPr="00BF0EF1">
        <w:rPr>
          <w:rFonts w:ascii="Verdana" w:hAnsi="Verdana"/>
          <w:sz w:val="20"/>
          <w:szCs w:val="20"/>
        </w:rPr>
        <w:t>;</w:t>
      </w:r>
      <w:r w:rsidRPr="008753E4">
        <w:rPr>
          <w:rFonts w:ascii="Verdana" w:hAnsi="Verdana"/>
          <w:sz w:val="20"/>
          <w:szCs w:val="20"/>
        </w:rPr>
        <w:t>] constituye el patrimonio común de la humanidad</w:t>
      </w:r>
      <w:r w:rsidRPr="00BF0EF1">
        <w:rPr>
          <w:rFonts w:ascii="Verdana" w:hAnsi="Verdana"/>
          <w:sz w:val="20"/>
          <w:szCs w:val="20"/>
        </w:rPr>
        <w:t xml:space="preserve"> y</w:t>
      </w:r>
      <w:r w:rsidRPr="008753E4">
        <w:rPr>
          <w:rFonts w:ascii="Verdana" w:hAnsi="Verdana"/>
          <w:sz w:val="20"/>
          <w:szCs w:val="20"/>
        </w:rPr>
        <w:t xml:space="preserve"> debe ser reconocida y consolidada en beneficio de las generaciones presentes y futuras”. En este sentido, los Estados están en la obligación de proteger y promover la diversidad cultural y adoptar “políticas que favore[zcan] la inclusión y la participación de todos los ciudadanos [para que así se] garanti[ce] la cohesión social, la vitalidad de la sociedad civil y la paz”. Por ello, “el pluralismo cultural constituye la respuesta política al hecho de la diversidad cultural”</w:t>
      </w:r>
      <w:r w:rsidRPr="008753E4">
        <w:rPr>
          <w:rStyle w:val="Refdenotaalpie"/>
          <w:rFonts w:ascii="Verdana" w:hAnsi="Verdana"/>
          <w:sz w:val="20"/>
        </w:rPr>
        <w:footnoteReference w:id="237"/>
      </w:r>
      <w:r w:rsidRPr="008753E4">
        <w:rPr>
          <w:rFonts w:ascii="Verdana" w:hAnsi="Verdana"/>
          <w:sz w:val="20"/>
          <w:szCs w:val="20"/>
        </w:rPr>
        <w:t>.</w:t>
      </w:r>
    </w:p>
    <w:p w14:paraId="701DD52C" w14:textId="77777777" w:rsidR="007C7E7C" w:rsidRPr="00D4312D" w:rsidRDefault="007C7E7C" w:rsidP="007C7E7C">
      <w:pPr>
        <w:pStyle w:val="Prrafodelista"/>
        <w:spacing w:line="240" w:lineRule="auto"/>
        <w:rPr>
          <w:rFonts w:ascii="Verdana" w:hAnsi="Verdana"/>
          <w:sz w:val="20"/>
          <w:szCs w:val="20"/>
        </w:rPr>
      </w:pPr>
    </w:p>
    <w:p w14:paraId="4387DF09" w14:textId="77777777" w:rsidR="007C7E7C" w:rsidRPr="00BF0EF1" w:rsidRDefault="007C7E7C" w:rsidP="007C7E7C">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D4312D">
        <w:rPr>
          <w:rFonts w:ascii="Verdana" w:hAnsi="Verdana"/>
          <w:sz w:val="20"/>
          <w:szCs w:val="20"/>
        </w:rPr>
        <w:t xml:space="preserve">El </w:t>
      </w:r>
      <w:r w:rsidRPr="00EE7987">
        <w:rPr>
          <w:rFonts w:ascii="Verdana" w:hAnsi="Verdana"/>
          <w:sz w:val="20"/>
          <w:szCs w:val="20"/>
        </w:rPr>
        <w:t>Comité DESC</w:t>
      </w:r>
      <w:r w:rsidRPr="00D4312D">
        <w:rPr>
          <w:rFonts w:ascii="Verdana" w:hAnsi="Verdana"/>
          <w:sz w:val="20"/>
          <w:szCs w:val="20"/>
        </w:rPr>
        <w:t xml:space="preserve"> ha señalado que </w:t>
      </w:r>
    </w:p>
    <w:p w14:paraId="4E844565" w14:textId="77777777" w:rsidR="007C7E7C" w:rsidRPr="00BF0EF1" w:rsidRDefault="007C7E7C" w:rsidP="007C7E7C">
      <w:pPr>
        <w:pStyle w:val="Prrafodelista"/>
        <w:spacing w:line="240" w:lineRule="auto"/>
        <w:rPr>
          <w:rFonts w:ascii="Verdana" w:hAnsi="Verdana"/>
          <w:sz w:val="20"/>
          <w:szCs w:val="20"/>
        </w:rPr>
      </w:pPr>
    </w:p>
    <w:p w14:paraId="43670776" w14:textId="77777777" w:rsidR="007C7E7C" w:rsidRPr="00BF0EF1" w:rsidRDefault="007C7E7C" w:rsidP="007C7E7C">
      <w:pPr>
        <w:pStyle w:val="Prrafodelista"/>
        <w:spacing w:after="0" w:line="240" w:lineRule="auto"/>
        <w:ind w:left="284" w:right="333"/>
        <w:jc w:val="both"/>
        <w:rPr>
          <w:rFonts w:ascii="Verdana" w:eastAsia="Batang" w:hAnsi="Verdana" w:cs="Times"/>
          <w:sz w:val="16"/>
          <w:szCs w:val="16"/>
          <w:lang w:val="es-CR" w:eastAsia="es-CR"/>
        </w:rPr>
      </w:pPr>
      <w:r w:rsidRPr="00BF0EF1">
        <w:rPr>
          <w:rFonts w:ascii="Verdana" w:hAnsi="Verdana"/>
          <w:sz w:val="16"/>
          <w:szCs w:val="16"/>
        </w:rPr>
        <w:t xml:space="preserve">[e]l concepto de cultura no debe entenderse como una serie de expresiones aisladas o compartimientos estancos, sino como un proceso interactivo a través del cual los individuos y las comunidades, </w:t>
      </w:r>
      <w:r w:rsidRPr="00BF0EF1">
        <w:rPr>
          <w:rFonts w:ascii="Verdana" w:hAnsi="Verdana"/>
          <w:sz w:val="16"/>
          <w:szCs w:val="16"/>
        </w:rPr>
        <w:lastRenderedPageBreak/>
        <w:t>manteniendo sus particularidades y sus fines, dan expresión a la cultura de la humanidad. Ese concepto tiene en cuenta la individualidad y la alteridad de la cultura como creación y producto social</w:t>
      </w:r>
      <w:r w:rsidRPr="00BF0EF1">
        <w:rPr>
          <w:rStyle w:val="Refdenotaalpie"/>
          <w:rFonts w:ascii="Verdana" w:hAnsi="Verdana"/>
          <w:sz w:val="16"/>
          <w:szCs w:val="16"/>
        </w:rPr>
        <w:footnoteReference w:id="238"/>
      </w:r>
      <w:r w:rsidRPr="00BF0EF1">
        <w:rPr>
          <w:rFonts w:ascii="Verdana" w:hAnsi="Verdana"/>
          <w:sz w:val="16"/>
          <w:szCs w:val="16"/>
        </w:rPr>
        <w:t>.</w:t>
      </w:r>
    </w:p>
    <w:p w14:paraId="6296168D" w14:textId="77777777" w:rsidR="007C7E7C" w:rsidRPr="00D4312D" w:rsidRDefault="007C7E7C" w:rsidP="007C7E7C">
      <w:pPr>
        <w:pStyle w:val="Prrafodelista"/>
        <w:spacing w:line="240" w:lineRule="auto"/>
        <w:rPr>
          <w:rFonts w:ascii="Verdana" w:hAnsi="Verdana"/>
          <w:sz w:val="20"/>
          <w:szCs w:val="20"/>
        </w:rPr>
      </w:pPr>
    </w:p>
    <w:p w14:paraId="32EC1383" w14:textId="77777777" w:rsidR="007C7E7C" w:rsidRDefault="007C7E7C" w:rsidP="007C7E7C">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D4312D">
        <w:rPr>
          <w:rFonts w:ascii="Verdana" w:hAnsi="Verdana"/>
          <w:sz w:val="20"/>
          <w:szCs w:val="20"/>
        </w:rPr>
        <w:t xml:space="preserve">La Corte entiende que el derecho a la identidad cultural tutela la libertad de las personas, inclusive actuando en forma asociada o comunitaria, a identificarse con una o varias </w:t>
      </w:r>
      <w:r>
        <w:rPr>
          <w:rFonts w:ascii="Verdana" w:hAnsi="Verdana"/>
          <w:sz w:val="20"/>
          <w:szCs w:val="20"/>
        </w:rPr>
        <w:t xml:space="preserve">sociedades, </w:t>
      </w:r>
      <w:r w:rsidRPr="00D4312D">
        <w:rPr>
          <w:rFonts w:ascii="Verdana" w:hAnsi="Verdana"/>
          <w:sz w:val="20"/>
          <w:szCs w:val="20"/>
        </w:rPr>
        <w:t>comunidades,</w:t>
      </w:r>
      <w:r>
        <w:rPr>
          <w:rFonts w:ascii="Verdana" w:hAnsi="Verdana"/>
          <w:sz w:val="20"/>
          <w:szCs w:val="20"/>
        </w:rPr>
        <w:t xml:space="preserve"> o grupos sociales,</w:t>
      </w:r>
      <w:r w:rsidRPr="00D4312D">
        <w:rPr>
          <w:rFonts w:ascii="Verdana" w:hAnsi="Verdana"/>
          <w:sz w:val="20"/>
          <w:szCs w:val="20"/>
        </w:rPr>
        <w:t xml:space="preserve"> a seguir una forma o estilo de vida vinculado </w:t>
      </w:r>
      <w:r>
        <w:rPr>
          <w:rFonts w:ascii="Verdana" w:hAnsi="Verdana"/>
          <w:sz w:val="20"/>
          <w:szCs w:val="20"/>
        </w:rPr>
        <w:t xml:space="preserve">a </w:t>
      </w:r>
      <w:r w:rsidRPr="00D4312D">
        <w:rPr>
          <w:rFonts w:ascii="Verdana" w:hAnsi="Verdana"/>
          <w:sz w:val="20"/>
          <w:szCs w:val="20"/>
        </w:rPr>
        <w:t>la cultura a la que pertenece y a participar en el desarrollo de la misma. En ese sentido, el derecho protege los rasgos distintivos que caracterizan a un grupo social, sin que ello implique negar el carácter histórico, dinámico y evolutivo de la cultura</w:t>
      </w:r>
      <w:r w:rsidRPr="008F640E">
        <w:rPr>
          <w:rStyle w:val="Refdenotaalpie"/>
          <w:rFonts w:ascii="Verdana" w:hAnsi="Verdana"/>
          <w:sz w:val="20"/>
        </w:rPr>
        <w:footnoteReference w:id="239"/>
      </w:r>
      <w:r w:rsidRPr="00D4312D">
        <w:rPr>
          <w:rFonts w:ascii="Verdana" w:hAnsi="Verdana"/>
          <w:sz w:val="20"/>
          <w:szCs w:val="20"/>
        </w:rPr>
        <w:t xml:space="preserve">.  </w:t>
      </w:r>
    </w:p>
    <w:p w14:paraId="25B55ED6" w14:textId="77777777" w:rsidR="007C7E7C" w:rsidRPr="00D4312D" w:rsidRDefault="007C7E7C" w:rsidP="007C7E7C">
      <w:pPr>
        <w:pStyle w:val="Prrafodelista"/>
        <w:spacing w:line="240" w:lineRule="auto"/>
        <w:rPr>
          <w:rFonts w:ascii="Verdana" w:hAnsi="Verdana"/>
          <w:sz w:val="20"/>
          <w:szCs w:val="20"/>
        </w:rPr>
      </w:pPr>
    </w:p>
    <w:p w14:paraId="3A03EDD7" w14:textId="77777777" w:rsidR="007C7E7C" w:rsidRDefault="007C7E7C" w:rsidP="007C7E7C">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D4312D">
        <w:rPr>
          <w:rFonts w:ascii="Verdana" w:hAnsi="Verdana"/>
          <w:sz w:val="20"/>
          <w:szCs w:val="20"/>
        </w:rPr>
        <w:t xml:space="preserve">El Comité DESC, en lo que es útil resaltar, ha destacado, entre los “elementos” que requiere la realización del derecho a participar en la vida cultural, los siguientes: </w:t>
      </w:r>
    </w:p>
    <w:p w14:paraId="5AC20A3E" w14:textId="77777777" w:rsidR="007E3209" w:rsidRDefault="007E3209" w:rsidP="007C7E7C">
      <w:pPr>
        <w:pStyle w:val="Prrafodelista"/>
        <w:spacing w:line="240" w:lineRule="auto"/>
        <w:ind w:left="142"/>
        <w:jc w:val="both"/>
        <w:rPr>
          <w:rFonts w:ascii="Verdana" w:hAnsi="Verdana"/>
          <w:sz w:val="20"/>
          <w:szCs w:val="20"/>
        </w:rPr>
      </w:pPr>
    </w:p>
    <w:p w14:paraId="43C8307D" w14:textId="610FC8C2" w:rsidR="007C7E7C" w:rsidRPr="008F640E" w:rsidRDefault="007C7E7C" w:rsidP="007C7E7C">
      <w:pPr>
        <w:pStyle w:val="Prrafodelista"/>
        <w:spacing w:line="240" w:lineRule="auto"/>
        <w:ind w:left="142"/>
        <w:jc w:val="both"/>
        <w:rPr>
          <w:rFonts w:ascii="Verdana" w:eastAsia="Times New Roman" w:hAnsi="Verdana" w:cs="Times New Roman"/>
          <w:color w:val="000000"/>
          <w:sz w:val="20"/>
          <w:szCs w:val="20"/>
          <w:lang w:eastAsia="es-ES_tradnl"/>
        </w:rPr>
      </w:pPr>
      <w:r w:rsidRPr="008F640E">
        <w:rPr>
          <w:rFonts w:ascii="Verdana" w:hAnsi="Verdana"/>
          <w:sz w:val="20"/>
          <w:szCs w:val="20"/>
        </w:rPr>
        <w:t xml:space="preserve">a) la </w:t>
      </w:r>
      <w:r w:rsidRPr="008F640E">
        <w:rPr>
          <w:rFonts w:ascii="Verdana" w:eastAsia="Times New Roman" w:hAnsi="Verdana" w:cs="Times New Roman"/>
          <w:i/>
          <w:iCs/>
          <w:color w:val="000000"/>
          <w:sz w:val="20"/>
          <w:szCs w:val="20"/>
          <w:lang w:eastAsia="es-ES_tradnl"/>
        </w:rPr>
        <w:t xml:space="preserve">disponibilidad, </w:t>
      </w:r>
      <w:r w:rsidRPr="008F640E">
        <w:rPr>
          <w:rFonts w:ascii="Verdana" w:eastAsia="Times New Roman" w:hAnsi="Verdana" w:cs="Times New Roman"/>
          <w:iCs/>
          <w:color w:val="000000"/>
          <w:sz w:val="20"/>
          <w:szCs w:val="20"/>
          <w:lang w:eastAsia="es-ES_tradnl"/>
        </w:rPr>
        <w:t>que concept</w:t>
      </w:r>
      <w:r>
        <w:rPr>
          <w:rFonts w:ascii="Verdana" w:eastAsia="Times New Roman" w:hAnsi="Verdana" w:cs="Times New Roman"/>
          <w:iCs/>
          <w:color w:val="000000"/>
          <w:sz w:val="20"/>
          <w:szCs w:val="20"/>
          <w:lang w:eastAsia="es-ES_tradnl"/>
        </w:rPr>
        <w:t>uó</w:t>
      </w:r>
      <w:r w:rsidRPr="008F640E">
        <w:rPr>
          <w:rFonts w:ascii="Verdana" w:eastAsia="Times New Roman" w:hAnsi="Verdana" w:cs="Times New Roman"/>
          <w:iCs/>
          <w:color w:val="000000"/>
          <w:sz w:val="20"/>
          <w:szCs w:val="20"/>
          <w:lang w:eastAsia="es-ES_tradnl"/>
        </w:rPr>
        <w:t xml:space="preserve"> como</w:t>
      </w:r>
      <w:r>
        <w:rPr>
          <w:rFonts w:ascii="Verdana" w:eastAsia="Times New Roman" w:hAnsi="Verdana" w:cs="Times New Roman"/>
          <w:iCs/>
          <w:color w:val="000000"/>
          <w:sz w:val="20"/>
          <w:szCs w:val="20"/>
          <w:lang w:eastAsia="es-ES_tradnl"/>
        </w:rPr>
        <w:t xml:space="preserve"> </w:t>
      </w:r>
      <w:r w:rsidRPr="008F640E">
        <w:rPr>
          <w:rFonts w:ascii="Verdana" w:eastAsia="Times New Roman" w:hAnsi="Verdana" w:cs="Times New Roman"/>
          <w:color w:val="000000"/>
          <w:sz w:val="20"/>
          <w:szCs w:val="20"/>
          <w:lang w:eastAsia="es-ES_tradnl"/>
        </w:rPr>
        <w:t>“la presencia de bienes y servicios culturales”, entre los que destacó “dones de la naturaleza</w:t>
      </w:r>
      <w:r>
        <w:rPr>
          <w:rFonts w:ascii="Verdana" w:eastAsia="Times New Roman" w:hAnsi="Verdana" w:cs="Times New Roman"/>
          <w:color w:val="000000"/>
          <w:sz w:val="20"/>
          <w:szCs w:val="20"/>
          <w:lang w:eastAsia="es-ES_tradnl"/>
        </w:rPr>
        <w:t>” tales como “ríos”, “bosques”,</w:t>
      </w:r>
      <w:r w:rsidRPr="008F640E">
        <w:rPr>
          <w:rFonts w:ascii="Verdana" w:eastAsia="Times New Roman" w:hAnsi="Verdana" w:cs="Times New Roman"/>
          <w:color w:val="000000"/>
          <w:sz w:val="20"/>
          <w:szCs w:val="20"/>
          <w:lang w:eastAsia="es-ES_tradnl"/>
        </w:rPr>
        <w:t xml:space="preserve"> </w:t>
      </w:r>
      <w:r>
        <w:rPr>
          <w:rFonts w:ascii="Verdana" w:eastAsia="Times New Roman" w:hAnsi="Verdana" w:cs="Times New Roman"/>
          <w:color w:val="000000"/>
          <w:sz w:val="20"/>
          <w:szCs w:val="20"/>
          <w:lang w:eastAsia="es-ES_tradnl"/>
        </w:rPr>
        <w:t>“</w:t>
      </w:r>
      <w:r w:rsidRPr="008F640E">
        <w:rPr>
          <w:rFonts w:ascii="Verdana" w:eastAsia="Times New Roman" w:hAnsi="Verdana" w:cs="Times New Roman"/>
          <w:color w:val="000000"/>
          <w:sz w:val="20"/>
          <w:szCs w:val="20"/>
          <w:lang w:eastAsia="es-ES_tradnl"/>
        </w:rPr>
        <w:t>flora</w:t>
      </w:r>
      <w:r>
        <w:rPr>
          <w:rFonts w:ascii="Verdana" w:eastAsia="Times New Roman" w:hAnsi="Verdana" w:cs="Times New Roman"/>
          <w:color w:val="000000"/>
          <w:sz w:val="20"/>
          <w:szCs w:val="20"/>
          <w:lang w:eastAsia="es-ES_tradnl"/>
        </w:rPr>
        <w:t>”</w:t>
      </w:r>
      <w:r w:rsidRPr="008F640E">
        <w:rPr>
          <w:rFonts w:ascii="Verdana" w:eastAsia="Times New Roman" w:hAnsi="Verdana" w:cs="Times New Roman"/>
          <w:color w:val="000000"/>
          <w:sz w:val="20"/>
          <w:szCs w:val="20"/>
          <w:lang w:eastAsia="es-ES_tradnl"/>
        </w:rPr>
        <w:t xml:space="preserve"> y </w:t>
      </w:r>
      <w:r>
        <w:rPr>
          <w:rFonts w:ascii="Verdana" w:eastAsia="Times New Roman" w:hAnsi="Verdana" w:cs="Times New Roman"/>
          <w:color w:val="000000"/>
          <w:sz w:val="20"/>
          <w:szCs w:val="20"/>
          <w:lang w:eastAsia="es-ES_tradnl"/>
        </w:rPr>
        <w:t>“</w:t>
      </w:r>
      <w:r w:rsidRPr="008F640E">
        <w:rPr>
          <w:rFonts w:ascii="Verdana" w:eastAsia="Times New Roman" w:hAnsi="Verdana" w:cs="Times New Roman"/>
          <w:color w:val="000000"/>
          <w:sz w:val="20"/>
          <w:szCs w:val="20"/>
          <w:lang w:eastAsia="es-ES_tradnl"/>
        </w:rPr>
        <w:t xml:space="preserve">fauna”, así como “bienes culturales intangibles, como[, entre otros] costumbres [y] tradiciones […], así como valores, que configuran la identidad y contribuyen a la diversidad cultural de individuos y comunidades”; </w:t>
      </w:r>
    </w:p>
    <w:p w14:paraId="71F90E03" w14:textId="77777777" w:rsidR="007C7E7C" w:rsidRPr="008F640E" w:rsidRDefault="007C7E7C" w:rsidP="007C7E7C">
      <w:pPr>
        <w:pStyle w:val="Prrafodelista"/>
        <w:spacing w:line="240" w:lineRule="auto"/>
        <w:ind w:left="142"/>
        <w:jc w:val="both"/>
        <w:rPr>
          <w:rFonts w:ascii="Verdana" w:eastAsia="Times New Roman" w:hAnsi="Verdana" w:cs="Times New Roman"/>
          <w:color w:val="000000"/>
          <w:sz w:val="20"/>
          <w:szCs w:val="20"/>
          <w:lang w:eastAsia="es-ES_tradnl"/>
        </w:rPr>
      </w:pPr>
      <w:r w:rsidRPr="008F640E">
        <w:rPr>
          <w:rFonts w:ascii="Verdana" w:eastAsia="Times New Roman" w:hAnsi="Verdana" w:cs="Times New Roman"/>
          <w:color w:val="000000"/>
          <w:sz w:val="20"/>
          <w:szCs w:val="20"/>
          <w:lang w:eastAsia="es-ES_tradnl"/>
        </w:rPr>
        <w:t xml:space="preserve">b) la </w:t>
      </w:r>
      <w:r w:rsidRPr="008F640E">
        <w:rPr>
          <w:rFonts w:ascii="Verdana" w:eastAsia="Times New Roman" w:hAnsi="Verdana" w:cs="Times New Roman"/>
          <w:i/>
          <w:iCs/>
          <w:color w:val="000000"/>
          <w:sz w:val="20"/>
          <w:szCs w:val="20"/>
          <w:lang w:eastAsia="es-ES_tradnl"/>
        </w:rPr>
        <w:t xml:space="preserve">accesibilidad, </w:t>
      </w:r>
      <w:r w:rsidRPr="008F640E">
        <w:rPr>
          <w:rFonts w:ascii="Verdana" w:eastAsia="Times New Roman" w:hAnsi="Verdana" w:cs="Times New Roman"/>
          <w:iCs/>
          <w:color w:val="000000"/>
          <w:sz w:val="20"/>
          <w:szCs w:val="20"/>
          <w:lang w:eastAsia="es-ES_tradnl"/>
        </w:rPr>
        <w:t xml:space="preserve">que </w:t>
      </w:r>
      <w:r w:rsidRPr="008F640E">
        <w:rPr>
          <w:rFonts w:ascii="Verdana" w:eastAsia="Times New Roman" w:hAnsi="Verdana" w:cs="Times New Roman"/>
          <w:color w:val="000000"/>
          <w:sz w:val="20"/>
          <w:szCs w:val="20"/>
          <w:lang w:eastAsia="es-ES_tradnl"/>
        </w:rPr>
        <w:t xml:space="preserve">“consiste en disponer de oportunidades efectivas y concretas de que los individuos y las comunidades disfruten plenamente de una cultura”; </w:t>
      </w:r>
    </w:p>
    <w:p w14:paraId="7A9B8ACA" w14:textId="77777777" w:rsidR="007C7E7C" w:rsidRPr="008F640E" w:rsidRDefault="007C7E7C" w:rsidP="007C7E7C">
      <w:pPr>
        <w:pStyle w:val="Prrafodelista"/>
        <w:spacing w:line="240" w:lineRule="auto"/>
        <w:ind w:left="142"/>
        <w:jc w:val="both"/>
        <w:rPr>
          <w:rFonts w:ascii="Verdana" w:eastAsia="Times New Roman" w:hAnsi="Verdana" w:cs="Times New Roman"/>
          <w:color w:val="000000"/>
          <w:sz w:val="20"/>
          <w:szCs w:val="20"/>
          <w:lang w:eastAsia="es-ES_tradnl"/>
        </w:rPr>
      </w:pPr>
      <w:r w:rsidRPr="008F640E">
        <w:rPr>
          <w:rFonts w:ascii="Verdana" w:eastAsia="Times New Roman" w:hAnsi="Verdana" w:cs="Times New Roman"/>
          <w:color w:val="000000"/>
          <w:sz w:val="20"/>
          <w:szCs w:val="20"/>
          <w:lang w:eastAsia="es-ES_tradnl"/>
        </w:rPr>
        <w:t xml:space="preserve">c) la </w:t>
      </w:r>
      <w:r w:rsidRPr="008F640E">
        <w:rPr>
          <w:rFonts w:ascii="Verdana" w:eastAsia="Times New Roman" w:hAnsi="Verdana" w:cs="Times New Roman"/>
          <w:i/>
          <w:iCs/>
          <w:color w:val="000000"/>
          <w:sz w:val="20"/>
          <w:szCs w:val="20"/>
          <w:lang w:eastAsia="es-ES_tradnl"/>
        </w:rPr>
        <w:t xml:space="preserve">aceptabilidad, </w:t>
      </w:r>
      <w:r w:rsidRPr="008F640E">
        <w:rPr>
          <w:rFonts w:ascii="Verdana" w:eastAsia="Times New Roman" w:hAnsi="Verdana" w:cs="Times New Roman"/>
          <w:iCs/>
          <w:color w:val="000000"/>
          <w:sz w:val="20"/>
          <w:szCs w:val="20"/>
          <w:lang w:eastAsia="es-ES_tradnl"/>
        </w:rPr>
        <w:t>que “</w:t>
      </w:r>
      <w:r w:rsidRPr="008F640E">
        <w:rPr>
          <w:rFonts w:ascii="Verdana" w:eastAsia="Times New Roman" w:hAnsi="Verdana" w:cs="Times New Roman"/>
          <w:color w:val="000000"/>
          <w:sz w:val="20"/>
          <w:szCs w:val="20"/>
          <w:lang w:eastAsia="es-ES_tradnl"/>
        </w:rPr>
        <w:t xml:space="preserve">implica que las leyes, políticas, estrategias, programas y medidas adoptadas por el Estado </w:t>
      </w:r>
      <w:r>
        <w:rPr>
          <w:rFonts w:ascii="Verdana" w:eastAsia="Times New Roman" w:hAnsi="Verdana" w:cs="Times New Roman"/>
          <w:color w:val="000000"/>
          <w:sz w:val="20"/>
          <w:szCs w:val="20"/>
          <w:lang w:eastAsia="es-ES_tradnl"/>
        </w:rPr>
        <w:t xml:space="preserve">[…] </w:t>
      </w:r>
      <w:r w:rsidRPr="008F640E">
        <w:rPr>
          <w:rFonts w:ascii="Verdana" w:eastAsia="Times New Roman" w:hAnsi="Verdana" w:cs="Times New Roman"/>
          <w:color w:val="000000"/>
          <w:sz w:val="20"/>
          <w:szCs w:val="20"/>
          <w:lang w:eastAsia="es-ES_tradnl"/>
        </w:rPr>
        <w:t xml:space="preserve">para el disfrute de los derechos culturales deben formularse y aplicarse de tal forma que sean aceptables para las personas y las comunidades de que se trate”; </w:t>
      </w:r>
    </w:p>
    <w:p w14:paraId="3C285168" w14:textId="77777777" w:rsidR="007C7E7C" w:rsidRPr="008F640E" w:rsidRDefault="007C7E7C" w:rsidP="007C7E7C">
      <w:pPr>
        <w:pStyle w:val="Prrafodelista"/>
        <w:spacing w:line="240" w:lineRule="auto"/>
        <w:ind w:left="142"/>
        <w:jc w:val="both"/>
        <w:rPr>
          <w:rFonts w:ascii="Verdana" w:eastAsia="Times New Roman" w:hAnsi="Verdana" w:cs="Times New Roman"/>
          <w:color w:val="000000"/>
          <w:sz w:val="20"/>
          <w:szCs w:val="20"/>
          <w:lang w:eastAsia="es-ES_tradnl"/>
        </w:rPr>
      </w:pPr>
      <w:r w:rsidRPr="008F640E">
        <w:rPr>
          <w:rFonts w:ascii="Verdana" w:eastAsia="Times New Roman" w:hAnsi="Verdana" w:cs="Times New Roman"/>
          <w:color w:val="000000"/>
          <w:sz w:val="20"/>
          <w:szCs w:val="20"/>
          <w:lang w:eastAsia="es-ES_tradnl"/>
        </w:rPr>
        <w:t xml:space="preserve">d) la </w:t>
      </w:r>
      <w:r w:rsidRPr="008F640E">
        <w:rPr>
          <w:rFonts w:ascii="Verdana" w:eastAsia="Times New Roman" w:hAnsi="Verdana" w:cs="Times New Roman"/>
          <w:i/>
          <w:iCs/>
          <w:color w:val="000000"/>
          <w:sz w:val="20"/>
          <w:szCs w:val="20"/>
          <w:lang w:eastAsia="es-ES_tradnl"/>
        </w:rPr>
        <w:t>adaptabilidad</w:t>
      </w:r>
      <w:r w:rsidRPr="008F640E">
        <w:rPr>
          <w:rFonts w:ascii="Verdana" w:eastAsia="Times New Roman" w:hAnsi="Verdana" w:cs="Times New Roman"/>
          <w:iCs/>
          <w:color w:val="000000"/>
          <w:sz w:val="20"/>
          <w:szCs w:val="20"/>
          <w:lang w:eastAsia="es-ES_tradnl"/>
        </w:rPr>
        <w:t>, que</w:t>
      </w:r>
      <w:r>
        <w:rPr>
          <w:rFonts w:ascii="Verdana" w:eastAsia="Times New Roman" w:hAnsi="Verdana" w:cs="Times New Roman"/>
          <w:iCs/>
          <w:color w:val="000000"/>
          <w:sz w:val="20"/>
          <w:szCs w:val="20"/>
          <w:lang w:eastAsia="es-ES_tradnl"/>
        </w:rPr>
        <w:t xml:space="preserve"> </w:t>
      </w:r>
      <w:r w:rsidRPr="008F640E">
        <w:rPr>
          <w:rFonts w:ascii="Verdana" w:eastAsia="Times New Roman" w:hAnsi="Verdana" w:cs="Times New Roman"/>
          <w:color w:val="000000"/>
          <w:sz w:val="20"/>
          <w:szCs w:val="20"/>
          <w:lang w:eastAsia="es-ES_tradnl"/>
        </w:rPr>
        <w:t xml:space="preserve">“se refiere a la flexibilidad y la pertinencia de las políticas, los programas y las medidas adoptados por el Estado </w:t>
      </w:r>
      <w:r>
        <w:rPr>
          <w:rFonts w:ascii="Verdana" w:eastAsia="Times New Roman" w:hAnsi="Verdana" w:cs="Times New Roman"/>
          <w:color w:val="000000"/>
          <w:sz w:val="20"/>
          <w:szCs w:val="20"/>
          <w:lang w:eastAsia="es-ES_tradnl"/>
        </w:rPr>
        <w:t xml:space="preserve">[…] </w:t>
      </w:r>
      <w:r w:rsidRPr="008F640E">
        <w:rPr>
          <w:rFonts w:ascii="Verdana" w:eastAsia="Times New Roman" w:hAnsi="Verdana" w:cs="Times New Roman"/>
          <w:color w:val="000000"/>
          <w:sz w:val="20"/>
          <w:szCs w:val="20"/>
          <w:lang w:eastAsia="es-ES_tradnl"/>
        </w:rPr>
        <w:t xml:space="preserve">en cualquier ámbito de la vida </w:t>
      </w:r>
      <w:r w:rsidRPr="008F640E">
        <w:rPr>
          <w:rFonts w:ascii="Verdana" w:eastAsia="Times New Roman" w:hAnsi="Verdana" w:cs="Times New Roman"/>
          <w:color w:val="000000"/>
          <w:sz w:val="20"/>
          <w:szCs w:val="20"/>
          <w:lang w:eastAsia="es-ES_tradnl"/>
        </w:rPr>
        <w:lastRenderedPageBreak/>
        <w:t xml:space="preserve">cultural, que deben respetar la diversidad cultural de las personas y las comunidades”, y  </w:t>
      </w:r>
    </w:p>
    <w:p w14:paraId="71C7DD84" w14:textId="77777777" w:rsidR="007C7E7C" w:rsidRPr="008F640E" w:rsidRDefault="007C7E7C" w:rsidP="007C7E7C">
      <w:pPr>
        <w:pStyle w:val="Prrafodelista"/>
        <w:spacing w:line="240" w:lineRule="auto"/>
        <w:ind w:left="142"/>
        <w:jc w:val="both"/>
        <w:rPr>
          <w:rFonts w:ascii="Verdana" w:hAnsi="Verdana"/>
          <w:sz w:val="20"/>
          <w:szCs w:val="20"/>
        </w:rPr>
      </w:pPr>
      <w:r w:rsidRPr="008F640E">
        <w:rPr>
          <w:rFonts w:ascii="Verdana" w:eastAsia="Times New Roman" w:hAnsi="Verdana" w:cs="Times New Roman"/>
          <w:color w:val="000000"/>
          <w:sz w:val="20"/>
          <w:szCs w:val="20"/>
          <w:lang w:eastAsia="es-ES_tradnl"/>
        </w:rPr>
        <w:t xml:space="preserve">e) la </w:t>
      </w:r>
      <w:r w:rsidRPr="008F640E">
        <w:rPr>
          <w:rFonts w:ascii="Verdana" w:eastAsia="Times New Roman" w:hAnsi="Verdana" w:cs="Times New Roman"/>
          <w:i/>
          <w:iCs/>
          <w:color w:val="000000"/>
          <w:sz w:val="20"/>
          <w:szCs w:val="20"/>
          <w:lang w:eastAsia="es-ES_tradnl"/>
        </w:rPr>
        <w:t>idoneidad</w:t>
      </w:r>
      <w:r w:rsidRPr="008F640E">
        <w:rPr>
          <w:rFonts w:ascii="Verdana" w:eastAsia="Times New Roman" w:hAnsi="Verdana" w:cs="Times New Roman"/>
          <w:iCs/>
          <w:color w:val="000000"/>
          <w:sz w:val="20"/>
          <w:szCs w:val="20"/>
          <w:lang w:eastAsia="es-ES_tradnl"/>
        </w:rPr>
        <w:t>, que</w:t>
      </w:r>
      <w:r>
        <w:rPr>
          <w:rFonts w:ascii="Verdana" w:eastAsia="Times New Roman" w:hAnsi="Verdana" w:cs="Times New Roman"/>
          <w:iCs/>
          <w:color w:val="000000"/>
          <w:sz w:val="20"/>
          <w:szCs w:val="20"/>
          <w:lang w:eastAsia="es-ES_tradnl"/>
        </w:rPr>
        <w:t xml:space="preserve"> </w:t>
      </w:r>
      <w:r w:rsidRPr="008F640E">
        <w:rPr>
          <w:rFonts w:ascii="Verdana" w:eastAsia="Times New Roman" w:hAnsi="Verdana" w:cs="Times New Roman"/>
          <w:i/>
          <w:iCs/>
          <w:color w:val="000000"/>
          <w:sz w:val="20"/>
          <w:szCs w:val="20"/>
          <w:lang w:eastAsia="es-ES_tradnl"/>
        </w:rPr>
        <w:t>“</w:t>
      </w:r>
      <w:r w:rsidRPr="008F640E">
        <w:rPr>
          <w:rFonts w:ascii="Verdana" w:eastAsia="Times New Roman" w:hAnsi="Verdana" w:cs="Times New Roman"/>
          <w:color w:val="000000"/>
          <w:sz w:val="20"/>
          <w:szCs w:val="20"/>
          <w:lang w:eastAsia="es-ES_tradnl"/>
        </w:rPr>
        <w:t>se refiere a la realización de un determinado derecho humano de manera pertinente y apta a un determinado contexto o una determinada modalidad cultural, vale decir, de manera que respete la cultura y los derechos culturales de las personas y las comunidades, con inclusión de las minorías y de los pueblos indígenas”. Sobre este último elemento, el Comité DESC “recalc[ó…] la necesidad de tener en cuenta, en toda la medida de lo posible, los valores culturales asociados, entre otras cosas, con los alimentos y su consumo [y] la utilización del agua”</w:t>
      </w:r>
      <w:r w:rsidRPr="008F640E">
        <w:rPr>
          <w:rStyle w:val="Refdenotaalpie"/>
          <w:rFonts w:ascii="Verdana" w:eastAsia="Times New Roman" w:hAnsi="Verdana"/>
          <w:color w:val="000000"/>
          <w:sz w:val="20"/>
          <w:lang w:eastAsia="es-ES_tradnl"/>
        </w:rPr>
        <w:footnoteReference w:id="240"/>
      </w:r>
      <w:r w:rsidRPr="008F640E">
        <w:rPr>
          <w:rFonts w:ascii="Verdana" w:eastAsia="Times New Roman" w:hAnsi="Verdana" w:cs="Times New Roman"/>
          <w:color w:val="000000"/>
          <w:sz w:val="20"/>
          <w:szCs w:val="20"/>
          <w:lang w:eastAsia="es-ES_tradnl"/>
        </w:rPr>
        <w:t>.</w:t>
      </w:r>
    </w:p>
    <w:p w14:paraId="1B8A0FE2" w14:textId="77777777" w:rsidR="007C7E7C" w:rsidRPr="00D4312D" w:rsidRDefault="007C7E7C" w:rsidP="007C7E7C">
      <w:pPr>
        <w:pStyle w:val="Prrafodelista"/>
        <w:spacing w:line="240" w:lineRule="auto"/>
        <w:rPr>
          <w:rFonts w:ascii="Verdana" w:hAnsi="Verdana"/>
          <w:sz w:val="20"/>
          <w:szCs w:val="20"/>
        </w:rPr>
      </w:pPr>
    </w:p>
    <w:p w14:paraId="1A901F8E" w14:textId="123B2F7C" w:rsidR="007C7E7C" w:rsidRPr="00D4312D" w:rsidRDefault="007C7E7C" w:rsidP="007C7E7C">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D4312D">
        <w:rPr>
          <w:rFonts w:ascii="Verdana" w:hAnsi="Verdana"/>
          <w:sz w:val="20"/>
          <w:szCs w:val="20"/>
        </w:rPr>
        <w:t>El Comité DESC, entre las obligaciones estatales referidas al derecho a participar en la vida cultural, señaló la de “cumplir”, que “</w:t>
      </w:r>
      <w:r w:rsidRPr="00D4312D">
        <w:rPr>
          <w:rFonts w:ascii="Verdana" w:eastAsia="Times New Roman" w:hAnsi="Verdana" w:cs="Times New Roman"/>
          <w:color w:val="000000"/>
          <w:sz w:val="20"/>
          <w:szCs w:val="20"/>
          <w:lang w:eastAsia="es-ES_tradnl"/>
        </w:rPr>
        <w:t>requiere [la] adop[ción</w:t>
      </w:r>
      <w:r>
        <w:rPr>
          <w:rFonts w:ascii="Verdana" w:eastAsia="Times New Roman" w:hAnsi="Verdana" w:cs="Times New Roman"/>
          <w:color w:val="000000"/>
          <w:sz w:val="20"/>
          <w:szCs w:val="20"/>
          <w:lang w:eastAsia="es-ES_tradnl"/>
        </w:rPr>
        <w:t xml:space="preserve"> de</w:t>
      </w:r>
      <w:r w:rsidRPr="00D4312D">
        <w:rPr>
          <w:rFonts w:ascii="Verdana" w:eastAsia="Times New Roman" w:hAnsi="Verdana" w:cs="Times New Roman"/>
          <w:color w:val="000000"/>
          <w:sz w:val="20"/>
          <w:szCs w:val="20"/>
          <w:lang w:eastAsia="es-ES_tradnl"/>
        </w:rPr>
        <w:t xml:space="preserve">] </w:t>
      </w:r>
      <w:r>
        <w:rPr>
          <w:rFonts w:ascii="Verdana" w:eastAsia="Times New Roman" w:hAnsi="Verdana" w:cs="Times New Roman"/>
          <w:color w:val="000000"/>
          <w:sz w:val="20"/>
          <w:szCs w:val="20"/>
          <w:lang w:eastAsia="es-ES_tradnl"/>
        </w:rPr>
        <w:t>las</w:t>
      </w:r>
      <w:r w:rsidRPr="00D4312D">
        <w:rPr>
          <w:rFonts w:ascii="Verdana" w:eastAsia="Times New Roman" w:hAnsi="Verdana" w:cs="Times New Roman"/>
          <w:color w:val="000000"/>
          <w:sz w:val="20"/>
          <w:szCs w:val="20"/>
          <w:lang w:eastAsia="es-ES_tradnl"/>
        </w:rPr>
        <w:t xml:space="preserve"> medidas adecuadas legislativas, administrativas, judiciales, presupuestarias, de promoción y de otra índole, destinadas a la plena realización del derecho”</w:t>
      </w:r>
      <w:r>
        <w:rPr>
          <w:rFonts w:ascii="Verdana" w:eastAsia="Times New Roman" w:hAnsi="Verdana" w:cs="Times New Roman"/>
          <w:color w:val="000000"/>
          <w:sz w:val="20"/>
          <w:szCs w:val="20"/>
          <w:lang w:eastAsia="es-ES_tradnl"/>
        </w:rPr>
        <w:t>,</w:t>
      </w:r>
      <w:r w:rsidRPr="00D4312D">
        <w:rPr>
          <w:rFonts w:ascii="Verdana" w:eastAsia="Times New Roman" w:hAnsi="Verdana" w:cs="Times New Roman"/>
          <w:color w:val="000000"/>
          <w:sz w:val="20"/>
          <w:szCs w:val="20"/>
          <w:lang w:eastAsia="es-ES_tradnl"/>
        </w:rPr>
        <w:t xml:space="preserve"> y la de “proteger”, que “exige que los Estados […] adopten medidas para impedir que otros actores interfieran con el derecho a participar en la vida cultural”. El Comité DESC explicó que los Estados tienen “obligaciones básicas”, entre las que mencionó “proteger el derecho de toda persona a ejercer sus propias prácticas culturales”. Señaló</w:t>
      </w:r>
      <w:r w:rsidR="00E21C50">
        <w:rPr>
          <w:rFonts w:ascii="Verdana" w:eastAsia="Times New Roman" w:hAnsi="Verdana" w:cs="Times New Roman"/>
          <w:color w:val="000000"/>
          <w:sz w:val="20"/>
          <w:szCs w:val="20"/>
          <w:lang w:eastAsia="es-ES_tradnl"/>
        </w:rPr>
        <w:t>,</w:t>
      </w:r>
      <w:r w:rsidRPr="00D4312D">
        <w:rPr>
          <w:rFonts w:ascii="Verdana" w:eastAsia="Times New Roman" w:hAnsi="Verdana" w:cs="Times New Roman"/>
          <w:color w:val="000000"/>
          <w:sz w:val="20"/>
          <w:szCs w:val="20"/>
          <w:lang w:eastAsia="es-ES_tradnl"/>
        </w:rPr>
        <w:t xml:space="preserve"> asimismo</w:t>
      </w:r>
      <w:r w:rsidR="00E21C50">
        <w:rPr>
          <w:rFonts w:ascii="Verdana" w:eastAsia="Times New Roman" w:hAnsi="Verdana" w:cs="Times New Roman"/>
          <w:color w:val="000000"/>
          <w:sz w:val="20"/>
          <w:szCs w:val="20"/>
          <w:lang w:eastAsia="es-ES_tradnl"/>
        </w:rPr>
        <w:t>,</w:t>
      </w:r>
      <w:r w:rsidRPr="00D4312D">
        <w:rPr>
          <w:rFonts w:ascii="Verdana" w:eastAsia="Times New Roman" w:hAnsi="Verdana" w:cs="Times New Roman"/>
          <w:color w:val="000000"/>
          <w:sz w:val="20"/>
          <w:szCs w:val="20"/>
          <w:lang w:eastAsia="es-ES_tradnl"/>
        </w:rPr>
        <w:t xml:space="preserve"> que el derecho se viola cuando un Estado “no toma las medidas necesarias para cumplir las obligaciones [respectivas]”</w:t>
      </w:r>
      <w:r w:rsidRPr="008F640E">
        <w:rPr>
          <w:rStyle w:val="Refdenotaalpie"/>
          <w:rFonts w:ascii="Verdana" w:eastAsia="Times New Roman" w:hAnsi="Verdana"/>
          <w:color w:val="000000"/>
          <w:sz w:val="20"/>
          <w:lang w:eastAsia="es-ES_tradnl"/>
        </w:rPr>
        <w:footnoteReference w:id="241"/>
      </w:r>
      <w:r>
        <w:rPr>
          <w:rFonts w:ascii="Verdana" w:eastAsia="Times New Roman" w:hAnsi="Verdana" w:cs="Times New Roman"/>
          <w:color w:val="000000"/>
          <w:sz w:val="20"/>
          <w:szCs w:val="20"/>
          <w:lang w:eastAsia="es-ES_tradnl"/>
        </w:rPr>
        <w:t>.</w:t>
      </w:r>
    </w:p>
    <w:p w14:paraId="261744E2" w14:textId="77777777" w:rsidR="007C7E7C" w:rsidRDefault="007C7E7C" w:rsidP="007C7E7C">
      <w:pPr>
        <w:pStyle w:val="Prrafodelista"/>
        <w:spacing w:after="0" w:line="240" w:lineRule="auto"/>
        <w:ind w:left="0" w:right="6"/>
        <w:jc w:val="both"/>
        <w:rPr>
          <w:rFonts w:ascii="Verdana" w:eastAsia="Times New Roman" w:hAnsi="Verdana" w:cs="Times New Roman"/>
          <w:color w:val="000000"/>
          <w:sz w:val="20"/>
          <w:szCs w:val="20"/>
          <w:lang w:eastAsia="es-ES_tradnl"/>
        </w:rPr>
      </w:pPr>
    </w:p>
    <w:p w14:paraId="65BA51B7" w14:textId="77777777" w:rsidR="007C7E7C" w:rsidRPr="0046172B" w:rsidRDefault="007C7E7C" w:rsidP="007C7E7C">
      <w:pPr>
        <w:pStyle w:val="Prrafodelista"/>
        <w:spacing w:after="0" w:line="240" w:lineRule="auto"/>
        <w:ind w:left="851"/>
        <w:jc w:val="both"/>
        <w:outlineLvl w:val="3"/>
        <w:rPr>
          <w:rFonts w:ascii="Verdana" w:hAnsi="Verdana"/>
          <w:i/>
          <w:sz w:val="20"/>
          <w:szCs w:val="20"/>
        </w:rPr>
      </w:pPr>
      <w:bookmarkStart w:id="243" w:name="_Toc25169783"/>
      <w:bookmarkStart w:id="244" w:name="_Toc30667647"/>
      <w:bookmarkStart w:id="245" w:name="_Toc32218870"/>
      <w:bookmarkStart w:id="246" w:name="_Toc32227146"/>
      <w:bookmarkStart w:id="247" w:name="_Toc34337574"/>
      <w:r w:rsidRPr="008F640E">
        <w:rPr>
          <w:rFonts w:ascii="Verdana" w:hAnsi="Verdana"/>
          <w:i/>
          <w:sz w:val="20"/>
          <w:szCs w:val="20"/>
        </w:rPr>
        <w:t>B.</w:t>
      </w:r>
      <w:r>
        <w:rPr>
          <w:rFonts w:ascii="Verdana" w:hAnsi="Verdana"/>
          <w:i/>
          <w:sz w:val="20"/>
          <w:szCs w:val="20"/>
        </w:rPr>
        <w:t>1.</w:t>
      </w:r>
      <w:r w:rsidRPr="008F640E">
        <w:rPr>
          <w:rFonts w:ascii="Verdana" w:hAnsi="Verdana"/>
          <w:i/>
          <w:sz w:val="20"/>
          <w:szCs w:val="20"/>
        </w:rPr>
        <w:t xml:space="preserve">2 </w:t>
      </w:r>
      <w:r w:rsidRPr="00B4480A">
        <w:rPr>
          <w:rFonts w:ascii="Verdana" w:hAnsi="Verdana"/>
          <w:i/>
          <w:sz w:val="20"/>
          <w:szCs w:val="20"/>
          <w:u w:val="single"/>
        </w:rPr>
        <w:t>Interdependencia entre los derechos a un ambiente sano, a la alimentación adecuada, al agua y a la identidad cultural y especificidades en relación con pueblos indígenas</w:t>
      </w:r>
      <w:bookmarkEnd w:id="243"/>
      <w:bookmarkEnd w:id="244"/>
      <w:bookmarkEnd w:id="245"/>
      <w:bookmarkEnd w:id="246"/>
      <w:bookmarkEnd w:id="247"/>
    </w:p>
    <w:p w14:paraId="37DDBB7D" w14:textId="77777777" w:rsidR="007C7E7C" w:rsidRDefault="007C7E7C" w:rsidP="007C7E7C">
      <w:pPr>
        <w:pStyle w:val="Prrafodelista"/>
        <w:spacing w:after="0" w:line="240" w:lineRule="auto"/>
        <w:ind w:left="0" w:right="6"/>
        <w:jc w:val="both"/>
        <w:rPr>
          <w:rFonts w:ascii="Verdana" w:eastAsia="Batang" w:hAnsi="Verdana" w:cs="Times"/>
          <w:sz w:val="20"/>
          <w:szCs w:val="20"/>
          <w:lang w:val="es-CR" w:eastAsia="es-CR"/>
        </w:rPr>
      </w:pPr>
    </w:p>
    <w:p w14:paraId="506E745D" w14:textId="77777777" w:rsidR="007C7E7C" w:rsidRPr="00D4312D" w:rsidRDefault="007C7E7C" w:rsidP="007C7E7C">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D4312D">
        <w:rPr>
          <w:rFonts w:ascii="Verdana" w:hAnsi="Verdana"/>
          <w:sz w:val="20"/>
          <w:szCs w:val="20"/>
        </w:rPr>
        <w:t>Los derechos antes</w:t>
      </w:r>
      <w:r w:rsidRPr="00D4312D">
        <w:rPr>
          <w:rFonts w:ascii="Verdana" w:hAnsi="Verdana"/>
          <w:b/>
          <w:sz w:val="20"/>
          <w:szCs w:val="20"/>
        </w:rPr>
        <w:t xml:space="preserve"> </w:t>
      </w:r>
      <w:r w:rsidRPr="00D4312D">
        <w:rPr>
          <w:rFonts w:ascii="Verdana" w:hAnsi="Verdana"/>
          <w:sz w:val="20"/>
          <w:szCs w:val="20"/>
        </w:rPr>
        <w:t xml:space="preserve">referidos presentan una estrecha </w:t>
      </w:r>
      <w:r>
        <w:rPr>
          <w:rFonts w:ascii="Verdana" w:hAnsi="Verdana"/>
          <w:sz w:val="20"/>
          <w:szCs w:val="20"/>
        </w:rPr>
        <w:t>vinculación,</w:t>
      </w:r>
      <w:r w:rsidRPr="00D4312D">
        <w:rPr>
          <w:rFonts w:ascii="Verdana" w:hAnsi="Verdana"/>
          <w:sz w:val="20"/>
          <w:szCs w:val="20"/>
        </w:rPr>
        <w:t xml:space="preserve"> de modo que algunos aspectos que hacen a la observancia de uno de ellos pueden estar imbricados con la satisfacción de los otros. </w:t>
      </w:r>
    </w:p>
    <w:p w14:paraId="3872F857" w14:textId="77777777" w:rsidR="007C7E7C" w:rsidRDefault="007C7E7C" w:rsidP="007C7E7C">
      <w:pPr>
        <w:pStyle w:val="Prrafodelista"/>
        <w:spacing w:after="0" w:line="240" w:lineRule="auto"/>
        <w:ind w:left="0" w:right="6"/>
        <w:jc w:val="both"/>
        <w:rPr>
          <w:rFonts w:ascii="Verdana" w:eastAsia="Batang" w:hAnsi="Verdana" w:cs="Times"/>
          <w:sz w:val="20"/>
          <w:szCs w:val="20"/>
          <w:lang w:val="es-CR" w:eastAsia="es-CR"/>
        </w:rPr>
      </w:pPr>
    </w:p>
    <w:p w14:paraId="2DADF24E" w14:textId="0F72DBA4" w:rsidR="007C7E7C" w:rsidRDefault="007C7E7C" w:rsidP="007C7E7C">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D4312D">
        <w:rPr>
          <w:rFonts w:ascii="Verdana" w:hAnsi="Verdana"/>
          <w:sz w:val="20"/>
          <w:szCs w:val="20"/>
          <w:lang w:val="es-CR"/>
        </w:rPr>
        <w:t>Esta Corte</w:t>
      </w:r>
      <w:r w:rsidRPr="00D4312D">
        <w:rPr>
          <w:rFonts w:ascii="Verdana" w:hAnsi="Verdana"/>
          <w:sz w:val="20"/>
          <w:szCs w:val="20"/>
        </w:rPr>
        <w:t xml:space="preserve"> haciendo referencia a diversos pronunciamientos emitidos en el ámbito de organismos internacionales</w:t>
      </w:r>
      <w:r w:rsidRPr="008F640E">
        <w:rPr>
          <w:rStyle w:val="Refdenotaalpie"/>
          <w:rFonts w:ascii="Verdana" w:hAnsi="Verdana"/>
          <w:sz w:val="20"/>
        </w:rPr>
        <w:footnoteReference w:id="242"/>
      </w:r>
      <w:r w:rsidRPr="00D4312D">
        <w:rPr>
          <w:rFonts w:ascii="Verdana" w:hAnsi="Verdana"/>
          <w:sz w:val="20"/>
          <w:szCs w:val="20"/>
        </w:rPr>
        <w:t>, ha destacado la “estrecha</w:t>
      </w:r>
      <w:r>
        <w:rPr>
          <w:rFonts w:ascii="Verdana" w:hAnsi="Verdana"/>
          <w:sz w:val="20"/>
          <w:szCs w:val="20"/>
        </w:rPr>
        <w:t>”</w:t>
      </w:r>
      <w:r w:rsidRPr="00D4312D">
        <w:rPr>
          <w:rFonts w:ascii="Verdana" w:hAnsi="Verdana"/>
          <w:sz w:val="20"/>
          <w:szCs w:val="20"/>
        </w:rPr>
        <w:t xml:space="preserve"> relación o “interdependencia” entre el ambiente y los derechos humanos. Lo dicho, por cuanto </w:t>
      </w:r>
      <w:r>
        <w:rPr>
          <w:rFonts w:ascii="Verdana" w:hAnsi="Verdana"/>
          <w:sz w:val="20"/>
          <w:szCs w:val="20"/>
        </w:rPr>
        <w:t>éstos</w:t>
      </w:r>
      <w:r w:rsidRPr="00D4312D">
        <w:rPr>
          <w:rFonts w:ascii="Verdana" w:hAnsi="Verdana"/>
          <w:sz w:val="20"/>
          <w:szCs w:val="20"/>
        </w:rPr>
        <w:t xml:space="preserve"> pueden ser afectados por la degradación ambiental y, a su vez, dado que</w:t>
      </w:r>
      <w:r>
        <w:rPr>
          <w:rFonts w:ascii="Verdana" w:hAnsi="Verdana"/>
          <w:sz w:val="20"/>
          <w:szCs w:val="20"/>
        </w:rPr>
        <w:t>, como se ha indicado en el ámbito de la Organización de las Naciones Unidas,</w:t>
      </w:r>
      <w:r w:rsidRPr="00D4312D">
        <w:rPr>
          <w:rFonts w:ascii="Verdana" w:hAnsi="Verdana"/>
          <w:sz w:val="20"/>
          <w:szCs w:val="20"/>
        </w:rPr>
        <w:t xml:space="preserve"> “la protección eficaz del </w:t>
      </w:r>
      <w:r w:rsidR="00D10B17">
        <w:rPr>
          <w:rFonts w:ascii="Verdana" w:hAnsi="Verdana"/>
          <w:sz w:val="20"/>
          <w:szCs w:val="20"/>
        </w:rPr>
        <w:t xml:space="preserve">[…] </w:t>
      </w:r>
      <w:r w:rsidRPr="00D4312D">
        <w:rPr>
          <w:rFonts w:ascii="Verdana" w:hAnsi="Verdana"/>
          <w:sz w:val="20"/>
          <w:szCs w:val="20"/>
        </w:rPr>
        <w:t>ambiente depende con frecuencia del ejercicio de derechos humanos”</w:t>
      </w:r>
      <w:r w:rsidRPr="008F640E">
        <w:rPr>
          <w:rStyle w:val="Refdenotaalpie"/>
          <w:rFonts w:ascii="Verdana" w:hAnsi="Verdana"/>
          <w:sz w:val="20"/>
        </w:rPr>
        <w:footnoteReference w:id="243"/>
      </w:r>
      <w:r w:rsidRPr="00D4312D">
        <w:rPr>
          <w:rFonts w:ascii="Verdana" w:hAnsi="Verdana"/>
          <w:sz w:val="20"/>
          <w:szCs w:val="20"/>
        </w:rPr>
        <w:t>.</w:t>
      </w:r>
    </w:p>
    <w:p w14:paraId="053565DE" w14:textId="77777777" w:rsidR="007C7E7C" w:rsidRPr="00D4312D" w:rsidRDefault="007C7E7C" w:rsidP="007C7E7C">
      <w:pPr>
        <w:pStyle w:val="Prrafodelista"/>
        <w:spacing w:line="240" w:lineRule="auto"/>
        <w:rPr>
          <w:rFonts w:ascii="Verdana" w:hAnsi="Verdana"/>
          <w:sz w:val="20"/>
          <w:szCs w:val="20"/>
          <w:lang w:val="es-CR"/>
        </w:rPr>
      </w:pPr>
    </w:p>
    <w:p w14:paraId="6C91ACB8" w14:textId="77777777" w:rsidR="007C7E7C" w:rsidRDefault="007C7E7C" w:rsidP="007C7E7C">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D4312D">
        <w:rPr>
          <w:rFonts w:ascii="Verdana" w:hAnsi="Verdana"/>
          <w:sz w:val="20"/>
          <w:szCs w:val="20"/>
          <w:lang w:val="es-CR"/>
        </w:rPr>
        <w:t>En este marco, hay amenazas ambientales que pueden incidir en la alimentación</w:t>
      </w:r>
      <w:r>
        <w:rPr>
          <w:rFonts w:ascii="Verdana" w:hAnsi="Verdana"/>
          <w:sz w:val="20"/>
          <w:szCs w:val="20"/>
          <w:lang w:val="es-CR"/>
        </w:rPr>
        <w:t>;</w:t>
      </w:r>
      <w:r w:rsidRPr="00D4312D">
        <w:rPr>
          <w:rFonts w:ascii="Verdana" w:hAnsi="Verdana"/>
          <w:sz w:val="20"/>
          <w:szCs w:val="20"/>
          <w:lang w:val="es-CR"/>
        </w:rPr>
        <w:t xml:space="preserve"> el derecho respectivo, como también el derecho a participar en la vida cultural</w:t>
      </w:r>
      <w:r>
        <w:rPr>
          <w:rFonts w:ascii="Verdana" w:hAnsi="Verdana"/>
          <w:sz w:val="20"/>
          <w:szCs w:val="20"/>
          <w:lang w:val="es-CR"/>
        </w:rPr>
        <w:t xml:space="preserve"> y el derecho al agua</w:t>
      </w:r>
      <w:r w:rsidRPr="00D4312D">
        <w:rPr>
          <w:rFonts w:ascii="Verdana" w:hAnsi="Verdana"/>
          <w:sz w:val="20"/>
          <w:szCs w:val="20"/>
          <w:lang w:val="es-CR"/>
        </w:rPr>
        <w:t>, resultan “particularmente vulnerables” a “afectaciones ambientales”</w:t>
      </w:r>
      <w:r>
        <w:rPr>
          <w:rFonts w:ascii="Verdana" w:hAnsi="Verdana"/>
          <w:sz w:val="20"/>
          <w:szCs w:val="20"/>
          <w:lang w:val="es-CR"/>
        </w:rPr>
        <w:t xml:space="preserve"> (</w:t>
      </w:r>
      <w:r>
        <w:rPr>
          <w:rFonts w:ascii="Verdana" w:hAnsi="Verdana"/>
          <w:i/>
          <w:sz w:val="20"/>
          <w:szCs w:val="20"/>
          <w:lang w:val="es-CR"/>
        </w:rPr>
        <w:t xml:space="preserve">supra </w:t>
      </w:r>
      <w:r>
        <w:rPr>
          <w:rFonts w:ascii="Verdana" w:hAnsi="Verdana"/>
          <w:sz w:val="20"/>
          <w:szCs w:val="20"/>
          <w:lang w:val="es-CR"/>
        </w:rPr>
        <w:t>párr. 228)</w:t>
      </w:r>
      <w:r w:rsidRPr="00D4312D">
        <w:rPr>
          <w:rFonts w:ascii="Verdana" w:hAnsi="Verdana"/>
          <w:sz w:val="20"/>
          <w:szCs w:val="20"/>
          <w:lang w:val="es-CR"/>
        </w:rPr>
        <w:t>. En ese sentido, el Comité DESC ha indicado que entre las “políticas” cuya “adopción” el derecho a la alimentación “requiere” se encuentran las “ambientales”</w:t>
      </w:r>
      <w:r w:rsidRPr="008F640E">
        <w:rPr>
          <w:rStyle w:val="Refdenotaalpie"/>
          <w:rFonts w:ascii="Verdana" w:hAnsi="Verdana"/>
          <w:sz w:val="20"/>
        </w:rPr>
        <w:footnoteReference w:id="244"/>
      </w:r>
      <w:r w:rsidRPr="00D4312D">
        <w:rPr>
          <w:rFonts w:ascii="Verdana" w:hAnsi="Verdana"/>
          <w:sz w:val="20"/>
          <w:szCs w:val="20"/>
          <w:lang w:val="es-CR"/>
        </w:rPr>
        <w:t>. Del mismo modo, ha señalado que “en las políticas y los programas medioambientales y de desarrollo económico”, los Estados deben “</w:t>
      </w:r>
      <w:r>
        <w:rPr>
          <w:rFonts w:ascii="Verdana" w:hAnsi="Verdana"/>
          <w:sz w:val="20"/>
          <w:szCs w:val="20"/>
          <w:lang w:val="es-CR"/>
        </w:rPr>
        <w:t xml:space="preserve">[r]espetar y </w:t>
      </w:r>
      <w:r w:rsidRPr="00D4312D">
        <w:rPr>
          <w:rFonts w:ascii="Verdana" w:hAnsi="Verdana"/>
          <w:sz w:val="20"/>
          <w:szCs w:val="20"/>
          <w:lang w:val="es-CR"/>
        </w:rPr>
        <w:t>proteger” el “patrimonio cultural de todos los grupos y comunidades, en particular de las personas y los grupos desfavorecidos y marginados”</w:t>
      </w:r>
      <w:r w:rsidRPr="008F640E">
        <w:rPr>
          <w:rStyle w:val="Refdenotaalpie"/>
          <w:rFonts w:ascii="Verdana" w:hAnsi="Verdana"/>
          <w:sz w:val="20"/>
          <w:lang w:val="es-CR"/>
        </w:rPr>
        <w:footnoteReference w:id="245"/>
      </w:r>
      <w:r w:rsidRPr="00D4312D">
        <w:rPr>
          <w:rFonts w:ascii="Verdana" w:hAnsi="Verdana"/>
          <w:sz w:val="20"/>
          <w:szCs w:val="20"/>
          <w:lang w:val="es-CR"/>
        </w:rPr>
        <w:t>.</w:t>
      </w:r>
    </w:p>
    <w:p w14:paraId="2B9BFC17" w14:textId="77777777" w:rsidR="007C7E7C" w:rsidRPr="00D4312D" w:rsidRDefault="007C7E7C" w:rsidP="007C7E7C">
      <w:pPr>
        <w:pStyle w:val="Prrafodelista"/>
        <w:spacing w:line="240" w:lineRule="auto"/>
        <w:rPr>
          <w:rFonts w:ascii="Verdana" w:hAnsi="Verdana"/>
          <w:sz w:val="20"/>
          <w:szCs w:val="20"/>
        </w:rPr>
      </w:pPr>
    </w:p>
    <w:p w14:paraId="1A22D1E7" w14:textId="03997082" w:rsidR="007C7E7C" w:rsidRPr="00BF0EF1" w:rsidRDefault="007C7E7C" w:rsidP="007C7E7C">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D4312D">
        <w:rPr>
          <w:rFonts w:ascii="Verdana" w:hAnsi="Verdana"/>
          <w:sz w:val="20"/>
          <w:szCs w:val="20"/>
        </w:rPr>
        <w:t>El Comité DESC ha señalado también que</w:t>
      </w:r>
      <w:r w:rsidR="00E21C50">
        <w:rPr>
          <w:rFonts w:ascii="Verdana" w:hAnsi="Verdana"/>
          <w:sz w:val="20"/>
          <w:szCs w:val="20"/>
        </w:rPr>
        <w:t>:</w:t>
      </w:r>
      <w:r w:rsidRPr="00D4312D">
        <w:rPr>
          <w:rFonts w:ascii="Verdana" w:hAnsi="Verdana"/>
          <w:sz w:val="20"/>
          <w:szCs w:val="20"/>
        </w:rPr>
        <w:t xml:space="preserve"> </w:t>
      </w:r>
    </w:p>
    <w:p w14:paraId="44DB52B3" w14:textId="77777777" w:rsidR="007C7E7C" w:rsidRPr="00BF0EF1" w:rsidRDefault="007C7E7C" w:rsidP="007C7E7C">
      <w:pPr>
        <w:pStyle w:val="Prrafodelista"/>
        <w:spacing w:line="240" w:lineRule="auto"/>
        <w:rPr>
          <w:rFonts w:ascii="Verdana" w:hAnsi="Verdana"/>
          <w:sz w:val="20"/>
          <w:szCs w:val="20"/>
        </w:rPr>
      </w:pPr>
    </w:p>
    <w:p w14:paraId="2D007751" w14:textId="77777777" w:rsidR="007C7E7C" w:rsidRPr="00BF0EF1" w:rsidRDefault="007C7E7C" w:rsidP="007C7E7C">
      <w:pPr>
        <w:pStyle w:val="Prrafodelista"/>
        <w:spacing w:after="0" w:line="240" w:lineRule="auto"/>
        <w:ind w:left="284" w:right="333"/>
        <w:jc w:val="both"/>
        <w:rPr>
          <w:rFonts w:ascii="Verdana" w:hAnsi="Verdana"/>
          <w:sz w:val="16"/>
          <w:szCs w:val="16"/>
        </w:rPr>
      </w:pPr>
      <w:r w:rsidRPr="00BF0EF1">
        <w:rPr>
          <w:rFonts w:ascii="Verdana" w:hAnsi="Verdana"/>
          <w:sz w:val="16"/>
          <w:szCs w:val="16"/>
        </w:rPr>
        <w:t>el derecho a una alimentación adecuada […] es indispensable para el disfrute de otros derechos humanos [e] inseparable de la justicia social, pues requiere la adopción de políticas económicas, ambientales y sociales adecuadas, en los planos nacional e internacional, orientadas a la erradicación de la pobreza y al disfrute de todos los derechos humanos por todos</w:t>
      </w:r>
      <w:r w:rsidRPr="00BF0EF1">
        <w:rPr>
          <w:rStyle w:val="Refdenotaalpie"/>
          <w:rFonts w:ascii="Verdana" w:hAnsi="Verdana"/>
          <w:sz w:val="16"/>
          <w:szCs w:val="16"/>
        </w:rPr>
        <w:footnoteReference w:id="246"/>
      </w:r>
      <w:r w:rsidRPr="00BF0EF1">
        <w:rPr>
          <w:rFonts w:ascii="Verdana" w:hAnsi="Verdana"/>
          <w:sz w:val="16"/>
          <w:szCs w:val="16"/>
        </w:rPr>
        <w:t xml:space="preserve">. </w:t>
      </w:r>
    </w:p>
    <w:p w14:paraId="05EE338C" w14:textId="77777777" w:rsidR="007C7E7C" w:rsidRDefault="007C7E7C" w:rsidP="007C7E7C">
      <w:pPr>
        <w:pStyle w:val="Prrafodelista"/>
        <w:spacing w:after="0" w:line="240" w:lineRule="auto"/>
        <w:ind w:left="0" w:right="6"/>
        <w:jc w:val="both"/>
        <w:rPr>
          <w:rFonts w:ascii="Verdana" w:hAnsi="Verdana"/>
          <w:sz w:val="20"/>
          <w:szCs w:val="20"/>
        </w:rPr>
      </w:pPr>
    </w:p>
    <w:p w14:paraId="1E3C4286" w14:textId="77777777" w:rsidR="007C7E7C" w:rsidRDefault="007C7E7C" w:rsidP="007C7E7C">
      <w:pPr>
        <w:pStyle w:val="Prrafodelista"/>
        <w:spacing w:after="0" w:line="240" w:lineRule="auto"/>
        <w:ind w:left="0" w:right="6"/>
        <w:jc w:val="both"/>
        <w:rPr>
          <w:rFonts w:ascii="Verdana" w:eastAsia="Batang" w:hAnsi="Verdana" w:cs="Times"/>
          <w:sz w:val="20"/>
          <w:szCs w:val="20"/>
          <w:lang w:val="es-CR" w:eastAsia="es-CR"/>
        </w:rPr>
      </w:pPr>
      <w:r w:rsidRPr="00D4312D">
        <w:rPr>
          <w:rFonts w:ascii="Verdana" w:hAnsi="Verdana"/>
          <w:sz w:val="20"/>
          <w:szCs w:val="20"/>
        </w:rPr>
        <w:t>A</w:t>
      </w:r>
      <w:r w:rsidRPr="00D4312D">
        <w:rPr>
          <w:rFonts w:ascii="Verdana" w:hAnsi="Verdana"/>
          <w:sz w:val="20"/>
          <w:szCs w:val="20"/>
          <w:lang w:val="es-HN"/>
        </w:rPr>
        <w:t xml:space="preserve">ñadió que </w:t>
      </w:r>
      <w:r w:rsidRPr="00D4312D">
        <w:rPr>
          <w:rFonts w:ascii="Verdana" w:hAnsi="Verdana"/>
          <w:sz w:val="20"/>
          <w:szCs w:val="20"/>
        </w:rPr>
        <w:t xml:space="preserve">“el significado preciso de </w:t>
      </w:r>
      <w:r>
        <w:rPr>
          <w:rFonts w:ascii="Verdana" w:hAnsi="Verdana"/>
          <w:sz w:val="20"/>
          <w:szCs w:val="20"/>
        </w:rPr>
        <w:t>‘</w:t>
      </w:r>
      <w:r w:rsidRPr="00D4312D">
        <w:rPr>
          <w:rFonts w:ascii="Verdana" w:hAnsi="Verdana"/>
          <w:sz w:val="20"/>
          <w:szCs w:val="20"/>
        </w:rPr>
        <w:t>adecuación</w:t>
      </w:r>
      <w:r>
        <w:rPr>
          <w:rFonts w:ascii="Verdana" w:hAnsi="Verdana"/>
          <w:sz w:val="20"/>
          <w:szCs w:val="20"/>
        </w:rPr>
        <w:t>’</w:t>
      </w:r>
      <w:r w:rsidRPr="00D4312D">
        <w:rPr>
          <w:rFonts w:ascii="Verdana" w:hAnsi="Verdana"/>
          <w:sz w:val="20"/>
          <w:szCs w:val="20"/>
        </w:rPr>
        <w:t xml:space="preserve"> viene determinado en buena medida por las condiciones sociales, económicas, culturales, climáticas, ecológicas y de otro tipo imperantes en el momento”</w:t>
      </w:r>
      <w:r w:rsidRPr="008F640E">
        <w:rPr>
          <w:rStyle w:val="Refdenotaalpie"/>
          <w:rFonts w:ascii="Verdana" w:hAnsi="Verdana"/>
          <w:sz w:val="20"/>
        </w:rPr>
        <w:footnoteReference w:id="247"/>
      </w:r>
      <w:r w:rsidRPr="00D4312D">
        <w:rPr>
          <w:rFonts w:ascii="Verdana" w:hAnsi="Verdana"/>
          <w:sz w:val="20"/>
          <w:szCs w:val="20"/>
        </w:rPr>
        <w:t xml:space="preserve">. </w:t>
      </w:r>
      <w:r w:rsidRPr="00B81D59">
        <w:rPr>
          <w:rFonts w:ascii="Verdana" w:hAnsi="Verdana"/>
          <w:sz w:val="20"/>
          <w:szCs w:val="20"/>
        </w:rPr>
        <w:t xml:space="preserve">El Grupo </w:t>
      </w:r>
      <w:r>
        <w:rPr>
          <w:rFonts w:ascii="Verdana" w:hAnsi="Verdana"/>
          <w:sz w:val="20"/>
          <w:szCs w:val="20"/>
        </w:rPr>
        <w:t>sobre</w:t>
      </w:r>
      <w:r w:rsidRPr="00B81D59">
        <w:rPr>
          <w:rFonts w:ascii="Verdana" w:hAnsi="Verdana"/>
          <w:sz w:val="20"/>
          <w:szCs w:val="20"/>
        </w:rPr>
        <w:t xml:space="preserve"> el PSS ha indicado, en el mismo sentido, que es “necesario” considerar la </w:t>
      </w:r>
      <w:r w:rsidRPr="00BF0EF1">
        <w:rPr>
          <w:rFonts w:ascii="Verdana" w:hAnsi="Verdana"/>
          <w:sz w:val="20"/>
          <w:szCs w:val="20"/>
        </w:rPr>
        <w:t>“</w:t>
      </w:r>
      <w:r w:rsidRPr="00B81D59">
        <w:rPr>
          <w:rFonts w:ascii="Verdana" w:hAnsi="Verdana"/>
          <w:sz w:val="20"/>
          <w:szCs w:val="20"/>
        </w:rPr>
        <w:t>dimensi</w:t>
      </w:r>
      <w:r w:rsidRPr="00BF0EF1">
        <w:rPr>
          <w:rFonts w:ascii="Verdana" w:hAnsi="Verdana"/>
          <w:sz w:val="20"/>
          <w:szCs w:val="20"/>
        </w:rPr>
        <w:t>[</w:t>
      </w:r>
      <w:r w:rsidRPr="00B81D59">
        <w:rPr>
          <w:rFonts w:ascii="Verdana" w:hAnsi="Verdana"/>
          <w:sz w:val="20"/>
          <w:szCs w:val="20"/>
        </w:rPr>
        <w:t>ón</w:t>
      </w:r>
      <w:r w:rsidRPr="00BF0EF1">
        <w:rPr>
          <w:rFonts w:ascii="Verdana" w:hAnsi="Verdana"/>
          <w:sz w:val="20"/>
          <w:szCs w:val="20"/>
        </w:rPr>
        <w:t>…]</w:t>
      </w:r>
      <w:r w:rsidRPr="00B81D59">
        <w:rPr>
          <w:rFonts w:ascii="Verdana" w:hAnsi="Verdana"/>
          <w:sz w:val="20"/>
          <w:szCs w:val="20"/>
        </w:rPr>
        <w:t xml:space="preserve"> cultural” del derecho a la alimentación</w:t>
      </w:r>
      <w:r w:rsidRPr="00BF0EF1">
        <w:rPr>
          <w:rFonts w:ascii="Verdana" w:hAnsi="Verdana"/>
          <w:sz w:val="20"/>
          <w:szCs w:val="20"/>
        </w:rPr>
        <w:t xml:space="preserve"> adecuada</w:t>
      </w:r>
      <w:r w:rsidRPr="00B81D59">
        <w:rPr>
          <w:rFonts w:ascii="Verdana" w:hAnsi="Verdana"/>
          <w:sz w:val="20"/>
          <w:szCs w:val="20"/>
        </w:rPr>
        <w:t xml:space="preserve"> y que “</w:t>
      </w:r>
      <w:r w:rsidRPr="00B81D59">
        <w:rPr>
          <w:rFonts w:ascii="Verdana" w:hAnsi="Verdana"/>
          <w:sz w:val="20"/>
          <w:szCs w:val="20"/>
          <w:lang w:val="es-HN"/>
        </w:rPr>
        <w:t>en</w:t>
      </w:r>
      <w:r w:rsidRPr="00B81D59">
        <w:rPr>
          <w:rFonts w:ascii="Verdana" w:hAnsi="Verdana"/>
          <w:spacing w:val="25"/>
          <w:sz w:val="20"/>
          <w:szCs w:val="20"/>
          <w:lang w:val="es-HN"/>
        </w:rPr>
        <w:t xml:space="preserve"> </w:t>
      </w:r>
      <w:r w:rsidRPr="00B81D59">
        <w:rPr>
          <w:rFonts w:ascii="Verdana" w:hAnsi="Verdana"/>
          <w:sz w:val="20"/>
          <w:szCs w:val="20"/>
          <w:lang w:val="es-HN"/>
        </w:rPr>
        <w:t>tan</w:t>
      </w:r>
      <w:r w:rsidRPr="00B81D59">
        <w:rPr>
          <w:rFonts w:ascii="Verdana" w:hAnsi="Verdana"/>
          <w:spacing w:val="-1"/>
          <w:sz w:val="20"/>
          <w:szCs w:val="20"/>
          <w:lang w:val="es-HN"/>
        </w:rPr>
        <w:t>t</w:t>
      </w:r>
      <w:r w:rsidRPr="00B81D59">
        <w:rPr>
          <w:rFonts w:ascii="Verdana" w:hAnsi="Verdana"/>
          <w:sz w:val="20"/>
          <w:szCs w:val="20"/>
          <w:lang w:val="es-HN"/>
        </w:rPr>
        <w:t>o</w:t>
      </w:r>
      <w:r w:rsidRPr="00B81D59">
        <w:rPr>
          <w:rFonts w:ascii="Verdana" w:hAnsi="Verdana"/>
          <w:spacing w:val="26"/>
          <w:sz w:val="20"/>
          <w:szCs w:val="20"/>
          <w:lang w:val="es-HN"/>
        </w:rPr>
        <w:t xml:space="preserve"> </w:t>
      </w:r>
      <w:r w:rsidRPr="00B81D59">
        <w:rPr>
          <w:rFonts w:ascii="Verdana" w:hAnsi="Verdana"/>
          <w:sz w:val="20"/>
          <w:szCs w:val="20"/>
          <w:lang w:val="es-HN"/>
        </w:rPr>
        <w:t>la ali</w:t>
      </w:r>
      <w:r w:rsidRPr="00B81D59">
        <w:rPr>
          <w:rFonts w:ascii="Verdana" w:hAnsi="Verdana"/>
          <w:spacing w:val="-2"/>
          <w:sz w:val="20"/>
          <w:szCs w:val="20"/>
          <w:lang w:val="es-HN"/>
        </w:rPr>
        <w:t>m</w:t>
      </w:r>
      <w:r w:rsidRPr="00B81D59">
        <w:rPr>
          <w:rFonts w:ascii="Verdana" w:hAnsi="Verdana"/>
          <w:sz w:val="20"/>
          <w:szCs w:val="20"/>
          <w:lang w:val="es-HN"/>
        </w:rPr>
        <w:t>entación</w:t>
      </w:r>
      <w:r w:rsidRPr="00B81D59">
        <w:rPr>
          <w:rFonts w:ascii="Verdana" w:hAnsi="Verdana"/>
          <w:spacing w:val="20"/>
          <w:sz w:val="20"/>
          <w:szCs w:val="20"/>
          <w:lang w:val="es-HN"/>
        </w:rPr>
        <w:t xml:space="preserve"> </w:t>
      </w:r>
      <w:r w:rsidRPr="00B81D59">
        <w:rPr>
          <w:rFonts w:ascii="Verdana" w:hAnsi="Verdana"/>
          <w:sz w:val="20"/>
          <w:szCs w:val="20"/>
          <w:lang w:val="es-HN"/>
        </w:rPr>
        <w:t>es</w:t>
      </w:r>
      <w:r w:rsidRPr="00B81D59">
        <w:rPr>
          <w:rFonts w:ascii="Verdana" w:hAnsi="Verdana"/>
          <w:spacing w:val="25"/>
          <w:sz w:val="20"/>
          <w:szCs w:val="20"/>
          <w:lang w:val="es-HN"/>
        </w:rPr>
        <w:t xml:space="preserve"> </w:t>
      </w:r>
      <w:r w:rsidRPr="00B81D59">
        <w:rPr>
          <w:rFonts w:ascii="Verdana" w:hAnsi="Verdana"/>
          <w:sz w:val="20"/>
          <w:szCs w:val="20"/>
          <w:lang w:val="es-HN"/>
        </w:rPr>
        <w:t>una</w:t>
      </w:r>
      <w:r w:rsidRPr="00B81D59">
        <w:rPr>
          <w:rFonts w:ascii="Verdana" w:hAnsi="Verdana"/>
          <w:spacing w:val="24"/>
          <w:sz w:val="20"/>
          <w:szCs w:val="20"/>
          <w:lang w:val="es-HN"/>
        </w:rPr>
        <w:t xml:space="preserve"> </w:t>
      </w:r>
      <w:r w:rsidRPr="00B81D59">
        <w:rPr>
          <w:rFonts w:ascii="Verdana" w:hAnsi="Verdana"/>
          <w:sz w:val="20"/>
          <w:szCs w:val="20"/>
          <w:lang w:val="es-HN"/>
        </w:rPr>
        <w:t>expresión</w:t>
      </w:r>
      <w:r w:rsidRPr="00B81D59">
        <w:rPr>
          <w:rFonts w:ascii="Verdana" w:hAnsi="Verdana"/>
          <w:spacing w:val="19"/>
          <w:sz w:val="20"/>
          <w:szCs w:val="20"/>
          <w:lang w:val="es-HN"/>
        </w:rPr>
        <w:t xml:space="preserve"> </w:t>
      </w:r>
      <w:r w:rsidRPr="00B81D59">
        <w:rPr>
          <w:rFonts w:ascii="Verdana" w:hAnsi="Verdana"/>
          <w:sz w:val="20"/>
          <w:szCs w:val="20"/>
          <w:lang w:val="es-HN"/>
        </w:rPr>
        <w:t>cultural</w:t>
      </w:r>
      <w:r w:rsidRPr="00B81D59">
        <w:rPr>
          <w:rFonts w:ascii="Verdana" w:hAnsi="Verdana"/>
          <w:spacing w:val="21"/>
          <w:sz w:val="20"/>
          <w:szCs w:val="20"/>
          <w:lang w:val="es-HN"/>
        </w:rPr>
        <w:t xml:space="preserve"> </w:t>
      </w:r>
      <w:r w:rsidRPr="00B81D59">
        <w:rPr>
          <w:rFonts w:ascii="Verdana" w:hAnsi="Verdana"/>
          <w:sz w:val="20"/>
          <w:szCs w:val="20"/>
          <w:lang w:val="es-HN"/>
        </w:rPr>
        <w:t>de</w:t>
      </w:r>
      <w:r w:rsidRPr="00B81D59">
        <w:rPr>
          <w:rFonts w:ascii="Verdana" w:hAnsi="Verdana"/>
          <w:spacing w:val="25"/>
          <w:sz w:val="20"/>
          <w:szCs w:val="20"/>
          <w:lang w:val="es-HN"/>
        </w:rPr>
        <w:t xml:space="preserve"> </w:t>
      </w:r>
      <w:r w:rsidRPr="00B81D59">
        <w:rPr>
          <w:rFonts w:ascii="Verdana" w:hAnsi="Verdana"/>
          <w:sz w:val="20"/>
          <w:szCs w:val="20"/>
          <w:lang w:val="es-HN"/>
        </w:rPr>
        <w:t>los</w:t>
      </w:r>
      <w:r w:rsidRPr="00B81D59">
        <w:rPr>
          <w:rFonts w:ascii="Verdana" w:hAnsi="Verdana"/>
          <w:spacing w:val="25"/>
          <w:sz w:val="20"/>
          <w:szCs w:val="20"/>
          <w:lang w:val="es-HN"/>
        </w:rPr>
        <w:t xml:space="preserve"> </w:t>
      </w:r>
      <w:r w:rsidRPr="00B81D59">
        <w:rPr>
          <w:rFonts w:ascii="Verdana" w:hAnsi="Verdana"/>
          <w:sz w:val="20"/>
          <w:szCs w:val="20"/>
          <w:lang w:val="es-HN"/>
        </w:rPr>
        <w:t>pueblos</w:t>
      </w:r>
      <w:r w:rsidRPr="00B81D59">
        <w:rPr>
          <w:rFonts w:ascii="Verdana" w:hAnsi="Verdana"/>
          <w:spacing w:val="21"/>
          <w:sz w:val="20"/>
          <w:szCs w:val="20"/>
          <w:lang w:val="es-HN"/>
        </w:rPr>
        <w:t xml:space="preserve"> </w:t>
      </w:r>
      <w:r w:rsidRPr="00B81D59">
        <w:rPr>
          <w:rFonts w:ascii="Verdana" w:hAnsi="Verdana"/>
          <w:sz w:val="20"/>
          <w:szCs w:val="20"/>
          <w:lang w:val="es-HN"/>
        </w:rPr>
        <w:t>es necesario</w:t>
      </w:r>
      <w:r w:rsidRPr="00B81D59">
        <w:rPr>
          <w:rFonts w:ascii="Verdana" w:hAnsi="Verdana"/>
          <w:spacing w:val="28"/>
          <w:sz w:val="20"/>
          <w:szCs w:val="20"/>
          <w:lang w:val="es-HN"/>
        </w:rPr>
        <w:t xml:space="preserve"> </w:t>
      </w:r>
      <w:r w:rsidRPr="00B81D59">
        <w:rPr>
          <w:rFonts w:ascii="Verdana" w:hAnsi="Verdana"/>
          <w:sz w:val="20"/>
          <w:szCs w:val="20"/>
          <w:lang w:val="es-HN"/>
        </w:rPr>
        <w:t>su</w:t>
      </w:r>
      <w:r w:rsidRPr="00B81D59">
        <w:rPr>
          <w:rFonts w:ascii="Verdana" w:hAnsi="Verdana"/>
          <w:spacing w:val="27"/>
          <w:sz w:val="20"/>
          <w:szCs w:val="20"/>
          <w:lang w:val="es-HN"/>
        </w:rPr>
        <w:t xml:space="preserve"> </w:t>
      </w:r>
      <w:r w:rsidRPr="00B81D59">
        <w:rPr>
          <w:rFonts w:ascii="Verdana" w:hAnsi="Verdana"/>
          <w:sz w:val="20"/>
          <w:szCs w:val="20"/>
          <w:lang w:val="es-HN"/>
        </w:rPr>
        <w:t>trata</w:t>
      </w:r>
      <w:r w:rsidRPr="00B81D59">
        <w:rPr>
          <w:rFonts w:ascii="Verdana" w:hAnsi="Verdana"/>
          <w:spacing w:val="-2"/>
          <w:sz w:val="20"/>
          <w:szCs w:val="20"/>
          <w:lang w:val="es-HN"/>
        </w:rPr>
        <w:t>m</w:t>
      </w:r>
      <w:r w:rsidRPr="00B81D59">
        <w:rPr>
          <w:rFonts w:ascii="Verdana" w:hAnsi="Verdana"/>
          <w:spacing w:val="1"/>
          <w:sz w:val="20"/>
          <w:szCs w:val="20"/>
          <w:lang w:val="es-HN"/>
        </w:rPr>
        <w:t>i</w:t>
      </w:r>
      <w:r w:rsidRPr="00B81D59">
        <w:rPr>
          <w:rFonts w:ascii="Verdana" w:hAnsi="Verdana"/>
          <w:sz w:val="20"/>
          <w:szCs w:val="20"/>
          <w:lang w:val="es-HN"/>
        </w:rPr>
        <w:t>ento</w:t>
      </w:r>
      <w:r w:rsidRPr="00B81D59">
        <w:rPr>
          <w:rFonts w:ascii="Verdana" w:hAnsi="Verdana"/>
          <w:spacing w:val="25"/>
          <w:sz w:val="20"/>
          <w:szCs w:val="20"/>
          <w:lang w:val="es-HN"/>
        </w:rPr>
        <w:t xml:space="preserve"> </w:t>
      </w:r>
      <w:r w:rsidRPr="00B81D59">
        <w:rPr>
          <w:rFonts w:ascii="Verdana" w:hAnsi="Verdana"/>
          <w:sz w:val="20"/>
          <w:szCs w:val="20"/>
          <w:lang w:val="es-HN"/>
        </w:rPr>
        <w:t>integral</w:t>
      </w:r>
      <w:r w:rsidRPr="00B81D59">
        <w:rPr>
          <w:rFonts w:ascii="Verdana" w:hAnsi="Verdana"/>
          <w:spacing w:val="22"/>
          <w:sz w:val="20"/>
          <w:szCs w:val="20"/>
          <w:lang w:val="es-HN"/>
        </w:rPr>
        <w:t xml:space="preserve"> </w:t>
      </w:r>
      <w:r w:rsidRPr="00B81D59">
        <w:rPr>
          <w:rFonts w:ascii="Verdana" w:hAnsi="Verdana"/>
          <w:sz w:val="20"/>
          <w:szCs w:val="20"/>
          <w:lang w:val="es-HN"/>
        </w:rPr>
        <w:t>y</w:t>
      </w:r>
      <w:r w:rsidRPr="00B81D59">
        <w:rPr>
          <w:rFonts w:ascii="Verdana" w:hAnsi="Verdana"/>
          <w:spacing w:val="28"/>
          <w:sz w:val="20"/>
          <w:szCs w:val="20"/>
          <w:lang w:val="es-HN"/>
        </w:rPr>
        <w:t xml:space="preserve"> </w:t>
      </w:r>
      <w:r w:rsidRPr="00B81D59">
        <w:rPr>
          <w:rFonts w:ascii="Verdana" w:hAnsi="Verdana"/>
          <w:sz w:val="20"/>
          <w:szCs w:val="20"/>
          <w:lang w:val="es-HN"/>
        </w:rPr>
        <w:t>en</w:t>
      </w:r>
      <w:r w:rsidRPr="00B81D59">
        <w:rPr>
          <w:rFonts w:ascii="Verdana" w:hAnsi="Verdana"/>
          <w:spacing w:val="25"/>
          <w:sz w:val="20"/>
          <w:szCs w:val="20"/>
          <w:lang w:val="es-HN"/>
        </w:rPr>
        <w:t xml:space="preserve"> </w:t>
      </w:r>
      <w:r w:rsidRPr="00B81D59">
        <w:rPr>
          <w:rFonts w:ascii="Verdana" w:hAnsi="Verdana"/>
          <w:sz w:val="20"/>
          <w:szCs w:val="20"/>
          <w:lang w:val="es-HN"/>
        </w:rPr>
        <w:t>directa int</w:t>
      </w:r>
      <w:r w:rsidRPr="00B81D59">
        <w:rPr>
          <w:rFonts w:ascii="Verdana" w:hAnsi="Verdana"/>
          <w:spacing w:val="-3"/>
          <w:sz w:val="20"/>
          <w:szCs w:val="20"/>
          <w:lang w:val="es-HN"/>
        </w:rPr>
        <w:t>e</w:t>
      </w:r>
      <w:r w:rsidRPr="00B81D59">
        <w:rPr>
          <w:rFonts w:ascii="Verdana" w:hAnsi="Verdana"/>
          <w:sz w:val="20"/>
          <w:szCs w:val="20"/>
          <w:lang w:val="es-HN"/>
        </w:rPr>
        <w:t>rdependencia</w:t>
      </w:r>
      <w:r w:rsidRPr="00B81D59">
        <w:rPr>
          <w:rFonts w:ascii="Verdana" w:hAnsi="Verdana"/>
          <w:spacing w:val="17"/>
          <w:sz w:val="20"/>
          <w:szCs w:val="20"/>
          <w:lang w:val="es-HN"/>
        </w:rPr>
        <w:t xml:space="preserve"> </w:t>
      </w:r>
      <w:r w:rsidRPr="00B81D59">
        <w:rPr>
          <w:rFonts w:ascii="Verdana" w:hAnsi="Verdana"/>
          <w:sz w:val="20"/>
          <w:szCs w:val="20"/>
          <w:lang w:val="es-HN"/>
        </w:rPr>
        <w:t>entre</w:t>
      </w:r>
      <w:r w:rsidRPr="00B81D59">
        <w:rPr>
          <w:rFonts w:ascii="Verdana" w:hAnsi="Verdana"/>
          <w:spacing w:val="24"/>
          <w:sz w:val="20"/>
          <w:szCs w:val="20"/>
          <w:lang w:val="es-HN"/>
        </w:rPr>
        <w:t xml:space="preserve"> </w:t>
      </w:r>
      <w:r w:rsidRPr="00B81D59">
        <w:rPr>
          <w:rFonts w:ascii="Verdana" w:hAnsi="Verdana"/>
          <w:sz w:val="20"/>
          <w:szCs w:val="20"/>
          <w:lang w:val="es-HN"/>
        </w:rPr>
        <w:t>derechos</w:t>
      </w:r>
      <w:r w:rsidRPr="00B81D59">
        <w:rPr>
          <w:rFonts w:ascii="Verdana" w:hAnsi="Verdana"/>
          <w:spacing w:val="22"/>
          <w:sz w:val="20"/>
          <w:szCs w:val="20"/>
          <w:lang w:val="es-HN"/>
        </w:rPr>
        <w:t xml:space="preserve"> </w:t>
      </w:r>
      <w:r w:rsidRPr="00B81D59">
        <w:rPr>
          <w:rFonts w:ascii="Verdana" w:hAnsi="Verdana"/>
          <w:sz w:val="20"/>
          <w:szCs w:val="20"/>
          <w:lang w:val="es-HN"/>
        </w:rPr>
        <w:t>civiles,</w:t>
      </w:r>
      <w:r w:rsidRPr="00B81D59">
        <w:rPr>
          <w:rFonts w:ascii="Verdana" w:hAnsi="Verdana"/>
          <w:spacing w:val="22"/>
          <w:sz w:val="20"/>
          <w:szCs w:val="20"/>
          <w:lang w:val="es-HN"/>
        </w:rPr>
        <w:t xml:space="preserve"> </w:t>
      </w:r>
      <w:r w:rsidRPr="00B81D59">
        <w:rPr>
          <w:rFonts w:ascii="Verdana" w:hAnsi="Verdana"/>
          <w:sz w:val="20"/>
          <w:szCs w:val="20"/>
          <w:lang w:val="es-HN"/>
        </w:rPr>
        <w:t>políticos</w:t>
      </w:r>
      <w:r w:rsidRPr="00B81D59">
        <w:rPr>
          <w:rFonts w:ascii="Verdana" w:hAnsi="Verdana"/>
          <w:spacing w:val="21"/>
          <w:sz w:val="20"/>
          <w:szCs w:val="20"/>
          <w:lang w:val="es-HN"/>
        </w:rPr>
        <w:t xml:space="preserve"> </w:t>
      </w:r>
      <w:r w:rsidRPr="00B81D59">
        <w:rPr>
          <w:rFonts w:ascii="Verdana" w:hAnsi="Verdana"/>
          <w:sz w:val="20"/>
          <w:szCs w:val="20"/>
          <w:lang w:val="es-HN"/>
        </w:rPr>
        <w:t>y</w:t>
      </w:r>
      <w:r w:rsidRPr="00B81D59">
        <w:rPr>
          <w:rFonts w:ascii="Verdana" w:hAnsi="Verdana"/>
          <w:spacing w:val="-1"/>
          <w:sz w:val="20"/>
          <w:szCs w:val="20"/>
          <w:lang w:val="es-HN"/>
        </w:rPr>
        <w:t xml:space="preserve"> </w:t>
      </w:r>
      <w:r w:rsidRPr="00B81D59">
        <w:rPr>
          <w:rFonts w:ascii="Verdana" w:hAnsi="Verdana"/>
          <w:sz w:val="20"/>
          <w:szCs w:val="20"/>
          <w:lang w:val="es-HN"/>
        </w:rPr>
        <w:t>econó</w:t>
      </w:r>
      <w:r w:rsidRPr="00B81D59">
        <w:rPr>
          <w:rFonts w:ascii="Verdana" w:hAnsi="Verdana"/>
          <w:spacing w:val="-2"/>
          <w:sz w:val="20"/>
          <w:szCs w:val="20"/>
          <w:lang w:val="es-HN"/>
        </w:rPr>
        <w:t>m</w:t>
      </w:r>
      <w:r w:rsidRPr="00B81D59">
        <w:rPr>
          <w:rFonts w:ascii="Verdana" w:hAnsi="Verdana"/>
          <w:sz w:val="20"/>
          <w:szCs w:val="20"/>
          <w:lang w:val="es-HN"/>
        </w:rPr>
        <w:t>icos, sociales</w:t>
      </w:r>
      <w:r w:rsidRPr="00B81D59">
        <w:rPr>
          <w:rFonts w:ascii="Verdana" w:hAnsi="Verdana"/>
          <w:spacing w:val="-6"/>
          <w:sz w:val="20"/>
          <w:szCs w:val="20"/>
          <w:lang w:val="es-HN"/>
        </w:rPr>
        <w:t xml:space="preserve"> </w:t>
      </w:r>
      <w:r w:rsidRPr="00B81D59">
        <w:rPr>
          <w:rFonts w:ascii="Verdana" w:hAnsi="Verdana"/>
          <w:sz w:val="20"/>
          <w:szCs w:val="20"/>
          <w:lang w:val="es-HN"/>
        </w:rPr>
        <w:t>y</w:t>
      </w:r>
      <w:r w:rsidRPr="00B81D59">
        <w:rPr>
          <w:rFonts w:ascii="Verdana" w:hAnsi="Verdana"/>
          <w:spacing w:val="1"/>
          <w:sz w:val="20"/>
          <w:szCs w:val="20"/>
          <w:lang w:val="es-HN"/>
        </w:rPr>
        <w:t xml:space="preserve"> </w:t>
      </w:r>
      <w:r w:rsidRPr="00B81D59">
        <w:rPr>
          <w:rFonts w:ascii="Verdana" w:hAnsi="Verdana"/>
          <w:sz w:val="20"/>
          <w:szCs w:val="20"/>
          <w:lang w:val="es-HN"/>
        </w:rPr>
        <w:t>culturales”</w:t>
      </w:r>
      <w:r w:rsidRPr="00B81D59">
        <w:rPr>
          <w:rStyle w:val="Refdenotaalpie"/>
          <w:rFonts w:ascii="Verdana" w:hAnsi="Verdana"/>
          <w:sz w:val="20"/>
          <w:lang w:val="es-HN"/>
        </w:rPr>
        <w:footnoteReference w:id="248"/>
      </w:r>
      <w:r w:rsidRPr="00B81D59">
        <w:rPr>
          <w:rFonts w:ascii="Verdana" w:hAnsi="Verdana"/>
          <w:sz w:val="20"/>
          <w:szCs w:val="20"/>
          <w:lang w:val="es-HN"/>
        </w:rPr>
        <w:t>.</w:t>
      </w:r>
      <w:r w:rsidRPr="00D4312D">
        <w:rPr>
          <w:rFonts w:ascii="Verdana" w:hAnsi="Verdana"/>
          <w:sz w:val="20"/>
          <w:szCs w:val="20"/>
          <w:lang w:val="es-HN"/>
        </w:rPr>
        <w:t xml:space="preserve"> </w:t>
      </w:r>
    </w:p>
    <w:p w14:paraId="08D0DF28" w14:textId="77777777" w:rsidR="007C7E7C" w:rsidRPr="00D4312D" w:rsidRDefault="007C7E7C" w:rsidP="007C7E7C">
      <w:pPr>
        <w:pStyle w:val="Prrafodelista"/>
        <w:spacing w:line="240" w:lineRule="auto"/>
        <w:rPr>
          <w:rFonts w:ascii="Verdana" w:hAnsi="Verdana"/>
          <w:sz w:val="20"/>
          <w:szCs w:val="20"/>
        </w:rPr>
      </w:pPr>
    </w:p>
    <w:p w14:paraId="500DB827" w14:textId="77777777" w:rsidR="007C7E7C" w:rsidRDefault="007C7E7C" w:rsidP="007C7E7C">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D4312D">
        <w:rPr>
          <w:rFonts w:ascii="Verdana" w:hAnsi="Verdana"/>
          <w:sz w:val="20"/>
          <w:szCs w:val="20"/>
        </w:rPr>
        <w:t xml:space="preserve">Respecto a los pueblos indígenas en particular, debe señalarse que el </w:t>
      </w:r>
      <w:r w:rsidRPr="00EE7987">
        <w:rPr>
          <w:rFonts w:ascii="Verdana" w:hAnsi="Verdana"/>
          <w:sz w:val="20"/>
          <w:szCs w:val="20"/>
        </w:rPr>
        <w:t>Convenio 169</w:t>
      </w:r>
      <w:r w:rsidRPr="00D4312D">
        <w:rPr>
          <w:rFonts w:ascii="Verdana" w:hAnsi="Verdana"/>
          <w:sz w:val="20"/>
          <w:szCs w:val="20"/>
        </w:rPr>
        <w:t>, en sus artículos 4.1, 7.1, 15.1</w:t>
      </w:r>
      <w:r>
        <w:rPr>
          <w:rFonts w:ascii="Verdana" w:hAnsi="Verdana"/>
          <w:sz w:val="20"/>
          <w:szCs w:val="20"/>
        </w:rPr>
        <w:t xml:space="preserve"> y</w:t>
      </w:r>
      <w:r w:rsidRPr="00D4312D">
        <w:rPr>
          <w:rFonts w:ascii="Verdana" w:hAnsi="Verdana"/>
          <w:sz w:val="20"/>
          <w:szCs w:val="20"/>
        </w:rPr>
        <w:t xml:space="preserve"> 23, establece, respectivamente, la obligación estatal de “adoptar […]</w:t>
      </w:r>
      <w:r>
        <w:rPr>
          <w:rFonts w:ascii="Verdana" w:hAnsi="Verdana"/>
          <w:sz w:val="20"/>
          <w:szCs w:val="20"/>
        </w:rPr>
        <w:t xml:space="preserve"> </w:t>
      </w:r>
      <w:r w:rsidRPr="00D4312D">
        <w:rPr>
          <w:rFonts w:ascii="Verdana" w:hAnsi="Verdana"/>
          <w:sz w:val="20"/>
          <w:szCs w:val="20"/>
        </w:rPr>
        <w:t xml:space="preserve">las medidas especiales que se precisen para salvaguardar […] </w:t>
      </w:r>
      <w:r>
        <w:rPr>
          <w:rFonts w:ascii="Verdana" w:hAnsi="Verdana"/>
          <w:sz w:val="20"/>
          <w:szCs w:val="20"/>
        </w:rPr>
        <w:t xml:space="preserve">las culturas y </w:t>
      </w:r>
      <w:r w:rsidRPr="00D4312D">
        <w:rPr>
          <w:rFonts w:ascii="Verdana" w:hAnsi="Verdana"/>
          <w:sz w:val="20"/>
          <w:szCs w:val="20"/>
        </w:rPr>
        <w:t xml:space="preserve">el medio ambiente de los pueblos </w:t>
      </w:r>
      <w:r>
        <w:rPr>
          <w:rFonts w:ascii="Verdana" w:hAnsi="Verdana"/>
          <w:sz w:val="20"/>
          <w:szCs w:val="20"/>
        </w:rPr>
        <w:t>[indígenas o tribales]</w:t>
      </w:r>
      <w:r w:rsidRPr="00D4312D">
        <w:rPr>
          <w:rFonts w:ascii="Verdana" w:hAnsi="Verdana"/>
          <w:sz w:val="20"/>
          <w:szCs w:val="20"/>
        </w:rPr>
        <w:t xml:space="preserve">”; el derecho de </w:t>
      </w:r>
      <w:r>
        <w:rPr>
          <w:rFonts w:ascii="Verdana" w:hAnsi="Verdana"/>
          <w:sz w:val="20"/>
          <w:szCs w:val="20"/>
        </w:rPr>
        <w:lastRenderedPageBreak/>
        <w:t>tales</w:t>
      </w:r>
      <w:r w:rsidRPr="00D4312D">
        <w:rPr>
          <w:rFonts w:ascii="Verdana" w:hAnsi="Verdana"/>
          <w:sz w:val="20"/>
          <w:szCs w:val="20"/>
        </w:rPr>
        <w:t xml:space="preserve"> pueblos a “decidir sus propias prioridades en lo que atañe al proceso de desarrollo, en la medida en que éste afecte a</w:t>
      </w:r>
      <w:r>
        <w:rPr>
          <w:rFonts w:ascii="Verdana" w:hAnsi="Verdana"/>
          <w:sz w:val="20"/>
          <w:szCs w:val="20"/>
        </w:rPr>
        <w:t xml:space="preserve"> sus vidas</w:t>
      </w:r>
      <w:r w:rsidRPr="00D4312D">
        <w:rPr>
          <w:rFonts w:ascii="Verdana" w:hAnsi="Verdana"/>
          <w:sz w:val="20"/>
          <w:szCs w:val="20"/>
        </w:rPr>
        <w:t xml:space="preserve"> […] </w:t>
      </w:r>
      <w:r>
        <w:rPr>
          <w:rFonts w:ascii="Verdana" w:hAnsi="Verdana"/>
          <w:sz w:val="20"/>
          <w:szCs w:val="20"/>
        </w:rPr>
        <w:t xml:space="preserve">y </w:t>
      </w:r>
      <w:r w:rsidRPr="00D4312D">
        <w:rPr>
          <w:rFonts w:ascii="Verdana" w:hAnsi="Verdana"/>
          <w:sz w:val="20"/>
          <w:szCs w:val="20"/>
        </w:rPr>
        <w:t xml:space="preserve">a las tierras que ocupan o utilizan de alguna manera”; “los derechos de los pueblos </w:t>
      </w:r>
      <w:r>
        <w:rPr>
          <w:rFonts w:ascii="Verdana" w:hAnsi="Verdana"/>
          <w:sz w:val="20"/>
          <w:szCs w:val="20"/>
        </w:rPr>
        <w:t>[referidos]</w:t>
      </w:r>
      <w:r w:rsidRPr="00D4312D">
        <w:rPr>
          <w:rFonts w:ascii="Verdana" w:hAnsi="Verdana"/>
          <w:sz w:val="20"/>
          <w:szCs w:val="20"/>
        </w:rPr>
        <w:t xml:space="preserve"> a los recursos naturales existentes en sus tierras</w:t>
      </w:r>
      <w:r>
        <w:rPr>
          <w:rFonts w:ascii="Verdana" w:hAnsi="Verdana"/>
          <w:sz w:val="20"/>
          <w:szCs w:val="20"/>
        </w:rPr>
        <w:t>”</w:t>
      </w:r>
      <w:r w:rsidRPr="00D4312D">
        <w:rPr>
          <w:rFonts w:ascii="Verdana" w:hAnsi="Verdana"/>
          <w:sz w:val="20"/>
          <w:szCs w:val="20"/>
        </w:rPr>
        <w:t xml:space="preserve">, que </w:t>
      </w:r>
      <w:r>
        <w:rPr>
          <w:rFonts w:ascii="Verdana" w:hAnsi="Verdana"/>
          <w:sz w:val="20"/>
          <w:szCs w:val="20"/>
        </w:rPr>
        <w:t>“</w:t>
      </w:r>
      <w:r w:rsidRPr="00D4312D">
        <w:rPr>
          <w:rFonts w:ascii="Verdana" w:hAnsi="Verdana"/>
          <w:sz w:val="20"/>
          <w:szCs w:val="20"/>
        </w:rPr>
        <w:t xml:space="preserve">comprenden el derecho de esos pueblos a participar en la utilización, administración y conservación de dichos recursos”, y que “las actividades tradicionales y relacionadas con la economía de subsistencia de los pueblos interesados, como la caza, la pesca, la caza con trampas y la recolección, deberán reconocerse como factores importantes del mantenimiento de su cultura y de su autosuficiencia y desarrollo económicos”. </w:t>
      </w:r>
    </w:p>
    <w:p w14:paraId="395E99F8" w14:textId="77777777" w:rsidR="007C7E7C" w:rsidRPr="00D4312D" w:rsidRDefault="007C7E7C" w:rsidP="007C7E7C">
      <w:pPr>
        <w:pStyle w:val="Prrafodelista"/>
        <w:spacing w:line="240" w:lineRule="auto"/>
        <w:rPr>
          <w:rFonts w:ascii="Verdana" w:hAnsi="Verdana"/>
          <w:sz w:val="20"/>
          <w:szCs w:val="20"/>
        </w:rPr>
      </w:pPr>
    </w:p>
    <w:p w14:paraId="7D4584D9" w14:textId="77777777" w:rsidR="007C7E7C" w:rsidRPr="00D4312D" w:rsidRDefault="007C7E7C" w:rsidP="007C7E7C">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D4312D">
        <w:rPr>
          <w:rFonts w:ascii="Verdana" w:hAnsi="Verdana"/>
          <w:sz w:val="20"/>
          <w:szCs w:val="20"/>
        </w:rPr>
        <w:t>En el mismo sentido, la Declaración de las Naciones Unidas sobre los Derechos de los Pueblos Indígenas indica en sus artículos 20.1, 29.1 y 32.1, respectivamente, los derechos de los pueblos indígenas “a disfrutar de forma segura de sus propios medios de subsistencia y desarrollo”; “a la conservación y protección del medio ambiente y de la capacidad productiva de sus tierras o territorios y recursos”, y “a determinar y elaborar las prioridades y estrategias para el desarrollo o la utilización de sus tierras o territorios y otros recursos”. La Declaración Americana sobre Derechos de los Pueblos Indígenas, por su parte, en su artículo XIX recepta el “derecho a la protección del medio ambiente sano”, que incluye el derecho de los “pueblos indígenas” a “vivir en armonía con la naturaleza y a un ambiente sano, seguro y sustentable”; a “conservar, restaurar y proteger el medio ambiente y al manejo sustentable de sus tierras, territorios y recursos”, y “a la conservación y protección del medio ambiente y de la capacidad productiva de sus tierras o territorios y recursos”</w:t>
      </w:r>
      <w:r w:rsidRPr="008F640E">
        <w:rPr>
          <w:rStyle w:val="Refdenotaalpie"/>
          <w:rFonts w:ascii="Verdana" w:hAnsi="Verdana"/>
          <w:sz w:val="20"/>
        </w:rPr>
        <w:footnoteReference w:id="249"/>
      </w:r>
    </w:p>
    <w:p w14:paraId="6F067D27" w14:textId="77777777" w:rsidR="007C7E7C" w:rsidRPr="00D4312D" w:rsidRDefault="007C7E7C" w:rsidP="007C7E7C">
      <w:pPr>
        <w:pStyle w:val="Prrafodelista"/>
        <w:spacing w:after="0" w:line="240" w:lineRule="auto"/>
        <w:ind w:left="0" w:right="6"/>
        <w:jc w:val="both"/>
        <w:rPr>
          <w:rFonts w:ascii="Verdana" w:eastAsia="Batang" w:hAnsi="Verdana" w:cs="Times"/>
          <w:sz w:val="20"/>
          <w:szCs w:val="20"/>
          <w:lang w:val="es-CR" w:eastAsia="es-CR"/>
        </w:rPr>
      </w:pPr>
    </w:p>
    <w:p w14:paraId="66FC38FA" w14:textId="307DD124" w:rsidR="007C7E7C" w:rsidRDefault="007C7E7C" w:rsidP="007C7E7C">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D4312D">
        <w:rPr>
          <w:rFonts w:ascii="Verdana" w:hAnsi="Verdana"/>
          <w:sz w:val="20"/>
          <w:szCs w:val="20"/>
        </w:rPr>
        <w:t>Sobre el particular, es pertinente tener en consideración que el Comité DESC expresó que</w:t>
      </w:r>
      <w:r w:rsidR="00E21C50">
        <w:rPr>
          <w:rFonts w:ascii="Verdana" w:hAnsi="Verdana"/>
          <w:sz w:val="20"/>
          <w:szCs w:val="20"/>
        </w:rPr>
        <w:t>:</w:t>
      </w:r>
      <w:r w:rsidRPr="00D4312D">
        <w:rPr>
          <w:rFonts w:ascii="Verdana" w:hAnsi="Verdana"/>
          <w:sz w:val="20"/>
          <w:szCs w:val="20"/>
        </w:rPr>
        <w:t xml:space="preserve"> </w:t>
      </w:r>
    </w:p>
    <w:p w14:paraId="7522B9BD" w14:textId="77777777" w:rsidR="007C7E7C" w:rsidRDefault="007C7E7C" w:rsidP="007C7E7C">
      <w:pPr>
        <w:pStyle w:val="Prrafodelista"/>
        <w:spacing w:after="0" w:line="240" w:lineRule="auto"/>
        <w:rPr>
          <w:rFonts w:ascii="Verdana" w:hAnsi="Verdana"/>
          <w:sz w:val="20"/>
          <w:szCs w:val="20"/>
        </w:rPr>
      </w:pPr>
    </w:p>
    <w:p w14:paraId="503C8F94" w14:textId="77777777" w:rsidR="007C7E7C" w:rsidRPr="008F640E" w:rsidRDefault="007C7E7C" w:rsidP="007C7E7C">
      <w:pPr>
        <w:spacing w:after="0" w:line="240" w:lineRule="auto"/>
        <w:ind w:left="284" w:right="288"/>
        <w:jc w:val="both"/>
        <w:rPr>
          <w:rFonts w:ascii="Verdana" w:eastAsia="Times New Roman" w:hAnsi="Verdana" w:cs="Times New Roman"/>
          <w:sz w:val="16"/>
          <w:szCs w:val="16"/>
          <w:lang w:eastAsia="es-ES_tradnl"/>
        </w:rPr>
      </w:pPr>
      <w:r w:rsidRPr="008F640E">
        <w:rPr>
          <w:rFonts w:ascii="Verdana" w:eastAsia="Times New Roman" w:hAnsi="Verdana" w:cs="Times New Roman"/>
          <w:color w:val="000000"/>
          <w:sz w:val="16"/>
          <w:szCs w:val="16"/>
          <w:lang w:eastAsia="es-ES_tradnl"/>
        </w:rPr>
        <w:t>La fuerte dimensión colectiva de la vida cultural de los pueblos indígenas es indispensable para su existencia, bienestar y desarrollo integral, y comprende el derecho a las tierras, territorios y recursos que tradicionalmente han poseído, ocupado o de otra forma utilizado o adquirido. Hay que respetar y proteger los valores culturales y los derechos de los pueblos indígenas asociados a sus tierras ancestrales y a su relación con la naturaleza, a fin de evitar la degradación de su peculiar estilo de vida, incluidos los medios de subsistencia, la pérdida de recursos naturales y, en última instancia, su identidad cultural. Por lo tanto, los Estados partes deben tomar medidas para reconocer y proteger los derechos de los pueblos indígenas a poseer, explotar, controlar y utilizar sus tierras, territorios y recursos comunales y, en los casos en que se hubieren ocupado o utilizado de otro modo esas tierras o territorios sin su consentimiento libre e informado, adoptar medidas para que les sean devueltos</w:t>
      </w:r>
      <w:r w:rsidRPr="008F640E">
        <w:rPr>
          <w:rStyle w:val="Refdenotaalpie"/>
          <w:rFonts w:ascii="Verdana" w:eastAsia="Times New Roman" w:hAnsi="Verdana"/>
          <w:color w:val="000000"/>
          <w:sz w:val="16"/>
          <w:szCs w:val="16"/>
          <w:lang w:eastAsia="es-ES_tradnl"/>
        </w:rPr>
        <w:footnoteReference w:id="250"/>
      </w:r>
      <w:r w:rsidRPr="008F640E">
        <w:rPr>
          <w:rFonts w:ascii="Verdana" w:eastAsia="Times New Roman" w:hAnsi="Verdana" w:cs="Times New Roman"/>
          <w:color w:val="000000"/>
          <w:sz w:val="16"/>
          <w:szCs w:val="16"/>
          <w:lang w:eastAsia="es-ES_tradnl"/>
        </w:rPr>
        <w:t>.</w:t>
      </w:r>
    </w:p>
    <w:p w14:paraId="3E5D0DC9" w14:textId="77777777" w:rsidR="007C7E7C" w:rsidRPr="00D4312D" w:rsidRDefault="007C7E7C" w:rsidP="007C7E7C">
      <w:pPr>
        <w:pStyle w:val="Prrafodelista"/>
        <w:spacing w:line="240" w:lineRule="auto"/>
        <w:rPr>
          <w:rFonts w:ascii="Verdana" w:hAnsi="Verdana"/>
          <w:sz w:val="20"/>
          <w:szCs w:val="20"/>
        </w:rPr>
      </w:pPr>
    </w:p>
    <w:p w14:paraId="12E6BCE0" w14:textId="65CD2878" w:rsidR="007C7E7C" w:rsidRPr="00D4312D" w:rsidRDefault="007C7E7C" w:rsidP="007C7E7C">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D4312D">
        <w:rPr>
          <w:rFonts w:ascii="Verdana" w:hAnsi="Verdana"/>
          <w:sz w:val="20"/>
          <w:szCs w:val="20"/>
        </w:rPr>
        <w:t>Por otra parte, es importante destacar que el manejo por parte de las comunidades indígenas de los recursos existentes en sus territorios debe entenderse, al menos en términos apriorísticos, favorable a la preservación del ambiente. E</w:t>
      </w:r>
      <w:r w:rsidRPr="00D4312D">
        <w:rPr>
          <w:rFonts w:ascii="Verdana" w:hAnsi="Verdana" w:cs="Tahoma"/>
          <w:sz w:val="20"/>
          <w:szCs w:val="20"/>
        </w:rPr>
        <w:t>sta Corte ha considerado</w:t>
      </w:r>
      <w:r w:rsidRPr="00D4312D">
        <w:rPr>
          <w:rFonts w:ascii="Verdana" w:hAnsi="Verdana"/>
          <w:sz w:val="20"/>
          <w:szCs w:val="20"/>
        </w:rPr>
        <w:t xml:space="preserve"> que</w:t>
      </w:r>
      <w:r w:rsidR="00E21C50">
        <w:rPr>
          <w:rFonts w:ascii="Verdana" w:hAnsi="Verdana"/>
          <w:sz w:val="20"/>
          <w:szCs w:val="20"/>
        </w:rPr>
        <w:t>:</w:t>
      </w:r>
      <w:r w:rsidRPr="00D4312D">
        <w:rPr>
          <w:rFonts w:ascii="Verdana" w:hAnsi="Verdana"/>
          <w:sz w:val="20"/>
          <w:szCs w:val="20"/>
        </w:rPr>
        <w:t xml:space="preserve"> </w:t>
      </w:r>
    </w:p>
    <w:p w14:paraId="38E8A395" w14:textId="77777777" w:rsidR="007C7E7C" w:rsidRDefault="007C7E7C" w:rsidP="007C7E7C">
      <w:pPr>
        <w:pStyle w:val="Prrafodelista"/>
        <w:spacing w:after="0" w:line="240" w:lineRule="auto"/>
        <w:ind w:left="0" w:right="6"/>
        <w:jc w:val="both"/>
        <w:rPr>
          <w:rFonts w:ascii="Verdana" w:hAnsi="Verdana"/>
          <w:sz w:val="20"/>
          <w:szCs w:val="20"/>
        </w:rPr>
      </w:pPr>
    </w:p>
    <w:p w14:paraId="4FD86C89" w14:textId="77777777" w:rsidR="007C7E7C" w:rsidRPr="008F640E" w:rsidRDefault="007C7E7C" w:rsidP="007C7E7C">
      <w:pPr>
        <w:pStyle w:val="Prrafodelista"/>
        <w:spacing w:line="240" w:lineRule="auto"/>
        <w:ind w:left="284" w:right="288"/>
        <w:jc w:val="both"/>
        <w:rPr>
          <w:rFonts w:ascii="Verdana" w:hAnsi="Verdana" w:cs="Tahoma"/>
          <w:sz w:val="16"/>
          <w:szCs w:val="16"/>
        </w:rPr>
      </w:pPr>
      <w:r w:rsidRPr="008F640E">
        <w:rPr>
          <w:rFonts w:ascii="Verdana" w:hAnsi="Verdana"/>
          <w:sz w:val="16"/>
          <w:szCs w:val="16"/>
        </w:rPr>
        <w:t xml:space="preserve">los pueblos indígenas, por lo general, pueden desempeñar un rol relevante en la conservación de la naturaleza, dado que ciertos usos tradicionales conllevan prácticas de sustentabilidad y se consideran </w:t>
      </w:r>
      <w:r w:rsidRPr="008F640E">
        <w:rPr>
          <w:rFonts w:ascii="Verdana" w:hAnsi="Verdana"/>
          <w:sz w:val="16"/>
          <w:szCs w:val="16"/>
        </w:rPr>
        <w:lastRenderedPageBreak/>
        <w:t>fundamentales para la eficacia de las estrategias de conservación. Por ello, el respeto de los derechos de los pueblos indígenas, puede redundar positivamente en la conservación del medioambiente. Por lo expuesto, el derecho de estas comunidades y las normas internacionales de medio ambiente deben comprenderse como derechos complementarios y no excluyentes</w:t>
      </w:r>
      <w:r w:rsidRPr="008F640E">
        <w:rPr>
          <w:rStyle w:val="Refdenotaalpie"/>
          <w:rFonts w:ascii="Verdana" w:hAnsi="Verdana"/>
          <w:sz w:val="16"/>
          <w:szCs w:val="16"/>
        </w:rPr>
        <w:footnoteReference w:id="251"/>
      </w:r>
      <w:r w:rsidRPr="008F640E">
        <w:rPr>
          <w:rFonts w:ascii="Verdana" w:hAnsi="Verdana"/>
          <w:sz w:val="16"/>
          <w:szCs w:val="16"/>
        </w:rPr>
        <w:t>.</w:t>
      </w:r>
      <w:r w:rsidRPr="008F640E">
        <w:rPr>
          <w:rFonts w:ascii="Verdana" w:hAnsi="Verdana" w:cs="Tahoma"/>
          <w:sz w:val="16"/>
          <w:szCs w:val="16"/>
        </w:rPr>
        <w:t xml:space="preserve"> </w:t>
      </w:r>
    </w:p>
    <w:p w14:paraId="3CC8A2B4" w14:textId="77777777" w:rsidR="007C7E7C" w:rsidRPr="008F640E" w:rsidRDefault="007C7E7C" w:rsidP="007C7E7C">
      <w:pPr>
        <w:pStyle w:val="Prrafodelista"/>
        <w:spacing w:line="240" w:lineRule="auto"/>
        <w:ind w:left="0"/>
        <w:jc w:val="both"/>
        <w:rPr>
          <w:rFonts w:ascii="Verdana" w:hAnsi="Verdana" w:cs="Tahoma"/>
          <w:sz w:val="20"/>
          <w:szCs w:val="20"/>
        </w:rPr>
      </w:pPr>
    </w:p>
    <w:p w14:paraId="7816B28C" w14:textId="5D86E8DA" w:rsidR="007C7E7C" w:rsidRPr="008F640E" w:rsidRDefault="007C7E7C" w:rsidP="007C7E7C">
      <w:pPr>
        <w:pStyle w:val="Prrafodelista"/>
        <w:spacing w:line="240" w:lineRule="auto"/>
        <w:ind w:left="0"/>
        <w:jc w:val="both"/>
        <w:rPr>
          <w:rFonts w:ascii="Verdana" w:hAnsi="Verdana" w:cs="Tahoma"/>
          <w:sz w:val="20"/>
          <w:szCs w:val="20"/>
        </w:rPr>
      </w:pPr>
      <w:r w:rsidRPr="008F640E">
        <w:rPr>
          <w:rFonts w:ascii="Verdana" w:hAnsi="Verdana" w:cs="Tahoma"/>
          <w:sz w:val="20"/>
          <w:szCs w:val="20"/>
        </w:rPr>
        <w:t>Es claro</w:t>
      </w:r>
      <w:r w:rsidR="00381C49">
        <w:rPr>
          <w:rFonts w:ascii="Verdana" w:hAnsi="Verdana" w:cs="Tahoma"/>
          <w:sz w:val="20"/>
          <w:szCs w:val="20"/>
        </w:rPr>
        <w:t>,</w:t>
      </w:r>
      <w:r w:rsidRPr="008F640E">
        <w:rPr>
          <w:rFonts w:ascii="Verdana" w:hAnsi="Verdana" w:cs="Tahoma"/>
          <w:sz w:val="20"/>
          <w:szCs w:val="20"/>
        </w:rPr>
        <w:t xml:space="preserve"> en es</w:t>
      </w:r>
      <w:r w:rsidR="00381C49">
        <w:rPr>
          <w:rFonts w:ascii="Verdana" w:hAnsi="Verdana" w:cs="Tahoma"/>
          <w:sz w:val="20"/>
          <w:szCs w:val="20"/>
        </w:rPr>
        <w:t>e sentido,</w:t>
      </w:r>
      <w:r w:rsidRPr="008F640E">
        <w:rPr>
          <w:rFonts w:ascii="Verdana" w:hAnsi="Verdana" w:cs="Tahoma"/>
          <w:sz w:val="20"/>
          <w:szCs w:val="20"/>
        </w:rPr>
        <w:t xml:space="preserve"> el Principio 22 de la Declaración de Río, que señala que “l</w:t>
      </w:r>
      <w:r w:rsidRPr="008F640E">
        <w:rPr>
          <w:rFonts w:ascii="Verdana" w:hAnsi="Verdana" w:cs="Arial"/>
          <w:sz w:val="20"/>
          <w:szCs w:val="20"/>
          <w:shd w:val="clear" w:color="auto" w:fill="FFFFFF"/>
        </w:rPr>
        <w:t>as poblaciones indígenas y sus comunidades, […] desempeñan un papel fundamental en la ordenación del medio ambiente y en el desarrollo debido a sus conocimientos y prácticas tradicionales. Los Estados deberían reconocer y apoyar debidamente su identidad, cultura e intereses y hacer posible su participación efectiva en el logro del desarrollo sostenible”</w:t>
      </w:r>
      <w:r w:rsidRPr="008F640E">
        <w:rPr>
          <w:rStyle w:val="Refdenotaalpie"/>
          <w:rFonts w:ascii="Verdana" w:hAnsi="Verdana"/>
          <w:sz w:val="20"/>
          <w:shd w:val="clear" w:color="auto" w:fill="FFFFFF"/>
        </w:rPr>
        <w:footnoteReference w:id="252"/>
      </w:r>
      <w:r w:rsidRPr="008F640E">
        <w:rPr>
          <w:rFonts w:ascii="Verdana" w:hAnsi="Verdana" w:cs="Arial"/>
          <w:sz w:val="20"/>
          <w:szCs w:val="20"/>
          <w:shd w:val="clear" w:color="auto" w:fill="FFFFFF"/>
        </w:rPr>
        <w:t>.</w:t>
      </w:r>
    </w:p>
    <w:p w14:paraId="19CC98ED" w14:textId="77777777" w:rsidR="007C7E7C" w:rsidRDefault="007C7E7C" w:rsidP="007C7E7C">
      <w:pPr>
        <w:pStyle w:val="Prrafodelista"/>
        <w:spacing w:after="0" w:line="240" w:lineRule="auto"/>
        <w:ind w:left="0" w:right="6"/>
        <w:jc w:val="both"/>
        <w:rPr>
          <w:rFonts w:ascii="Verdana" w:eastAsia="Batang" w:hAnsi="Verdana" w:cs="Times"/>
          <w:sz w:val="20"/>
          <w:szCs w:val="20"/>
          <w:lang w:val="es-CR" w:eastAsia="es-CR"/>
        </w:rPr>
      </w:pPr>
    </w:p>
    <w:p w14:paraId="59137D82" w14:textId="0A966DFF" w:rsidR="007C7E7C" w:rsidRPr="00D4312D" w:rsidRDefault="007C7E7C" w:rsidP="007C7E7C">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D4312D">
        <w:rPr>
          <w:rFonts w:ascii="Verdana" w:hAnsi="Verdana"/>
          <w:sz w:val="20"/>
          <w:szCs w:val="20"/>
        </w:rPr>
        <w:t xml:space="preserve">Adicionalmente, corresponde tener en cuenta lo que ha explicado el </w:t>
      </w:r>
      <w:r w:rsidRPr="00D4312D">
        <w:rPr>
          <w:rFonts w:ascii="Verdana" w:hAnsi="Verdana"/>
          <w:bCs/>
          <w:sz w:val="20"/>
          <w:szCs w:val="20"/>
          <w:lang w:val="es-ES"/>
        </w:rPr>
        <w:t>Comité de Derechos Humanos, en cuanto a que el derecho de las personas a disfrutar de su propia cultura, “</w:t>
      </w:r>
      <w:r w:rsidRPr="00D4312D">
        <w:rPr>
          <w:rFonts w:ascii="Verdana" w:hAnsi="Verdana"/>
          <w:color w:val="000000"/>
          <w:sz w:val="20"/>
          <w:szCs w:val="20"/>
        </w:rPr>
        <w:t>puede</w:t>
      </w:r>
      <w:r>
        <w:rPr>
          <w:rFonts w:ascii="Verdana" w:hAnsi="Verdana"/>
          <w:color w:val="000000"/>
          <w:sz w:val="20"/>
          <w:szCs w:val="20"/>
        </w:rPr>
        <w:t xml:space="preserve"> </w:t>
      </w:r>
      <w:r w:rsidRPr="00D4312D">
        <w:rPr>
          <w:rFonts w:ascii="Verdana" w:hAnsi="Verdana"/>
          <w:color w:val="000000"/>
          <w:sz w:val="20"/>
          <w:szCs w:val="20"/>
        </w:rPr>
        <w:t>[</w:t>
      </w:r>
      <w:r>
        <w:rPr>
          <w:rFonts w:ascii="Verdana" w:hAnsi="Verdana"/>
          <w:color w:val="000000"/>
          <w:sz w:val="20"/>
          <w:szCs w:val="20"/>
        </w:rPr>
        <w:t>…</w:t>
      </w:r>
      <w:r w:rsidRPr="00D4312D">
        <w:rPr>
          <w:rFonts w:ascii="Verdana" w:hAnsi="Verdana"/>
          <w:color w:val="000000"/>
          <w:sz w:val="20"/>
          <w:szCs w:val="20"/>
        </w:rPr>
        <w:t>] guardar relación con modos de vida estrechamente asociados al territorio y al uso de sus recursos”</w:t>
      </w:r>
      <w:r>
        <w:rPr>
          <w:rFonts w:ascii="Verdana" w:hAnsi="Verdana"/>
          <w:color w:val="000000"/>
          <w:sz w:val="20"/>
          <w:szCs w:val="20"/>
        </w:rPr>
        <w:t>,</w:t>
      </w:r>
      <w:r w:rsidRPr="00D4312D">
        <w:rPr>
          <w:rFonts w:ascii="Verdana" w:hAnsi="Verdana"/>
          <w:color w:val="000000"/>
          <w:sz w:val="20"/>
          <w:szCs w:val="20"/>
        </w:rPr>
        <w:t xml:space="preserve"> como es el caso de los miembros de comunidades indígenas</w:t>
      </w:r>
      <w:r w:rsidRPr="008F640E">
        <w:rPr>
          <w:rStyle w:val="Refdenotaalpie"/>
          <w:rFonts w:ascii="Verdana" w:hAnsi="Verdana"/>
          <w:color w:val="000000"/>
          <w:sz w:val="20"/>
        </w:rPr>
        <w:footnoteReference w:id="253"/>
      </w:r>
      <w:r w:rsidRPr="00D4312D">
        <w:rPr>
          <w:rFonts w:ascii="Verdana" w:hAnsi="Verdana"/>
          <w:color w:val="000000"/>
          <w:sz w:val="20"/>
          <w:szCs w:val="20"/>
        </w:rPr>
        <w:t>.</w:t>
      </w:r>
      <w:r w:rsidRPr="00D4312D">
        <w:rPr>
          <w:rFonts w:ascii="Verdana" w:hAnsi="Verdana"/>
          <w:color w:val="000000"/>
          <w:sz w:val="20"/>
          <w:szCs w:val="20"/>
          <w:lang w:val="es-ES"/>
        </w:rPr>
        <w:t xml:space="preserve"> </w:t>
      </w:r>
      <w:r w:rsidRPr="00D4312D">
        <w:rPr>
          <w:rFonts w:ascii="Verdana" w:hAnsi="Verdana"/>
          <w:color w:val="000000"/>
          <w:sz w:val="20"/>
          <w:szCs w:val="20"/>
        </w:rPr>
        <w:t>El derecho a la identidad cultural, puede manifestarse, entonces, de diversas formas; en el caso de los pueblos indígenas se observa</w:t>
      </w:r>
      <w:r>
        <w:rPr>
          <w:rFonts w:ascii="Verdana" w:hAnsi="Verdana"/>
          <w:color w:val="000000"/>
          <w:sz w:val="20"/>
          <w:szCs w:val="20"/>
        </w:rPr>
        <w:t>, sin perjuicio de otros aspectos,</w:t>
      </w:r>
      <w:r w:rsidRPr="00D4312D">
        <w:rPr>
          <w:rFonts w:ascii="Verdana" w:hAnsi="Verdana"/>
          <w:color w:val="000000"/>
          <w:sz w:val="20"/>
          <w:szCs w:val="20"/>
        </w:rPr>
        <w:t xml:space="preserve"> en “un modo particular de vida relacionado con el uso de recursos terrestres</w:t>
      </w:r>
      <w:r w:rsidR="00E21C50">
        <w:rPr>
          <w:rFonts w:ascii="Verdana" w:hAnsi="Verdana"/>
          <w:color w:val="000000"/>
          <w:sz w:val="20"/>
          <w:szCs w:val="20"/>
        </w:rPr>
        <w:t xml:space="preserve"> </w:t>
      </w:r>
      <w:r w:rsidRPr="00D4312D">
        <w:rPr>
          <w:rFonts w:ascii="Verdana" w:hAnsi="Verdana"/>
          <w:color w:val="000000"/>
          <w:sz w:val="20"/>
          <w:szCs w:val="20"/>
        </w:rPr>
        <w:t>[…]. Ese derecho puede incluir actividades tradicionales tales como la pesca o la caza y el derecho a vivir en reservas protegidas por la ley”</w:t>
      </w:r>
      <w:r w:rsidRPr="008F640E">
        <w:rPr>
          <w:rStyle w:val="Refdenotaalpie"/>
          <w:rFonts w:ascii="Verdana" w:hAnsi="Verdana"/>
          <w:color w:val="000000"/>
          <w:sz w:val="20"/>
        </w:rPr>
        <w:footnoteReference w:id="254"/>
      </w:r>
      <w:r>
        <w:rPr>
          <w:rFonts w:ascii="Verdana" w:hAnsi="Verdana"/>
          <w:color w:val="000000"/>
          <w:sz w:val="20"/>
          <w:szCs w:val="20"/>
        </w:rPr>
        <w:t>.</w:t>
      </w:r>
      <w:r w:rsidRPr="00D4312D">
        <w:rPr>
          <w:rFonts w:ascii="Verdana" w:hAnsi="Verdana"/>
          <w:color w:val="000000"/>
          <w:sz w:val="20"/>
          <w:szCs w:val="20"/>
        </w:rPr>
        <w:t xml:space="preserve"> En la misma línea, l</w:t>
      </w:r>
      <w:r w:rsidRPr="00D4312D">
        <w:rPr>
          <w:rFonts w:ascii="Verdana" w:hAnsi="Verdana"/>
          <w:sz w:val="20"/>
          <w:szCs w:val="20"/>
        </w:rPr>
        <w:t>a Corte ya ha tenido oportunidad de advertir que el derecho a la propiedad colectiva de los pueblos indígenas está vinculado con la protección y acceso a los recursos naturales que se encuentran en sus territorios</w:t>
      </w:r>
      <w:r>
        <w:rPr>
          <w:rFonts w:ascii="Verdana" w:hAnsi="Verdana"/>
          <w:sz w:val="20"/>
          <w:szCs w:val="20"/>
        </w:rPr>
        <w:t xml:space="preserve"> (</w:t>
      </w:r>
      <w:r>
        <w:rPr>
          <w:rFonts w:ascii="Verdana" w:hAnsi="Verdana"/>
          <w:i/>
          <w:sz w:val="20"/>
          <w:szCs w:val="20"/>
        </w:rPr>
        <w:t xml:space="preserve">supra </w:t>
      </w:r>
      <w:r>
        <w:rPr>
          <w:rFonts w:ascii="Verdana" w:hAnsi="Verdana"/>
          <w:sz w:val="20"/>
          <w:szCs w:val="20"/>
        </w:rPr>
        <w:t>párr. 94)</w:t>
      </w:r>
      <w:r w:rsidRPr="00D4312D">
        <w:rPr>
          <w:rFonts w:ascii="Verdana" w:hAnsi="Verdana"/>
          <w:sz w:val="20"/>
          <w:szCs w:val="20"/>
        </w:rPr>
        <w:t>. De modo concordante, el Grupo sobre el PSS ha notado que “</w:t>
      </w:r>
      <w:r w:rsidRPr="00D4312D">
        <w:rPr>
          <w:rFonts w:ascii="Verdana" w:hAnsi="Verdana"/>
          <w:bCs/>
          <w:sz w:val="20"/>
          <w:szCs w:val="20"/>
          <w:lang w:val="es-ES"/>
        </w:rPr>
        <w:t>el bienestar físico, espiritual y cultural de las comunidades indígenas está íntimamente ligado con la calidad del medio ambiente en que desarrollan sus vidas”</w:t>
      </w:r>
      <w:r w:rsidRPr="008F640E">
        <w:rPr>
          <w:rStyle w:val="Refdenotaalpie"/>
          <w:rFonts w:ascii="Verdana" w:hAnsi="Verdana"/>
          <w:bCs/>
          <w:sz w:val="20"/>
          <w:lang w:val="es-ES"/>
        </w:rPr>
        <w:footnoteReference w:id="255"/>
      </w:r>
      <w:r w:rsidRPr="00D4312D">
        <w:rPr>
          <w:rFonts w:ascii="Verdana" w:hAnsi="Verdana"/>
          <w:bCs/>
          <w:sz w:val="20"/>
          <w:szCs w:val="20"/>
          <w:lang w:val="es-ES"/>
        </w:rPr>
        <w:t xml:space="preserve">. </w:t>
      </w:r>
    </w:p>
    <w:p w14:paraId="5BC2D405" w14:textId="77777777" w:rsidR="007C7E7C" w:rsidRDefault="007C7E7C" w:rsidP="007C7E7C">
      <w:pPr>
        <w:pStyle w:val="Prrafodelista"/>
        <w:spacing w:after="0" w:line="240" w:lineRule="auto"/>
        <w:ind w:left="0" w:right="6"/>
        <w:jc w:val="both"/>
        <w:rPr>
          <w:rFonts w:ascii="Verdana" w:eastAsia="Batang" w:hAnsi="Verdana" w:cs="Times"/>
          <w:sz w:val="20"/>
          <w:szCs w:val="20"/>
          <w:lang w:val="es-CR" w:eastAsia="es-CR"/>
        </w:rPr>
      </w:pPr>
    </w:p>
    <w:p w14:paraId="5C4C9DF4" w14:textId="4AE82BDE" w:rsidR="007C7E7C" w:rsidRPr="00BF0EF1" w:rsidRDefault="007C7E7C" w:rsidP="007C7E7C">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D4312D">
        <w:rPr>
          <w:rFonts w:ascii="Verdana" w:hAnsi="Verdana"/>
          <w:bCs/>
          <w:sz w:val="20"/>
          <w:szCs w:val="20"/>
          <w:lang w:val="es-ES"/>
        </w:rPr>
        <w:t>La Corte, a su vez,</w:t>
      </w:r>
      <w:r w:rsidRPr="00D4312D">
        <w:rPr>
          <w:rFonts w:ascii="Verdana" w:hAnsi="Verdana"/>
          <w:sz w:val="20"/>
          <w:szCs w:val="20"/>
        </w:rPr>
        <w:t xml:space="preserve"> ha </w:t>
      </w:r>
      <w:r>
        <w:rPr>
          <w:rFonts w:ascii="Verdana" w:hAnsi="Verdana"/>
          <w:sz w:val="20"/>
          <w:szCs w:val="20"/>
        </w:rPr>
        <w:t xml:space="preserve">tenido oportunidad de apreciar circunstancias que mostraron que </w:t>
      </w:r>
      <w:r w:rsidRPr="00D4312D">
        <w:rPr>
          <w:rFonts w:ascii="Verdana" w:hAnsi="Verdana"/>
          <w:sz w:val="20"/>
          <w:szCs w:val="20"/>
        </w:rPr>
        <w:t xml:space="preserve">“el vínculo de los miembros de una comunidad con sus territorios” </w:t>
      </w:r>
      <w:r>
        <w:rPr>
          <w:rFonts w:ascii="Verdana" w:hAnsi="Verdana"/>
          <w:sz w:val="20"/>
          <w:szCs w:val="20"/>
        </w:rPr>
        <w:t>resulta</w:t>
      </w:r>
      <w:r w:rsidRPr="00D4312D">
        <w:rPr>
          <w:rFonts w:ascii="Verdana" w:hAnsi="Verdana"/>
          <w:sz w:val="20"/>
          <w:szCs w:val="20"/>
        </w:rPr>
        <w:t xml:space="preserve"> “fundamental e inescindible para su supervivencia alimentaria</w:t>
      </w:r>
      <w:r>
        <w:rPr>
          <w:rFonts w:ascii="Verdana" w:hAnsi="Verdana"/>
          <w:sz w:val="20"/>
          <w:szCs w:val="20"/>
        </w:rPr>
        <w:t xml:space="preserve"> y cultural</w:t>
      </w:r>
      <w:r w:rsidRPr="00D4312D">
        <w:rPr>
          <w:rFonts w:ascii="Verdana" w:hAnsi="Verdana"/>
          <w:sz w:val="20"/>
          <w:szCs w:val="20"/>
        </w:rPr>
        <w:t>”</w:t>
      </w:r>
      <w:r w:rsidRPr="008F640E">
        <w:rPr>
          <w:rStyle w:val="Refdenotaalpie"/>
          <w:rFonts w:ascii="Verdana" w:hAnsi="Verdana"/>
          <w:sz w:val="20"/>
        </w:rPr>
        <w:footnoteReference w:id="256"/>
      </w:r>
      <w:r w:rsidRPr="00D4312D">
        <w:rPr>
          <w:rFonts w:ascii="Verdana" w:hAnsi="Verdana"/>
          <w:sz w:val="20"/>
          <w:szCs w:val="20"/>
        </w:rPr>
        <w:t>. En</w:t>
      </w:r>
      <w:r w:rsidR="00E21C50">
        <w:rPr>
          <w:rFonts w:ascii="Verdana" w:hAnsi="Verdana"/>
          <w:sz w:val="20"/>
          <w:szCs w:val="20"/>
        </w:rPr>
        <w:t xml:space="preserve"> ese entendimiento, el Relator E</w:t>
      </w:r>
      <w:r w:rsidRPr="00D4312D">
        <w:rPr>
          <w:rFonts w:ascii="Verdana" w:hAnsi="Verdana"/>
          <w:sz w:val="20"/>
          <w:szCs w:val="20"/>
        </w:rPr>
        <w:t>special de las Naciones Unidas sobre el derecho a la alimentación se ha referido a aspectos problemáticos respecto al goce de ese derecho que suelen ser atinentes a pueblos indígenas. Ha afirmado que</w:t>
      </w:r>
      <w:r w:rsidR="00E21C50">
        <w:rPr>
          <w:rFonts w:ascii="Verdana" w:hAnsi="Verdana"/>
          <w:sz w:val="20"/>
          <w:szCs w:val="20"/>
        </w:rPr>
        <w:t>:</w:t>
      </w:r>
      <w:r w:rsidRPr="00D4312D">
        <w:rPr>
          <w:rFonts w:ascii="Verdana" w:hAnsi="Verdana"/>
          <w:sz w:val="20"/>
          <w:szCs w:val="20"/>
        </w:rPr>
        <w:t xml:space="preserve"> </w:t>
      </w:r>
    </w:p>
    <w:p w14:paraId="02548731" w14:textId="77777777" w:rsidR="007C7E7C" w:rsidRPr="00BF0EF1" w:rsidRDefault="007C7E7C" w:rsidP="007C7E7C">
      <w:pPr>
        <w:pStyle w:val="Prrafodelista"/>
        <w:spacing w:line="240" w:lineRule="auto"/>
        <w:rPr>
          <w:rFonts w:ascii="Verdana" w:hAnsi="Verdana"/>
          <w:sz w:val="20"/>
          <w:szCs w:val="20"/>
        </w:rPr>
      </w:pPr>
    </w:p>
    <w:p w14:paraId="7FD30557" w14:textId="77777777" w:rsidR="007C7E7C" w:rsidRPr="00BF0EF1" w:rsidRDefault="007C7E7C" w:rsidP="007C7E7C">
      <w:pPr>
        <w:pStyle w:val="Prrafodelista"/>
        <w:spacing w:after="0" w:line="240" w:lineRule="auto"/>
        <w:ind w:left="284" w:right="333"/>
        <w:jc w:val="both"/>
        <w:rPr>
          <w:rFonts w:ascii="Verdana" w:eastAsia="Batang" w:hAnsi="Verdana" w:cs="Times"/>
          <w:sz w:val="16"/>
          <w:szCs w:val="16"/>
          <w:lang w:val="es-CR" w:eastAsia="es-CR"/>
        </w:rPr>
      </w:pPr>
      <w:r w:rsidRPr="00BF0EF1">
        <w:rPr>
          <w:rFonts w:ascii="Verdana" w:hAnsi="Verdana"/>
          <w:sz w:val="16"/>
          <w:szCs w:val="16"/>
        </w:rPr>
        <w:t>[e]</w:t>
      </w:r>
      <w:r w:rsidRPr="00BF0EF1">
        <w:rPr>
          <w:rFonts w:ascii="Verdana" w:hAnsi="Verdana" w:cs="TimesNewRoman"/>
          <w:sz w:val="16"/>
          <w:szCs w:val="16"/>
        </w:rPr>
        <w:t>l ejercicio del derecho de los pueblos indígenas a la alimentación suele depender fundamentalmente de sus posibilidades de acceder a los recursos naturales existentes en la tierra o los territorios que ocupan o usan, y del control que ejercen sobre esos recursos. Sólo así pueden mantener sus actividades económicas y de subsistencia tradicionales, como la caza, la recolección o la pesca, que les permite alimentarse y preservar su cultura e identidad</w:t>
      </w:r>
      <w:r w:rsidRPr="00BF0EF1">
        <w:rPr>
          <w:rStyle w:val="Refdenotaalpie"/>
          <w:rFonts w:ascii="Verdana" w:hAnsi="Verdana"/>
          <w:sz w:val="16"/>
          <w:szCs w:val="16"/>
        </w:rPr>
        <w:footnoteReference w:id="257"/>
      </w:r>
      <w:r w:rsidRPr="00BF0EF1">
        <w:rPr>
          <w:rFonts w:ascii="Verdana" w:hAnsi="Verdana" w:cs="TimesNewRoman"/>
          <w:sz w:val="16"/>
          <w:szCs w:val="16"/>
        </w:rPr>
        <w:t xml:space="preserve">. </w:t>
      </w:r>
    </w:p>
    <w:p w14:paraId="5D80D0B1" w14:textId="77777777" w:rsidR="007C7E7C" w:rsidRPr="00D4312D" w:rsidRDefault="007C7E7C" w:rsidP="007C7E7C">
      <w:pPr>
        <w:pStyle w:val="Prrafodelista"/>
        <w:spacing w:line="240" w:lineRule="auto"/>
        <w:rPr>
          <w:rFonts w:ascii="Verdana" w:hAnsi="Verdana"/>
          <w:sz w:val="20"/>
          <w:szCs w:val="20"/>
        </w:rPr>
      </w:pPr>
    </w:p>
    <w:p w14:paraId="31D31169" w14:textId="4F25F90A" w:rsidR="007C7E7C" w:rsidRPr="00D4312D" w:rsidRDefault="007C7E7C" w:rsidP="007C7E7C">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D4312D">
        <w:rPr>
          <w:rFonts w:ascii="Verdana" w:hAnsi="Verdana"/>
          <w:sz w:val="20"/>
          <w:szCs w:val="20"/>
        </w:rPr>
        <w:t xml:space="preserve">En forma concordante, el Relator Especial sobre la situación de los derechos humanos y las libertades fundamentales de los pueblos indígenas, ha aseverado que “el conjunto formado por la tierra, el territorio y los recursos constituye una cuestión de derechos humanos esencial para </w:t>
      </w:r>
      <w:r>
        <w:rPr>
          <w:rFonts w:ascii="Verdana" w:hAnsi="Verdana"/>
          <w:sz w:val="20"/>
          <w:szCs w:val="20"/>
        </w:rPr>
        <w:t>la</w:t>
      </w:r>
      <w:r w:rsidRPr="00D4312D">
        <w:rPr>
          <w:rFonts w:ascii="Verdana" w:hAnsi="Verdana"/>
          <w:sz w:val="20"/>
          <w:szCs w:val="20"/>
        </w:rPr>
        <w:t xml:space="preserve"> supervivencia</w:t>
      </w:r>
      <w:r>
        <w:rPr>
          <w:rFonts w:ascii="Verdana" w:hAnsi="Verdana"/>
          <w:sz w:val="20"/>
          <w:szCs w:val="20"/>
        </w:rPr>
        <w:t xml:space="preserve"> de los pueblos indígenas</w:t>
      </w:r>
      <w:r w:rsidRPr="00D4312D">
        <w:rPr>
          <w:rFonts w:ascii="Verdana" w:hAnsi="Verdana"/>
          <w:sz w:val="20"/>
          <w:szCs w:val="20"/>
        </w:rPr>
        <w:t>”</w:t>
      </w:r>
      <w:r w:rsidRPr="008F640E">
        <w:rPr>
          <w:rStyle w:val="Refdenotaalpie"/>
          <w:rFonts w:ascii="Verdana" w:hAnsi="Verdana"/>
          <w:sz w:val="20"/>
        </w:rPr>
        <w:footnoteReference w:id="258"/>
      </w:r>
      <w:r w:rsidRPr="00D4312D">
        <w:rPr>
          <w:rFonts w:ascii="Verdana" w:hAnsi="Verdana" w:cs="TimesNewRoman"/>
          <w:sz w:val="20"/>
          <w:szCs w:val="20"/>
        </w:rPr>
        <w:t xml:space="preserve">, y en el ámbito de la </w:t>
      </w:r>
      <w:r>
        <w:rPr>
          <w:rFonts w:ascii="Verdana" w:hAnsi="Verdana" w:cs="TimesNewRoman"/>
          <w:sz w:val="20"/>
          <w:szCs w:val="20"/>
        </w:rPr>
        <w:t xml:space="preserve">Organización de las Naciones Unidas para la Alimentación y la Agricultura </w:t>
      </w:r>
      <w:r w:rsidRPr="00701456">
        <w:rPr>
          <w:rFonts w:ascii="Verdana" w:hAnsi="Verdana" w:cs="TimesNewRoman"/>
          <w:sz w:val="20"/>
          <w:szCs w:val="20"/>
        </w:rPr>
        <w:t>(FAO)</w:t>
      </w:r>
      <w:r w:rsidRPr="00D4312D">
        <w:rPr>
          <w:rFonts w:ascii="Verdana" w:hAnsi="Verdana" w:cs="TimesNewRoman"/>
          <w:sz w:val="20"/>
          <w:szCs w:val="20"/>
        </w:rPr>
        <w:t xml:space="preserve"> se ha indicado que </w:t>
      </w:r>
      <w:r w:rsidRPr="00D4312D">
        <w:rPr>
          <w:rFonts w:ascii="Verdana" w:hAnsi="Verdana"/>
          <w:sz w:val="20"/>
          <w:szCs w:val="20"/>
        </w:rPr>
        <w:t>“[l]</w:t>
      </w:r>
      <w:r w:rsidRPr="00D4312D">
        <w:rPr>
          <w:rFonts w:ascii="Verdana" w:hAnsi="Verdana" w:cs="Arial"/>
          <w:sz w:val="20"/>
          <w:szCs w:val="20"/>
        </w:rPr>
        <w:t>os Estados deberían […] promover y proteger la seguridad de la tenencia de la tierra[,…] promov[iendo su] conservación y […]utilización sostenible”, debiendo “prestarse particular atención a la situación de las comunidades indígenas”</w:t>
      </w:r>
      <w:r w:rsidRPr="008F640E">
        <w:rPr>
          <w:rStyle w:val="Refdenotaalpie"/>
          <w:rFonts w:ascii="Verdana" w:hAnsi="Verdana"/>
          <w:sz w:val="20"/>
        </w:rPr>
        <w:footnoteReference w:id="259"/>
      </w:r>
      <w:r w:rsidR="00381C49">
        <w:rPr>
          <w:rFonts w:ascii="Verdana" w:hAnsi="Verdana" w:cs="Arial"/>
          <w:sz w:val="20"/>
          <w:szCs w:val="20"/>
        </w:rPr>
        <w:t xml:space="preserve">. El Comité DESC </w:t>
      </w:r>
      <w:r w:rsidRPr="00D4312D">
        <w:rPr>
          <w:rFonts w:ascii="Verdana" w:hAnsi="Verdana" w:cs="Arial"/>
          <w:sz w:val="20"/>
          <w:szCs w:val="20"/>
        </w:rPr>
        <w:t>ha destacado</w:t>
      </w:r>
      <w:r w:rsidR="00381C49">
        <w:rPr>
          <w:rFonts w:ascii="Verdana" w:hAnsi="Verdana" w:cs="Arial"/>
          <w:sz w:val="20"/>
          <w:szCs w:val="20"/>
        </w:rPr>
        <w:t>, al respecto,</w:t>
      </w:r>
      <w:r w:rsidRPr="00D4312D">
        <w:rPr>
          <w:rFonts w:ascii="Verdana" w:hAnsi="Verdana" w:cs="Arial"/>
          <w:sz w:val="20"/>
          <w:szCs w:val="20"/>
        </w:rPr>
        <w:t xml:space="preserve"> que “son especialmente vulnerables” a ver menoscabado el goce de su derecho a la alimentación “muchos grupos de pueblos indígenas cuyo acceso a las tierras ancestral</w:t>
      </w:r>
      <w:r>
        <w:rPr>
          <w:rFonts w:ascii="Verdana" w:hAnsi="Verdana" w:cs="Arial"/>
          <w:sz w:val="20"/>
          <w:szCs w:val="20"/>
        </w:rPr>
        <w:t>es puede verse amenazado”</w:t>
      </w:r>
      <w:r w:rsidRPr="00EE7987">
        <w:rPr>
          <w:rStyle w:val="Refdenotaalpie"/>
          <w:rFonts w:ascii="Verdana" w:hAnsi="Verdana"/>
          <w:sz w:val="20"/>
        </w:rPr>
        <w:footnoteReference w:id="260"/>
      </w:r>
      <w:r w:rsidRPr="00EE7987">
        <w:rPr>
          <w:rFonts w:ascii="Verdana" w:hAnsi="Verdana" w:cs="TimesNewRoman"/>
          <w:sz w:val="20"/>
          <w:szCs w:val="20"/>
        </w:rPr>
        <w:t>.</w:t>
      </w:r>
      <w:r w:rsidRPr="00D4312D">
        <w:rPr>
          <w:rFonts w:ascii="Verdana" w:hAnsi="Verdana" w:cs="TimesNewRoman"/>
          <w:sz w:val="20"/>
          <w:szCs w:val="20"/>
        </w:rPr>
        <w:t xml:space="preserve"> </w:t>
      </w:r>
    </w:p>
    <w:p w14:paraId="094FAD55" w14:textId="77777777" w:rsidR="007C7E7C" w:rsidRDefault="007C7E7C" w:rsidP="007C7E7C">
      <w:pPr>
        <w:pStyle w:val="Prrafodelista"/>
        <w:spacing w:after="0" w:line="240" w:lineRule="auto"/>
        <w:ind w:left="0" w:right="6"/>
        <w:jc w:val="both"/>
        <w:rPr>
          <w:rFonts w:ascii="Verdana" w:eastAsia="Batang" w:hAnsi="Verdana" w:cs="Times"/>
          <w:sz w:val="20"/>
          <w:szCs w:val="20"/>
          <w:lang w:val="es-CR" w:eastAsia="es-CR"/>
        </w:rPr>
      </w:pPr>
    </w:p>
    <w:p w14:paraId="50B95498" w14:textId="03A41B7B" w:rsidR="007C7E7C" w:rsidRDefault="007C7E7C" w:rsidP="007C7E7C">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D4312D">
        <w:rPr>
          <w:rFonts w:ascii="Verdana" w:hAnsi="Verdana" w:cs="TimesNewRoman"/>
          <w:sz w:val="20"/>
          <w:szCs w:val="20"/>
        </w:rPr>
        <w:t xml:space="preserve">Por otra parte, el derecho a la alimentación no debe entenderse </w:t>
      </w:r>
      <w:r w:rsidR="00381C49">
        <w:rPr>
          <w:rFonts w:ascii="Verdana" w:hAnsi="Verdana" w:cs="TimesNewRoman"/>
          <w:sz w:val="20"/>
          <w:szCs w:val="20"/>
        </w:rPr>
        <w:t>d</w:t>
      </w:r>
      <w:r w:rsidRPr="00D4312D">
        <w:rPr>
          <w:rFonts w:ascii="Verdana" w:hAnsi="Verdana" w:cs="TimesNewRoman"/>
          <w:sz w:val="20"/>
          <w:szCs w:val="20"/>
        </w:rPr>
        <w:t>e forma restrictiva. El bien protegido por el derecho no es la mera subsistencia física</w:t>
      </w:r>
      <w:r>
        <w:rPr>
          <w:rFonts w:ascii="Verdana" w:hAnsi="Verdana" w:cs="TimesNewRoman"/>
          <w:sz w:val="20"/>
          <w:szCs w:val="20"/>
        </w:rPr>
        <w:t xml:space="preserve"> y,</w:t>
      </w:r>
      <w:r w:rsidRPr="00D4312D">
        <w:rPr>
          <w:rFonts w:ascii="Verdana" w:hAnsi="Verdana" w:cs="TimesNewRoman"/>
          <w:sz w:val="20"/>
          <w:szCs w:val="20"/>
        </w:rPr>
        <w:t xml:space="preserve"> en particular respecto de pueblos indígenas, tiene una dimensión cultural relevante. El Relator Especial sobre el derecho a la alimentación ha explicado que</w:t>
      </w:r>
      <w:r w:rsidR="00E21C50">
        <w:rPr>
          <w:rFonts w:ascii="Verdana" w:hAnsi="Verdana" w:cs="TimesNewRoman"/>
          <w:sz w:val="20"/>
          <w:szCs w:val="20"/>
        </w:rPr>
        <w:t>:</w:t>
      </w:r>
      <w:r w:rsidRPr="00D4312D">
        <w:rPr>
          <w:rFonts w:ascii="Verdana" w:hAnsi="Verdana" w:cs="TimesNewRoman"/>
          <w:sz w:val="16"/>
          <w:szCs w:val="16"/>
        </w:rPr>
        <w:t xml:space="preserve"> </w:t>
      </w:r>
    </w:p>
    <w:p w14:paraId="70EF2654" w14:textId="77777777" w:rsidR="007C7E7C" w:rsidRDefault="007C7E7C" w:rsidP="007C7E7C">
      <w:pPr>
        <w:pStyle w:val="Prrafodelista"/>
        <w:spacing w:line="240" w:lineRule="auto"/>
        <w:rPr>
          <w:rFonts w:ascii="Verdana" w:hAnsi="Verdana" w:cs="Tahoma"/>
          <w:sz w:val="20"/>
          <w:szCs w:val="20"/>
        </w:rPr>
      </w:pPr>
    </w:p>
    <w:p w14:paraId="219E5FED" w14:textId="77777777" w:rsidR="007C7E7C" w:rsidRPr="008F640E" w:rsidRDefault="007C7E7C" w:rsidP="007C7E7C">
      <w:pPr>
        <w:pStyle w:val="Prrafodelista"/>
        <w:spacing w:after="0" w:line="240" w:lineRule="auto"/>
        <w:ind w:left="142" w:right="146"/>
        <w:jc w:val="both"/>
        <w:rPr>
          <w:rFonts w:ascii="Verdana" w:hAnsi="Verdana" w:cs="TimesNewRoman"/>
          <w:sz w:val="16"/>
          <w:szCs w:val="16"/>
        </w:rPr>
      </w:pPr>
      <w:r w:rsidRPr="008F640E">
        <w:rPr>
          <w:rFonts w:ascii="Verdana" w:hAnsi="Verdana" w:cs="TimesNewRoman"/>
          <w:sz w:val="16"/>
          <w:szCs w:val="16"/>
        </w:rPr>
        <w:t xml:space="preserve">comprender lo que significa el derecho a la alimentación para los pueblos indígenas es mucho más complejo que lo que dimana de un simple análisis de las estadísticas sobre hambre, malnutrición o pobreza. Muchos pueblos indígenas tienen sus propias concepciones particulares de lo que es la alimentación, el hambre y la subsistencia. En general, es difícil separar conceptualmente la relación de los pueblos indígenas con los alimentos, de sus relaciones con la tierra, los recursos, la cultura, los valores y la organización social. </w:t>
      </w:r>
    </w:p>
    <w:p w14:paraId="53D2C0DE" w14:textId="77777777" w:rsidR="007C7E7C" w:rsidRPr="008F640E" w:rsidRDefault="007C7E7C" w:rsidP="007C7E7C">
      <w:pPr>
        <w:pStyle w:val="Prrafodelista"/>
        <w:spacing w:after="0" w:line="240" w:lineRule="auto"/>
        <w:ind w:left="142" w:right="146"/>
        <w:jc w:val="both"/>
        <w:rPr>
          <w:rFonts w:ascii="Verdana" w:hAnsi="Verdana" w:cs="TimesNewRoman"/>
          <w:sz w:val="16"/>
          <w:szCs w:val="16"/>
        </w:rPr>
      </w:pPr>
    </w:p>
    <w:p w14:paraId="573DE036" w14:textId="21CFA3F2" w:rsidR="007C7E7C" w:rsidRDefault="007C7E7C" w:rsidP="007C7E7C">
      <w:pPr>
        <w:pStyle w:val="Prrafodelista"/>
        <w:spacing w:after="0" w:line="240" w:lineRule="auto"/>
        <w:ind w:left="142" w:right="146"/>
        <w:jc w:val="both"/>
        <w:rPr>
          <w:rFonts w:ascii="Verdana" w:hAnsi="Verdana"/>
          <w:sz w:val="16"/>
          <w:szCs w:val="16"/>
        </w:rPr>
      </w:pPr>
      <w:r w:rsidRPr="008F640E">
        <w:rPr>
          <w:rFonts w:ascii="Verdana" w:hAnsi="Verdana"/>
          <w:sz w:val="16"/>
          <w:szCs w:val="16"/>
        </w:rPr>
        <w:t>Los alimentos, la obtención y el consumo de alimentos suelen ser una parte importante de la cultura, así como de la organización social, económica y política. Muchos pueblos indígenas entienden el derecho a una alimentación adecuada como un derecho colectivo. Normalmente consideran que las actividades de subsistencia como la caza, la pesca y la recolección son fundamentales no sólo para garantizar su derecho a la alimentación, sino también para nutrir sus culturas, idiomas, vida social e identidad. Con frecuencia, su derecho a la alimentación depende estrechamente del acceso y el control que tengan respecto de sus tierras y otros recursos naturales existentes en sus territorios</w:t>
      </w:r>
      <w:r w:rsidRPr="008F640E">
        <w:rPr>
          <w:rStyle w:val="Refdenotaalpie"/>
          <w:rFonts w:ascii="Verdana" w:hAnsi="Verdana"/>
          <w:sz w:val="16"/>
          <w:szCs w:val="16"/>
        </w:rPr>
        <w:footnoteReference w:id="261"/>
      </w:r>
      <w:r w:rsidRPr="008F640E">
        <w:rPr>
          <w:rFonts w:ascii="Verdana" w:hAnsi="Verdana"/>
          <w:sz w:val="16"/>
          <w:szCs w:val="16"/>
        </w:rPr>
        <w:t>.</w:t>
      </w:r>
    </w:p>
    <w:p w14:paraId="7BCF501B" w14:textId="77777777" w:rsidR="0056309D" w:rsidRPr="008F640E" w:rsidRDefault="0056309D" w:rsidP="0056309D">
      <w:pPr>
        <w:pStyle w:val="Prrafodelista"/>
        <w:spacing w:after="0" w:line="240" w:lineRule="auto"/>
        <w:ind w:left="0"/>
        <w:jc w:val="both"/>
        <w:rPr>
          <w:rFonts w:ascii="Verdana" w:hAnsi="Verdana"/>
          <w:sz w:val="20"/>
          <w:szCs w:val="20"/>
        </w:rPr>
      </w:pPr>
    </w:p>
    <w:p w14:paraId="5B410981" w14:textId="6A236084" w:rsidR="0056309D" w:rsidRPr="00B4480A" w:rsidRDefault="0056309D" w:rsidP="0056309D">
      <w:pPr>
        <w:pStyle w:val="Ttulo3"/>
        <w:spacing w:before="0" w:line="240" w:lineRule="auto"/>
        <w:ind w:left="567"/>
        <w:rPr>
          <w:rFonts w:ascii="Verdana" w:hAnsi="Verdana"/>
          <w:b/>
          <w:i/>
          <w:color w:val="auto"/>
          <w:sz w:val="20"/>
          <w:szCs w:val="20"/>
          <w:u w:val="single"/>
        </w:rPr>
      </w:pPr>
      <w:bookmarkStart w:id="248" w:name="_Toc25169784"/>
      <w:bookmarkStart w:id="249" w:name="_Toc30667648"/>
      <w:bookmarkStart w:id="250" w:name="_Toc32218871"/>
      <w:bookmarkStart w:id="251" w:name="_Toc32227147"/>
      <w:bookmarkStart w:id="252" w:name="_Toc34337575"/>
      <w:r w:rsidRPr="00B4480A">
        <w:rPr>
          <w:rFonts w:ascii="Verdana" w:hAnsi="Verdana"/>
          <w:b/>
          <w:i/>
          <w:color w:val="auto"/>
          <w:sz w:val="20"/>
          <w:szCs w:val="20"/>
        </w:rPr>
        <w:t xml:space="preserve">B.2. </w:t>
      </w:r>
      <w:r w:rsidRPr="00B4480A">
        <w:rPr>
          <w:rFonts w:ascii="Verdana" w:hAnsi="Verdana"/>
          <w:b/>
          <w:i/>
          <w:color w:val="auto"/>
          <w:sz w:val="20"/>
          <w:szCs w:val="20"/>
          <w:u w:val="single"/>
        </w:rPr>
        <w:t xml:space="preserve">Hechos relevantes del caso y </w:t>
      </w:r>
      <w:r w:rsidR="00E21C50">
        <w:rPr>
          <w:rFonts w:ascii="Verdana" w:hAnsi="Verdana"/>
          <w:b/>
          <w:i/>
          <w:color w:val="auto"/>
          <w:sz w:val="20"/>
          <w:szCs w:val="20"/>
          <w:u w:val="single"/>
        </w:rPr>
        <w:t>análisis de la responsabilidad e</w:t>
      </w:r>
      <w:r w:rsidRPr="00B4480A">
        <w:rPr>
          <w:rFonts w:ascii="Verdana" w:hAnsi="Verdana"/>
          <w:b/>
          <w:i/>
          <w:color w:val="auto"/>
          <w:sz w:val="20"/>
          <w:szCs w:val="20"/>
          <w:u w:val="single"/>
        </w:rPr>
        <w:t>statal</w:t>
      </w:r>
      <w:bookmarkEnd w:id="248"/>
      <w:bookmarkEnd w:id="249"/>
      <w:bookmarkEnd w:id="250"/>
      <w:bookmarkEnd w:id="251"/>
      <w:bookmarkEnd w:id="252"/>
    </w:p>
    <w:p w14:paraId="691670B4" w14:textId="77777777" w:rsidR="0056309D" w:rsidRDefault="0056309D" w:rsidP="0056309D">
      <w:pPr>
        <w:pStyle w:val="Prrafodelista"/>
        <w:spacing w:after="0" w:line="240" w:lineRule="auto"/>
        <w:ind w:left="0"/>
        <w:jc w:val="both"/>
        <w:rPr>
          <w:rFonts w:ascii="Verdana" w:hAnsi="Verdana"/>
          <w:sz w:val="20"/>
          <w:szCs w:val="20"/>
        </w:rPr>
      </w:pPr>
    </w:p>
    <w:p w14:paraId="1CEE973D" w14:textId="77777777" w:rsidR="0056309D" w:rsidRPr="00514BA3" w:rsidRDefault="0056309D" w:rsidP="0056309D">
      <w:pPr>
        <w:pStyle w:val="Prrafodelista"/>
        <w:spacing w:after="0" w:line="240" w:lineRule="auto"/>
        <w:ind w:left="851"/>
        <w:jc w:val="both"/>
        <w:outlineLvl w:val="3"/>
        <w:rPr>
          <w:rFonts w:ascii="Verdana" w:hAnsi="Verdana"/>
          <w:i/>
          <w:sz w:val="20"/>
          <w:szCs w:val="20"/>
        </w:rPr>
      </w:pPr>
      <w:bookmarkStart w:id="253" w:name="_Toc25169785"/>
      <w:bookmarkStart w:id="254" w:name="_Toc30667649"/>
      <w:bookmarkStart w:id="255" w:name="_Toc32218872"/>
      <w:bookmarkStart w:id="256" w:name="_Toc32227148"/>
      <w:bookmarkStart w:id="257" w:name="_Toc34337576"/>
      <w:r w:rsidRPr="00514BA3">
        <w:rPr>
          <w:rFonts w:ascii="Verdana" w:hAnsi="Verdana"/>
          <w:i/>
          <w:sz w:val="20"/>
          <w:szCs w:val="20"/>
        </w:rPr>
        <w:t>B.</w:t>
      </w:r>
      <w:r>
        <w:rPr>
          <w:rFonts w:ascii="Verdana" w:hAnsi="Verdana"/>
          <w:i/>
          <w:sz w:val="20"/>
          <w:szCs w:val="20"/>
        </w:rPr>
        <w:t>2</w:t>
      </w:r>
      <w:r w:rsidRPr="00514BA3">
        <w:rPr>
          <w:rFonts w:ascii="Verdana" w:hAnsi="Verdana"/>
          <w:i/>
          <w:sz w:val="20"/>
          <w:szCs w:val="20"/>
        </w:rPr>
        <w:t xml:space="preserve">.1 </w:t>
      </w:r>
      <w:r w:rsidRPr="00B4480A">
        <w:rPr>
          <w:rFonts w:ascii="Verdana" w:hAnsi="Verdana"/>
          <w:i/>
          <w:sz w:val="20"/>
          <w:szCs w:val="20"/>
          <w:u w:val="single"/>
        </w:rPr>
        <w:t>Hechos</w:t>
      </w:r>
      <w:bookmarkEnd w:id="253"/>
      <w:bookmarkEnd w:id="254"/>
      <w:bookmarkEnd w:id="255"/>
      <w:bookmarkEnd w:id="256"/>
      <w:bookmarkEnd w:id="257"/>
    </w:p>
    <w:p w14:paraId="082CBD94" w14:textId="77777777" w:rsidR="0056309D" w:rsidRPr="00D4312D" w:rsidRDefault="0056309D" w:rsidP="0056309D">
      <w:pPr>
        <w:pStyle w:val="Prrafodelista"/>
        <w:spacing w:line="240" w:lineRule="auto"/>
        <w:rPr>
          <w:rFonts w:ascii="Verdana" w:hAnsi="Verdana" w:cs="Tahoma"/>
          <w:sz w:val="20"/>
          <w:szCs w:val="20"/>
        </w:rPr>
      </w:pPr>
    </w:p>
    <w:p w14:paraId="37719602" w14:textId="18A1DE8F" w:rsidR="0056309D" w:rsidRPr="00D4312D" w:rsidRDefault="0056309D" w:rsidP="0056309D">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D4312D">
        <w:rPr>
          <w:rFonts w:ascii="Verdana" w:hAnsi="Verdana" w:cs="Tahoma"/>
          <w:sz w:val="20"/>
          <w:szCs w:val="20"/>
        </w:rPr>
        <w:t>Respecto a los hechos del caso relevantes debe resaltarse que no está controvertido que en los lotes 14 y 55 se desarrolle actividad ganadera por parte de población criolla, que se hayan instalado alambrados y que se hayan producido hechos de tala ilegal. En ese sentido, interesa destacar que Argentina ha expresado que hay “cercas de […] familias criollas”, indicando que “fueron construidas con anterioridad al [I]nforme de [F]ondo”</w:t>
      </w:r>
      <w:r>
        <w:rPr>
          <w:rFonts w:ascii="Verdana" w:hAnsi="Verdana" w:cs="Tahoma"/>
          <w:sz w:val="20"/>
          <w:szCs w:val="20"/>
        </w:rPr>
        <w:t xml:space="preserve">. </w:t>
      </w:r>
      <w:r w:rsidRPr="00D4312D">
        <w:rPr>
          <w:rFonts w:ascii="Verdana" w:hAnsi="Verdana" w:cs="Tahoma"/>
          <w:sz w:val="20"/>
          <w:szCs w:val="20"/>
        </w:rPr>
        <w:t xml:space="preserve">Además, en el “Plan Integral de Trabajo” que </w:t>
      </w:r>
      <w:r w:rsidR="00DA267D">
        <w:rPr>
          <w:rFonts w:ascii="Verdana" w:hAnsi="Verdana" w:cs="Tahoma"/>
          <w:sz w:val="20"/>
          <w:szCs w:val="20"/>
        </w:rPr>
        <w:t>elaboró</w:t>
      </w:r>
      <w:r w:rsidRPr="00D4312D">
        <w:rPr>
          <w:rFonts w:ascii="Verdana" w:hAnsi="Verdana" w:cs="Tahoma"/>
          <w:sz w:val="20"/>
          <w:szCs w:val="20"/>
        </w:rPr>
        <w:t xml:space="preserve"> en 2017 propuso acciones para el traslado del ganado.</w:t>
      </w:r>
      <w:r w:rsidR="00507FE8">
        <w:rPr>
          <w:rFonts w:ascii="Verdana" w:hAnsi="Verdana" w:cs="Tahoma"/>
          <w:sz w:val="20"/>
          <w:szCs w:val="20"/>
        </w:rPr>
        <w:t xml:space="preserve"> </w:t>
      </w:r>
      <w:r w:rsidRPr="00D4312D">
        <w:rPr>
          <w:rFonts w:ascii="Verdana" w:hAnsi="Verdana" w:cs="Tahoma"/>
          <w:sz w:val="20"/>
          <w:szCs w:val="20"/>
        </w:rPr>
        <w:t>Aunado a ello, el Estado adoptó diversas disposiciones para prevenir la tala ilegal, dando cuenta de que se encontraron “aprovechamientos forestales” sin “autorización legal” (</w:t>
      </w:r>
      <w:r w:rsidRPr="00D4312D">
        <w:rPr>
          <w:rFonts w:ascii="Verdana" w:hAnsi="Verdana" w:cs="Tahoma"/>
          <w:i/>
          <w:sz w:val="20"/>
          <w:szCs w:val="20"/>
        </w:rPr>
        <w:t>infra</w:t>
      </w:r>
      <w:r w:rsidRPr="00D4312D">
        <w:rPr>
          <w:rFonts w:ascii="Verdana" w:hAnsi="Verdana" w:cs="Tahoma"/>
          <w:sz w:val="20"/>
          <w:szCs w:val="20"/>
        </w:rPr>
        <w:t xml:space="preserve"> párr</w:t>
      </w:r>
      <w:r>
        <w:rPr>
          <w:rFonts w:ascii="Verdana" w:hAnsi="Verdana" w:cs="Tahoma"/>
          <w:sz w:val="20"/>
          <w:szCs w:val="20"/>
        </w:rPr>
        <w:t>s</w:t>
      </w:r>
      <w:r w:rsidRPr="00D4312D">
        <w:rPr>
          <w:rFonts w:ascii="Verdana" w:hAnsi="Verdana" w:cs="Tahoma"/>
          <w:sz w:val="20"/>
          <w:szCs w:val="20"/>
        </w:rPr>
        <w:t xml:space="preserve">. </w:t>
      </w:r>
      <w:r>
        <w:rPr>
          <w:rFonts w:ascii="Verdana" w:hAnsi="Verdana" w:cs="Tahoma"/>
          <w:sz w:val="20"/>
          <w:szCs w:val="20"/>
        </w:rPr>
        <w:t>269 a 271</w:t>
      </w:r>
      <w:r w:rsidRPr="00D4312D">
        <w:rPr>
          <w:rFonts w:ascii="Verdana" w:hAnsi="Verdana" w:cs="Tahoma"/>
          <w:sz w:val="20"/>
          <w:szCs w:val="20"/>
        </w:rPr>
        <w:t>).</w:t>
      </w:r>
    </w:p>
    <w:p w14:paraId="1B9489E5" w14:textId="77777777" w:rsidR="0056309D" w:rsidRDefault="0056309D" w:rsidP="0056309D">
      <w:pPr>
        <w:pStyle w:val="Prrafodelista"/>
        <w:spacing w:after="0" w:line="240" w:lineRule="auto"/>
        <w:ind w:left="0" w:right="6"/>
        <w:jc w:val="both"/>
        <w:rPr>
          <w:rFonts w:ascii="Verdana" w:eastAsia="Batang" w:hAnsi="Verdana" w:cs="Times"/>
          <w:sz w:val="20"/>
          <w:szCs w:val="20"/>
          <w:lang w:val="es-CR" w:eastAsia="es-CR"/>
        </w:rPr>
      </w:pPr>
    </w:p>
    <w:p w14:paraId="2C7ACE64" w14:textId="77777777" w:rsidR="0056309D" w:rsidRDefault="0056309D" w:rsidP="0056309D">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D4312D">
        <w:rPr>
          <w:rFonts w:ascii="Verdana" w:hAnsi="Verdana"/>
          <w:sz w:val="20"/>
          <w:szCs w:val="20"/>
        </w:rPr>
        <w:t xml:space="preserve">Es un hecho, entonces, que las comunidades indígenas no tienen una posesión de su territorio libre de interferencia. La misma </w:t>
      </w:r>
      <w:r w:rsidRPr="00D4312D">
        <w:rPr>
          <w:rFonts w:ascii="Verdana" w:hAnsi="Verdana" w:cs="Tahoma"/>
          <w:sz w:val="20"/>
          <w:szCs w:val="20"/>
        </w:rPr>
        <w:t>no se limita a</w:t>
      </w:r>
      <w:r>
        <w:rPr>
          <w:rFonts w:ascii="Verdana" w:hAnsi="Verdana" w:cs="Tahoma"/>
          <w:sz w:val="20"/>
          <w:szCs w:val="20"/>
        </w:rPr>
        <w:t xml:space="preserve"> la</w:t>
      </w:r>
      <w:r w:rsidRPr="00D4312D">
        <w:rPr>
          <w:rFonts w:ascii="Verdana" w:hAnsi="Verdana" w:cs="Tahoma"/>
          <w:sz w:val="20"/>
          <w:szCs w:val="20"/>
        </w:rPr>
        <w:t xml:space="preserve"> mera presencia de pobladores no indígenas, sino también a las actividades indicadas. Seguidamente se da cuenta de las mismas y su impacto. </w:t>
      </w:r>
    </w:p>
    <w:p w14:paraId="7E4C8EA4" w14:textId="77777777" w:rsidR="0056309D" w:rsidRDefault="0056309D" w:rsidP="0056309D">
      <w:pPr>
        <w:pStyle w:val="Prrafodelista"/>
        <w:spacing w:line="240" w:lineRule="auto"/>
        <w:rPr>
          <w:rFonts w:ascii="Verdana" w:hAnsi="Verdana"/>
          <w:i/>
          <w:sz w:val="20"/>
          <w:szCs w:val="20"/>
        </w:rPr>
      </w:pPr>
    </w:p>
    <w:p w14:paraId="5A09323F" w14:textId="77777777" w:rsidR="0056309D" w:rsidRDefault="0056309D" w:rsidP="0056309D">
      <w:pPr>
        <w:pStyle w:val="Prrafodelista"/>
        <w:spacing w:line="240" w:lineRule="auto"/>
        <w:ind w:left="1134"/>
        <w:outlineLvl w:val="4"/>
        <w:rPr>
          <w:rFonts w:ascii="Verdana" w:hAnsi="Verdana"/>
          <w:i/>
          <w:sz w:val="20"/>
          <w:szCs w:val="20"/>
        </w:rPr>
      </w:pPr>
      <w:bookmarkStart w:id="258" w:name="_Toc25169786"/>
      <w:bookmarkStart w:id="259" w:name="_Toc30667650"/>
      <w:bookmarkStart w:id="260" w:name="_Toc32227149"/>
      <w:bookmarkStart w:id="261" w:name="_Toc34337577"/>
      <w:r w:rsidRPr="00A478E9">
        <w:rPr>
          <w:rFonts w:ascii="Verdana" w:hAnsi="Verdana"/>
          <w:i/>
          <w:sz w:val="20"/>
          <w:szCs w:val="20"/>
        </w:rPr>
        <w:t>B.</w:t>
      </w:r>
      <w:r>
        <w:rPr>
          <w:rFonts w:ascii="Verdana" w:hAnsi="Verdana"/>
          <w:i/>
          <w:sz w:val="20"/>
          <w:szCs w:val="20"/>
        </w:rPr>
        <w:t>2</w:t>
      </w:r>
      <w:r w:rsidRPr="00A478E9">
        <w:rPr>
          <w:rFonts w:ascii="Verdana" w:hAnsi="Verdana"/>
          <w:i/>
          <w:sz w:val="20"/>
          <w:szCs w:val="20"/>
        </w:rPr>
        <w:t>.1.1 Ganado, tala ilegal y alambrados</w:t>
      </w:r>
      <w:bookmarkEnd w:id="258"/>
      <w:bookmarkEnd w:id="259"/>
      <w:bookmarkEnd w:id="260"/>
      <w:bookmarkEnd w:id="261"/>
    </w:p>
    <w:p w14:paraId="2DD980B7" w14:textId="77777777" w:rsidR="0056309D" w:rsidRPr="00D4312D" w:rsidRDefault="0056309D" w:rsidP="0056309D">
      <w:pPr>
        <w:pStyle w:val="Prrafodelista"/>
        <w:spacing w:line="240" w:lineRule="auto"/>
        <w:rPr>
          <w:rFonts w:ascii="Verdana" w:hAnsi="Verdana"/>
          <w:i/>
          <w:sz w:val="20"/>
          <w:szCs w:val="20"/>
        </w:rPr>
      </w:pPr>
    </w:p>
    <w:p w14:paraId="0C2BC08E" w14:textId="4A5A89E9" w:rsidR="0056309D" w:rsidRPr="00D4312D" w:rsidRDefault="0056309D" w:rsidP="0056309D">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D4312D">
        <w:rPr>
          <w:rFonts w:ascii="Verdana" w:hAnsi="Verdana"/>
          <w:i/>
          <w:sz w:val="20"/>
          <w:szCs w:val="20"/>
        </w:rPr>
        <w:t>Ganado.</w:t>
      </w:r>
      <w:r>
        <w:rPr>
          <w:rFonts w:ascii="Verdana" w:hAnsi="Verdana"/>
          <w:i/>
          <w:sz w:val="20"/>
          <w:szCs w:val="20"/>
        </w:rPr>
        <w:t>-</w:t>
      </w:r>
      <w:r w:rsidRPr="00D4312D">
        <w:rPr>
          <w:rFonts w:ascii="Verdana" w:hAnsi="Verdana"/>
          <w:i/>
          <w:sz w:val="20"/>
          <w:szCs w:val="20"/>
        </w:rPr>
        <w:t xml:space="preserve"> </w:t>
      </w:r>
      <w:r w:rsidRPr="00D4312D">
        <w:rPr>
          <w:rFonts w:ascii="Verdana" w:hAnsi="Verdana"/>
          <w:sz w:val="20"/>
          <w:szCs w:val="20"/>
        </w:rPr>
        <w:t>D</w:t>
      </w:r>
      <w:r w:rsidRPr="00D4312D">
        <w:rPr>
          <w:rFonts w:ascii="Verdana" w:hAnsi="Verdana" w:cs="Arial Narrow"/>
          <w:sz w:val="20"/>
          <w:szCs w:val="24"/>
        </w:rPr>
        <w:t>e conformidad con la prueba documental allegada por los representantes, una problemática ambiental de gravedad para el pueblo wichí ha sido la “</w:t>
      </w:r>
      <w:r w:rsidRPr="00D4312D">
        <w:rPr>
          <w:rFonts w:ascii="Verdana" w:hAnsi="Verdana" w:cs="Tahoma"/>
          <w:sz w:val="20"/>
          <w:szCs w:val="20"/>
        </w:rPr>
        <w:t>introducción de ganado, sobrepastoreo y contaminación de los cuerpos de agua con heces de animales”</w:t>
      </w:r>
      <w:r>
        <w:rPr>
          <w:rStyle w:val="Refdenotaalpie"/>
          <w:rFonts w:ascii="Verdana" w:hAnsi="Verdana"/>
          <w:sz w:val="20"/>
        </w:rPr>
        <w:footnoteReference w:id="262"/>
      </w:r>
      <w:r>
        <w:rPr>
          <w:rFonts w:ascii="Verdana" w:hAnsi="Verdana" w:cs="Tahoma"/>
          <w:sz w:val="20"/>
          <w:szCs w:val="20"/>
        </w:rPr>
        <w:t>.</w:t>
      </w:r>
      <w:r w:rsidRPr="00D4312D">
        <w:rPr>
          <w:rFonts w:ascii="Verdana" w:hAnsi="Verdana" w:cs="Tahoma"/>
          <w:sz w:val="20"/>
          <w:szCs w:val="20"/>
        </w:rPr>
        <w:t xml:space="preserve"> Documentación emitida por Salta, explica que antes de 1860 las comunidades indígenas “basaban su economía en la caza-pesca-recolección y alguna agricultura incipiente, sin tener asentamientos poblacionales estables[, y que] solamente habían incorporado la oveja y el caballo, que criaron en número reducido”. El mismo texto expresa que</w:t>
      </w:r>
      <w:r w:rsidR="00F62682">
        <w:rPr>
          <w:rFonts w:ascii="Verdana" w:hAnsi="Verdana" w:cs="Tahoma"/>
          <w:sz w:val="20"/>
          <w:szCs w:val="20"/>
        </w:rPr>
        <w:t>,</w:t>
      </w:r>
      <w:r w:rsidRPr="00D4312D">
        <w:rPr>
          <w:rFonts w:ascii="Verdana" w:hAnsi="Verdana" w:cs="Tahoma"/>
          <w:sz w:val="20"/>
          <w:szCs w:val="20"/>
        </w:rPr>
        <w:t xml:space="preserve"> a partir de la década de 1860</w:t>
      </w:r>
      <w:r w:rsidR="00F62682">
        <w:rPr>
          <w:rFonts w:ascii="Verdana" w:hAnsi="Verdana" w:cs="Tahoma"/>
          <w:sz w:val="20"/>
          <w:szCs w:val="20"/>
        </w:rPr>
        <w:t>,</w:t>
      </w:r>
      <w:r w:rsidRPr="00D4312D">
        <w:rPr>
          <w:rFonts w:ascii="Verdana" w:hAnsi="Verdana" w:cs="Tahoma"/>
          <w:sz w:val="20"/>
          <w:szCs w:val="20"/>
        </w:rPr>
        <w:t xml:space="preserve"> la población criolla asentada en el Departamento Rivadavia introdujo la ganadería mayor, y que desde inicios del siglo XX, esto “condujo al deterioro de los recursos forrajeros herbáceos y arbustivos y a la expansión de especies leñosas invasoras”</w:t>
      </w:r>
      <w:r>
        <w:rPr>
          <w:rStyle w:val="Refdenotaalpie"/>
          <w:rFonts w:ascii="Verdana" w:hAnsi="Verdana"/>
          <w:sz w:val="20"/>
        </w:rPr>
        <w:footnoteReference w:id="263"/>
      </w:r>
      <w:r w:rsidRPr="00D4312D">
        <w:rPr>
          <w:rFonts w:ascii="Verdana" w:hAnsi="Verdana" w:cs="Tahoma"/>
          <w:sz w:val="20"/>
          <w:szCs w:val="20"/>
        </w:rPr>
        <w:t xml:space="preserve">. </w:t>
      </w:r>
    </w:p>
    <w:p w14:paraId="0586B36C" w14:textId="77777777" w:rsidR="0056309D" w:rsidRDefault="0056309D" w:rsidP="0056309D">
      <w:pPr>
        <w:pStyle w:val="Prrafodelista"/>
        <w:spacing w:after="0" w:line="240" w:lineRule="auto"/>
        <w:ind w:left="0" w:right="6"/>
        <w:jc w:val="both"/>
        <w:rPr>
          <w:rFonts w:ascii="Verdana" w:eastAsia="Batang" w:hAnsi="Verdana" w:cs="Times"/>
          <w:sz w:val="20"/>
          <w:szCs w:val="20"/>
          <w:lang w:val="es-CR" w:eastAsia="es-CR"/>
        </w:rPr>
      </w:pPr>
    </w:p>
    <w:p w14:paraId="1B9DF3AE" w14:textId="77777777" w:rsidR="0056309D" w:rsidRDefault="0056309D" w:rsidP="0056309D">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D4312D">
        <w:rPr>
          <w:rFonts w:ascii="Verdana" w:hAnsi="Verdana"/>
          <w:sz w:val="20"/>
          <w:szCs w:val="20"/>
        </w:rPr>
        <w:t>En términos más puntuales, ha sido afirmado por el Estado, que los pobladores criollos crían “ganado mayor” a campo abierto.</w:t>
      </w:r>
      <w:r>
        <w:rPr>
          <w:rFonts w:ascii="Verdana" w:hAnsi="Verdana"/>
          <w:sz w:val="20"/>
          <w:szCs w:val="20"/>
        </w:rPr>
        <w:t xml:space="preserve"> </w:t>
      </w:r>
      <w:r w:rsidRPr="00D4312D">
        <w:rPr>
          <w:rFonts w:ascii="Verdana" w:hAnsi="Verdana" w:cs="Arial Narrow"/>
          <w:sz w:val="20"/>
          <w:szCs w:val="24"/>
        </w:rPr>
        <w:t xml:space="preserve">La Comisión Asesora Honoraria creada por el Decreto 18/93 del año 1993 para la regularización de los asentamientos en el lote fiscal 55, señaló que “la ganadería sin control del pastoreo ha conducido a la destrucción de los recursos, desapareciendo alrededor de cincuenta especies herbáceas y arbustos </w:t>
      </w:r>
      <w:r w:rsidRPr="00D4312D">
        <w:rPr>
          <w:rFonts w:ascii="Verdana" w:hAnsi="Verdana" w:cs="Arial Narrow"/>
          <w:sz w:val="20"/>
          <w:szCs w:val="24"/>
        </w:rPr>
        <w:lastRenderedPageBreak/>
        <w:t>en corto tiempo”. También destacó que</w:t>
      </w:r>
      <w:r>
        <w:rPr>
          <w:rFonts w:ascii="Verdana" w:hAnsi="Verdana" w:cs="Arial Narrow"/>
          <w:sz w:val="20"/>
          <w:szCs w:val="24"/>
        </w:rPr>
        <w:t>,</w:t>
      </w:r>
      <w:r w:rsidRPr="00D4312D">
        <w:rPr>
          <w:rFonts w:ascii="Verdana" w:hAnsi="Verdana" w:cs="Arial Narrow"/>
          <w:sz w:val="20"/>
          <w:szCs w:val="24"/>
        </w:rPr>
        <w:t xml:space="preserve"> por producto del pastoreo sin control</w:t>
      </w:r>
      <w:r>
        <w:rPr>
          <w:rFonts w:ascii="Verdana" w:hAnsi="Verdana" w:cs="Arial Narrow"/>
          <w:sz w:val="20"/>
          <w:szCs w:val="24"/>
        </w:rPr>
        <w:t>,</w:t>
      </w:r>
      <w:r w:rsidRPr="00D4312D">
        <w:rPr>
          <w:rFonts w:ascii="Verdana" w:hAnsi="Verdana" w:cs="Arial Narrow"/>
          <w:sz w:val="20"/>
          <w:szCs w:val="24"/>
        </w:rPr>
        <w:t xml:space="preserve"> se constató “una perdida generalizada de biodiversidad, por efecto de la selectividad del ganado en su alimentación, mientras que se produce una transformación del paisaje por la eliminación de áreas de pastizales abiertos”</w:t>
      </w:r>
      <w:r>
        <w:rPr>
          <w:rStyle w:val="Refdenotaalpie"/>
          <w:rFonts w:cs="Arial Narrow"/>
          <w:szCs w:val="24"/>
        </w:rPr>
        <w:footnoteReference w:id="264"/>
      </w:r>
      <w:r>
        <w:rPr>
          <w:rFonts w:ascii="Verdana" w:hAnsi="Verdana" w:cs="Arial Narrow"/>
          <w:sz w:val="20"/>
          <w:szCs w:val="24"/>
        </w:rPr>
        <w:t>.</w:t>
      </w:r>
    </w:p>
    <w:p w14:paraId="159A0B97" w14:textId="77777777" w:rsidR="0056309D" w:rsidRPr="00D4312D" w:rsidRDefault="0056309D" w:rsidP="0056309D">
      <w:pPr>
        <w:pStyle w:val="Prrafodelista"/>
        <w:spacing w:line="240" w:lineRule="auto"/>
        <w:rPr>
          <w:rFonts w:ascii="Verdana" w:hAnsi="Verdana" w:cs="Arial Narrow"/>
          <w:sz w:val="20"/>
          <w:szCs w:val="20"/>
        </w:rPr>
      </w:pPr>
    </w:p>
    <w:p w14:paraId="51BB6E3B" w14:textId="1DC47BF9" w:rsidR="0056309D" w:rsidRDefault="0056309D" w:rsidP="0056309D">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D4312D">
        <w:rPr>
          <w:rFonts w:ascii="Verdana" w:hAnsi="Verdana" w:cs="Arial Narrow"/>
          <w:sz w:val="20"/>
          <w:szCs w:val="20"/>
        </w:rPr>
        <w:t>Por otra parte, en un documento presentado por el Estado Nacional en 2006, se reconoció explícitamente la grave degradación ambiental por acción antrópica sufrida en el territorio de las comunidades. La actividad ganadera, se indicó, “impactó en la composición y abundancia de la fauna silvestre que contribuye en buena medida a la dieta proteica de la población indígena”</w:t>
      </w:r>
      <w:r>
        <w:rPr>
          <w:rStyle w:val="Refdenotaalpie"/>
          <w:rFonts w:cs="Arial Narrow"/>
        </w:rPr>
        <w:footnoteReference w:id="265"/>
      </w:r>
      <w:r w:rsidRPr="00D4312D">
        <w:rPr>
          <w:rFonts w:ascii="Verdana" w:hAnsi="Verdana" w:cs="Arial Narrow"/>
          <w:sz w:val="20"/>
          <w:szCs w:val="20"/>
        </w:rPr>
        <w:t>. De</w:t>
      </w:r>
      <w:r w:rsidR="00206EF7">
        <w:rPr>
          <w:rFonts w:ascii="Verdana" w:hAnsi="Verdana" w:cs="Arial Narrow"/>
          <w:sz w:val="20"/>
          <w:szCs w:val="20"/>
        </w:rPr>
        <w:t xml:space="preserve"> acuerdo a lo declarado por el C</w:t>
      </w:r>
      <w:r w:rsidRPr="00D4312D">
        <w:rPr>
          <w:rFonts w:ascii="Verdana" w:hAnsi="Verdana" w:cs="Arial Narrow"/>
          <w:sz w:val="20"/>
          <w:szCs w:val="20"/>
        </w:rPr>
        <w:t>acique Francisco Pérez, el ganado consume alimentos que utilizaría la población indígena.</w:t>
      </w:r>
    </w:p>
    <w:p w14:paraId="1E80A720" w14:textId="77777777" w:rsidR="0056309D" w:rsidRPr="00D4312D" w:rsidRDefault="0056309D" w:rsidP="0056309D">
      <w:pPr>
        <w:pStyle w:val="Prrafodelista"/>
        <w:spacing w:line="240" w:lineRule="auto"/>
        <w:rPr>
          <w:rFonts w:ascii="Verdana" w:hAnsi="Verdana" w:cs="Arial Narrow"/>
          <w:sz w:val="20"/>
          <w:szCs w:val="20"/>
        </w:rPr>
      </w:pPr>
    </w:p>
    <w:p w14:paraId="48983A5C" w14:textId="3C228FFB" w:rsidR="0056309D" w:rsidRDefault="0056309D" w:rsidP="0056309D">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D4312D">
        <w:rPr>
          <w:rFonts w:ascii="Verdana" w:hAnsi="Verdana" w:cs="Arial Narrow"/>
          <w:sz w:val="20"/>
          <w:szCs w:val="20"/>
        </w:rPr>
        <w:t>En el mismo sentido</w:t>
      </w:r>
      <w:r w:rsidR="00F62682">
        <w:rPr>
          <w:rFonts w:ascii="Verdana" w:hAnsi="Verdana" w:cs="Arial Narrow"/>
          <w:sz w:val="20"/>
          <w:szCs w:val="20"/>
        </w:rPr>
        <w:t>,</w:t>
      </w:r>
      <w:r w:rsidRPr="00D4312D">
        <w:rPr>
          <w:rFonts w:ascii="Verdana" w:hAnsi="Verdana" w:cs="Arial Narrow"/>
          <w:sz w:val="20"/>
          <w:szCs w:val="20"/>
        </w:rPr>
        <w:t xml:space="preserve"> estudios remitidos como prueba documental </w:t>
      </w:r>
      <w:r w:rsidR="00381C49">
        <w:rPr>
          <w:rFonts w:ascii="Verdana" w:hAnsi="Verdana" w:cs="Arial Narrow"/>
          <w:sz w:val="20"/>
          <w:szCs w:val="20"/>
        </w:rPr>
        <w:t>advierten</w:t>
      </w:r>
      <w:r w:rsidRPr="00D4312D">
        <w:rPr>
          <w:rFonts w:ascii="Verdana" w:hAnsi="Verdana" w:cs="Arial Narrow"/>
          <w:sz w:val="20"/>
          <w:szCs w:val="20"/>
        </w:rPr>
        <w:t xml:space="preserve"> que “el ganado de los criollos come los mismos frutos que las comunidades como la algarroba el mistol y el chañar; come los renovales de árboles palatables como el algarrobo y el quebracho; destruye los cercos de las comunidades y se come el producto de la horticultura indígena”</w:t>
      </w:r>
      <w:r>
        <w:rPr>
          <w:rStyle w:val="Refdenotaalpie"/>
          <w:rFonts w:cs="Arial Narrow"/>
        </w:rPr>
        <w:footnoteReference w:id="266"/>
      </w:r>
      <w:r w:rsidRPr="00D4312D">
        <w:rPr>
          <w:rFonts w:ascii="Verdana" w:hAnsi="Verdana" w:cs="Arial Narrow"/>
          <w:sz w:val="20"/>
          <w:szCs w:val="20"/>
        </w:rPr>
        <w:t>.</w:t>
      </w:r>
      <w:r>
        <w:rPr>
          <w:rFonts w:ascii="Verdana" w:hAnsi="Verdana" w:cs="Arial Narrow"/>
          <w:sz w:val="20"/>
          <w:szCs w:val="20"/>
        </w:rPr>
        <w:t xml:space="preserve"> </w:t>
      </w:r>
      <w:r w:rsidRPr="00D4312D">
        <w:rPr>
          <w:rFonts w:ascii="Verdana" w:hAnsi="Verdana"/>
          <w:sz w:val="20"/>
          <w:szCs w:val="20"/>
          <w:lang w:val="es-ES"/>
        </w:rPr>
        <w:t>S</w:t>
      </w:r>
      <w:r w:rsidRPr="00D4312D">
        <w:rPr>
          <w:rFonts w:ascii="Verdana" w:hAnsi="Verdana" w:cs="Arial Narrow"/>
          <w:sz w:val="20"/>
          <w:szCs w:val="20"/>
        </w:rPr>
        <w:t>e ha indicado, asimismo, “la importancia del ‘algarrobo’ para los wichís y para las diversas etnias del Chaco en general, ya que es un elemento básico en la alimentación de la gente de la región y motivo de celebraciones tradicionales de envergadura, como fueron antaño las ‘fiestas de la algarroba’</w:t>
      </w:r>
      <w:r w:rsidR="00974EE6">
        <w:rPr>
          <w:rFonts w:ascii="Verdana" w:hAnsi="Verdana" w:cs="Arial Narrow"/>
          <w:sz w:val="20"/>
          <w:szCs w:val="20"/>
        </w:rPr>
        <w:t>”</w:t>
      </w:r>
      <w:r>
        <w:rPr>
          <w:rStyle w:val="Refdenotaalpie"/>
          <w:rFonts w:cs="Arial Narrow"/>
        </w:rPr>
        <w:footnoteReference w:id="267"/>
      </w:r>
      <w:r w:rsidRPr="00D4312D">
        <w:rPr>
          <w:rFonts w:ascii="Verdana" w:hAnsi="Verdana" w:cs="Arial Narrow"/>
          <w:sz w:val="20"/>
          <w:szCs w:val="20"/>
        </w:rPr>
        <w:t xml:space="preserve">. Además, las especies nativas son utilizadas por los pueblos originarios de la zona para la elaboración de medicinas tradicionales. </w:t>
      </w:r>
    </w:p>
    <w:p w14:paraId="1303BD0E" w14:textId="77777777" w:rsidR="0056309D" w:rsidRPr="00D4312D" w:rsidRDefault="0056309D" w:rsidP="0056309D">
      <w:pPr>
        <w:pStyle w:val="Prrafodelista"/>
        <w:spacing w:line="240" w:lineRule="auto"/>
        <w:rPr>
          <w:rFonts w:ascii="Verdana" w:hAnsi="Verdana"/>
          <w:sz w:val="20"/>
          <w:szCs w:val="20"/>
          <w:lang w:val="es-CR"/>
        </w:rPr>
      </w:pPr>
    </w:p>
    <w:p w14:paraId="11788F91" w14:textId="48C98023" w:rsidR="0056309D" w:rsidRDefault="0056309D" w:rsidP="0056309D">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D4312D">
        <w:rPr>
          <w:rFonts w:ascii="Verdana" w:hAnsi="Verdana"/>
          <w:sz w:val="20"/>
          <w:szCs w:val="20"/>
          <w:lang w:val="es-CR"/>
        </w:rPr>
        <w:t>Además, se ha visto afectado el acceso al agua</w:t>
      </w:r>
      <w:r>
        <w:rPr>
          <w:rStyle w:val="Refdenotaalpie"/>
          <w:rFonts w:ascii="Verdana" w:hAnsi="Verdana"/>
          <w:sz w:val="20"/>
          <w:lang w:val="es-CR"/>
        </w:rPr>
        <w:footnoteReference w:id="268"/>
      </w:r>
      <w:r w:rsidRPr="00D4312D">
        <w:rPr>
          <w:rFonts w:ascii="Verdana" w:hAnsi="Verdana"/>
          <w:sz w:val="20"/>
          <w:szCs w:val="20"/>
          <w:lang w:val="es-CR"/>
        </w:rPr>
        <w:t>. E</w:t>
      </w:r>
      <w:r w:rsidRPr="00D4312D">
        <w:rPr>
          <w:rFonts w:ascii="Verdana" w:hAnsi="Verdana" w:cs="Arial"/>
          <w:color w:val="2A2A2A"/>
          <w:sz w:val="20"/>
          <w:szCs w:val="20"/>
          <w:lang w:val="es-CR"/>
        </w:rPr>
        <w:t xml:space="preserve">n determinadas </w:t>
      </w:r>
      <w:r w:rsidRPr="00D4312D">
        <w:rPr>
          <w:rFonts w:ascii="Verdana" w:hAnsi="Verdana" w:cs="Arial"/>
          <w:color w:val="171717"/>
          <w:sz w:val="20"/>
          <w:szCs w:val="20"/>
          <w:lang w:val="es-CR"/>
        </w:rPr>
        <w:t xml:space="preserve">zonas, la presión mayor de pastoreo produjo desertificación </w:t>
      </w:r>
      <w:r w:rsidRPr="00D4312D">
        <w:rPr>
          <w:rFonts w:ascii="Verdana" w:hAnsi="Verdana" w:cs="Arial"/>
          <w:color w:val="2A2A2A"/>
          <w:sz w:val="20"/>
          <w:szCs w:val="20"/>
          <w:lang w:val="es-CR"/>
        </w:rPr>
        <w:t xml:space="preserve">(formación </w:t>
      </w:r>
      <w:r w:rsidRPr="00D4312D">
        <w:rPr>
          <w:rFonts w:ascii="Verdana" w:hAnsi="Verdana" w:cs="Arial"/>
          <w:color w:val="171717"/>
          <w:sz w:val="20"/>
          <w:szCs w:val="20"/>
          <w:lang w:val="es-CR"/>
        </w:rPr>
        <w:t xml:space="preserve">de </w:t>
      </w:r>
      <w:r w:rsidR="00F62682">
        <w:rPr>
          <w:rFonts w:ascii="Verdana" w:hAnsi="Verdana" w:cs="Arial"/>
          <w:color w:val="2A2A2A"/>
          <w:sz w:val="20"/>
          <w:szCs w:val="20"/>
          <w:lang w:val="es-CR"/>
        </w:rPr>
        <w:t>“</w:t>
      </w:r>
      <w:r w:rsidRPr="00D4312D">
        <w:rPr>
          <w:rFonts w:ascii="Verdana" w:hAnsi="Verdana" w:cs="Arial"/>
          <w:color w:val="2A2A2A"/>
          <w:sz w:val="20"/>
          <w:szCs w:val="20"/>
          <w:lang w:val="es-CR"/>
        </w:rPr>
        <w:t>peladares</w:t>
      </w:r>
      <w:r w:rsidRPr="00F62682">
        <w:rPr>
          <w:rFonts w:ascii="Verdana" w:hAnsi="Verdana" w:cs="Arial"/>
          <w:color w:val="2A2A2A"/>
          <w:sz w:val="20"/>
          <w:szCs w:val="20"/>
          <w:lang w:val="es-CR"/>
        </w:rPr>
        <w:t>”</w:t>
      </w:r>
      <w:r w:rsidRPr="00D4312D">
        <w:rPr>
          <w:rFonts w:ascii="Verdana" w:hAnsi="Verdana" w:cs="Arial"/>
          <w:color w:val="2A2A2A"/>
          <w:sz w:val="20"/>
          <w:szCs w:val="20"/>
          <w:lang w:val="es-CR"/>
        </w:rPr>
        <w:t>)</w:t>
      </w:r>
      <w:r>
        <w:rPr>
          <w:rStyle w:val="Refdenotaalpie"/>
          <w:rFonts w:ascii="Verdana" w:hAnsi="Verdana"/>
          <w:sz w:val="20"/>
          <w:lang w:val="es-CR"/>
        </w:rPr>
        <w:footnoteReference w:id="269"/>
      </w:r>
      <w:r w:rsidRPr="00D4312D">
        <w:rPr>
          <w:rFonts w:ascii="Verdana" w:hAnsi="Verdana" w:cs="Arial"/>
          <w:sz w:val="20"/>
          <w:szCs w:val="20"/>
          <w:lang w:val="es-CR"/>
        </w:rPr>
        <w:t xml:space="preserve">. </w:t>
      </w:r>
      <w:r w:rsidRPr="00D4312D">
        <w:rPr>
          <w:rFonts w:ascii="Verdana" w:hAnsi="Verdana" w:cs="Arial"/>
          <w:sz w:val="20"/>
          <w:szCs w:val="20"/>
          <w:lang w:val="es-CR"/>
        </w:rPr>
        <w:lastRenderedPageBreak/>
        <w:t>Además el ganado consume el agua que también las comunidades requieren para su subsistencia</w:t>
      </w:r>
      <w:r>
        <w:rPr>
          <w:rStyle w:val="Refdenotaalpie"/>
          <w:rFonts w:ascii="Verdana" w:hAnsi="Verdana"/>
          <w:sz w:val="20"/>
          <w:lang w:val="es-CR"/>
        </w:rPr>
        <w:footnoteReference w:id="270"/>
      </w:r>
      <w:r w:rsidRPr="00D4312D">
        <w:rPr>
          <w:rFonts w:ascii="Verdana" w:hAnsi="Verdana" w:cs="Arial"/>
          <w:sz w:val="20"/>
          <w:szCs w:val="20"/>
          <w:lang w:val="es-CR"/>
        </w:rPr>
        <w:t>, verificándose muchas veces situaciones en las que el agua es contaminada por las heces de los animales. Aunado a ello, conforme indicó la perita Naharro,</w:t>
      </w:r>
      <w:r>
        <w:rPr>
          <w:rFonts w:ascii="Verdana" w:hAnsi="Verdana" w:cs="Arial"/>
          <w:sz w:val="20"/>
          <w:szCs w:val="20"/>
          <w:lang w:val="es-CR"/>
        </w:rPr>
        <w:t xml:space="preserve"> </w:t>
      </w:r>
      <w:r w:rsidRPr="00D4312D">
        <w:rPr>
          <w:rFonts w:ascii="Verdana" w:hAnsi="Verdana" w:cs="Arial Narrow"/>
          <w:sz w:val="20"/>
          <w:szCs w:val="20"/>
          <w:lang w:val="es-CR"/>
        </w:rPr>
        <w:t>“[a]nte la escasez de agua, las comunidades a veces ven vedado el acceso a los reservorios de agua, ya que las familias criollas alambran alrededor, impidiendo el uso a los indígenas”</w:t>
      </w:r>
      <w:r>
        <w:rPr>
          <w:rStyle w:val="Refdenotaalpie"/>
          <w:rFonts w:ascii="Verdana" w:hAnsi="Verdana"/>
          <w:sz w:val="20"/>
          <w:lang w:val="es-CR"/>
        </w:rPr>
        <w:footnoteReference w:id="271"/>
      </w:r>
      <w:r w:rsidRPr="00D4312D">
        <w:rPr>
          <w:rFonts w:ascii="Verdana" w:hAnsi="Verdana" w:cs="Arial Narrow"/>
          <w:sz w:val="20"/>
          <w:szCs w:val="20"/>
          <w:lang w:val="es-CR"/>
        </w:rPr>
        <w:t>.</w:t>
      </w:r>
      <w:r w:rsidRPr="00D4312D">
        <w:rPr>
          <w:rFonts w:ascii="Verdana" w:hAnsi="Verdana" w:cs="Arial"/>
          <w:sz w:val="20"/>
          <w:szCs w:val="20"/>
          <w:lang w:val="es-CR"/>
        </w:rPr>
        <w:t xml:space="preserve"> </w:t>
      </w:r>
    </w:p>
    <w:p w14:paraId="59285A1B" w14:textId="77777777" w:rsidR="0056309D" w:rsidRPr="00D4312D" w:rsidRDefault="0056309D" w:rsidP="0056309D">
      <w:pPr>
        <w:pStyle w:val="Prrafodelista"/>
        <w:spacing w:line="240" w:lineRule="auto"/>
        <w:rPr>
          <w:rFonts w:ascii="Verdana" w:hAnsi="Verdana" w:cs="Arial Narrow"/>
          <w:i/>
          <w:sz w:val="20"/>
          <w:szCs w:val="24"/>
        </w:rPr>
      </w:pPr>
    </w:p>
    <w:p w14:paraId="7C15B2FE" w14:textId="08C03CF2" w:rsidR="0056309D" w:rsidRDefault="0056309D" w:rsidP="0056309D">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D4312D">
        <w:rPr>
          <w:rFonts w:ascii="Verdana" w:hAnsi="Verdana" w:cs="Arial Narrow"/>
          <w:i/>
          <w:sz w:val="20"/>
          <w:szCs w:val="24"/>
        </w:rPr>
        <w:t>Tala ilegal</w:t>
      </w:r>
      <w:r w:rsidRPr="00206EF7">
        <w:rPr>
          <w:rFonts w:ascii="Verdana" w:hAnsi="Verdana" w:cs="Arial Narrow"/>
          <w:i/>
          <w:sz w:val="20"/>
          <w:szCs w:val="24"/>
        </w:rPr>
        <w:t xml:space="preserve">.- </w:t>
      </w:r>
      <w:r w:rsidRPr="00206EF7">
        <w:rPr>
          <w:rFonts w:ascii="Verdana" w:hAnsi="Verdana" w:cs="Arial Narrow"/>
          <w:sz w:val="20"/>
          <w:szCs w:val="24"/>
        </w:rPr>
        <w:t>Otro aspecto señalado por los representantes es el de la tala ilegal.</w:t>
      </w:r>
      <w:r w:rsidR="000555A9" w:rsidRPr="00206EF7">
        <w:rPr>
          <w:rFonts w:ascii="Verdana" w:hAnsi="Verdana" w:cs="Arial Narrow"/>
          <w:sz w:val="20"/>
          <w:szCs w:val="24"/>
        </w:rPr>
        <w:t xml:space="preserve"> De acuerdo a señalamientos de lo</w:t>
      </w:r>
      <w:r w:rsidR="001C53E3" w:rsidRPr="00206EF7">
        <w:rPr>
          <w:rFonts w:ascii="Verdana" w:hAnsi="Verdana" w:cs="Arial Narrow"/>
          <w:sz w:val="20"/>
          <w:szCs w:val="24"/>
        </w:rPr>
        <w:t>s representantes, el carácter “ilegal” de la actividad de tala tiene sustento en distintas disposiciones</w:t>
      </w:r>
      <w:r w:rsidR="006D44A9" w:rsidRPr="00206EF7">
        <w:rPr>
          <w:rFonts w:ascii="Verdana" w:hAnsi="Verdana" w:cs="Arial Narrow"/>
          <w:sz w:val="20"/>
          <w:szCs w:val="24"/>
        </w:rPr>
        <w:t xml:space="preserve"> que, a partir de 1991, restringieron la explotación forestal</w:t>
      </w:r>
      <w:r w:rsidR="001C53E3" w:rsidRPr="00206EF7">
        <w:rPr>
          <w:rFonts w:ascii="Verdana" w:hAnsi="Verdana" w:cs="Arial Narrow"/>
          <w:sz w:val="20"/>
          <w:szCs w:val="24"/>
        </w:rPr>
        <w:t xml:space="preserve"> (</w:t>
      </w:r>
      <w:r w:rsidR="001C53E3" w:rsidRPr="00206EF7">
        <w:rPr>
          <w:rFonts w:ascii="Verdana" w:hAnsi="Verdana" w:cs="Arial Narrow"/>
          <w:i/>
          <w:sz w:val="20"/>
          <w:szCs w:val="24"/>
        </w:rPr>
        <w:t>infra</w:t>
      </w:r>
      <w:r w:rsidR="001C53E3" w:rsidRPr="00206EF7">
        <w:rPr>
          <w:rFonts w:ascii="Verdana" w:hAnsi="Verdana" w:cs="Arial Narrow"/>
          <w:sz w:val="20"/>
          <w:szCs w:val="24"/>
        </w:rPr>
        <w:t>, párr. 269).</w:t>
      </w:r>
      <w:r w:rsidRPr="00206EF7">
        <w:rPr>
          <w:rFonts w:ascii="Verdana" w:hAnsi="Verdana" w:cs="Arial Narrow"/>
          <w:sz w:val="20"/>
          <w:szCs w:val="24"/>
        </w:rPr>
        <w:t xml:space="preserve"> Documentación</w:t>
      </w:r>
      <w:r w:rsidRPr="00D4312D">
        <w:rPr>
          <w:rFonts w:ascii="Verdana" w:hAnsi="Verdana" w:cs="Arial Narrow"/>
          <w:sz w:val="20"/>
          <w:szCs w:val="24"/>
        </w:rPr>
        <w:t xml:space="preserve"> estatal ha indicado como una de las causas de la “degradación bio-socio-económica del D[e]p[artamen]to […] Rivadavia” la “actividad forestal” que se “realiza sin la aplicación de mínimas normas de racionalidad ni de precauciones que tiendan a asegurar el porvenir de las masas boscosas, y menos aún de compatibilizar con los usos ganaderos y requerimientos de la fauna. La </w:t>
      </w:r>
      <w:r w:rsidR="00381C49">
        <w:rPr>
          <w:rFonts w:ascii="Verdana" w:hAnsi="Verdana" w:cs="Arial Narrow"/>
          <w:sz w:val="20"/>
          <w:szCs w:val="24"/>
        </w:rPr>
        <w:t>[vasta]</w:t>
      </w:r>
      <w:r w:rsidRPr="00D4312D">
        <w:rPr>
          <w:rFonts w:ascii="Verdana" w:hAnsi="Verdana" w:cs="Arial Narrow"/>
          <w:sz w:val="20"/>
          <w:szCs w:val="24"/>
        </w:rPr>
        <w:t xml:space="preserve"> legislación ambiental vigente no tiene ningún efecto positivo, […] la actividad forestal clandestina es casi una habitualidad”</w:t>
      </w:r>
      <w:r w:rsidRPr="00230E52">
        <w:rPr>
          <w:rStyle w:val="Refdenotaalpie"/>
          <w:rFonts w:ascii="Verdana" w:hAnsi="Verdana"/>
          <w:sz w:val="20"/>
        </w:rPr>
        <w:footnoteReference w:id="272"/>
      </w:r>
      <w:r w:rsidRPr="00D4312D">
        <w:rPr>
          <w:rFonts w:ascii="Verdana" w:hAnsi="Verdana" w:cs="Arial Narrow"/>
          <w:sz w:val="20"/>
          <w:szCs w:val="24"/>
        </w:rPr>
        <w:t xml:space="preserve">. </w:t>
      </w:r>
    </w:p>
    <w:p w14:paraId="6780BDC5" w14:textId="77777777" w:rsidR="0056309D" w:rsidRPr="00D4312D" w:rsidRDefault="0056309D" w:rsidP="0056309D">
      <w:pPr>
        <w:pStyle w:val="Prrafodelista"/>
        <w:spacing w:line="240" w:lineRule="auto"/>
        <w:rPr>
          <w:rFonts w:ascii="Verdana" w:hAnsi="Verdana" w:cs="Tahoma"/>
          <w:sz w:val="20"/>
          <w:szCs w:val="20"/>
        </w:rPr>
      </w:pPr>
    </w:p>
    <w:p w14:paraId="50FD2660" w14:textId="7A7ADBD2" w:rsidR="0056309D" w:rsidRDefault="0056309D" w:rsidP="0056309D">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D4312D">
        <w:rPr>
          <w:rFonts w:ascii="Verdana" w:hAnsi="Verdana" w:cs="Tahoma"/>
          <w:sz w:val="20"/>
          <w:szCs w:val="20"/>
        </w:rPr>
        <w:t>Las comunidades indígenas señalaron que la degradación ambiental del territorio comenzó en los albores del siglo XX, de modo simultáneo a la introducción de animales por parte de los criollos colonizadores. Arguye</w:t>
      </w:r>
      <w:r w:rsidR="009C02E5">
        <w:rPr>
          <w:rFonts w:ascii="Verdana" w:hAnsi="Verdana" w:cs="Tahoma"/>
          <w:sz w:val="20"/>
          <w:szCs w:val="20"/>
        </w:rPr>
        <w:t>ro</w:t>
      </w:r>
      <w:r w:rsidRPr="00D4312D">
        <w:rPr>
          <w:rFonts w:ascii="Verdana" w:hAnsi="Verdana" w:cs="Tahoma"/>
          <w:sz w:val="20"/>
          <w:szCs w:val="20"/>
        </w:rPr>
        <w:t xml:space="preserve">n </w:t>
      </w:r>
      <w:r>
        <w:rPr>
          <w:rFonts w:ascii="Verdana" w:hAnsi="Verdana" w:cs="Tahoma"/>
          <w:sz w:val="20"/>
          <w:szCs w:val="20"/>
        </w:rPr>
        <w:t>que</w:t>
      </w:r>
      <w:r w:rsidRPr="00D4312D">
        <w:rPr>
          <w:rFonts w:ascii="Verdana" w:hAnsi="Verdana" w:cs="Tahoma"/>
          <w:sz w:val="20"/>
          <w:szCs w:val="20"/>
        </w:rPr>
        <w:t xml:space="preserve"> las actividades que fueron desarrollándose</w:t>
      </w:r>
      <w:r>
        <w:rPr>
          <w:rFonts w:ascii="Verdana" w:hAnsi="Verdana" w:cs="Tahoma"/>
          <w:sz w:val="20"/>
          <w:szCs w:val="20"/>
        </w:rPr>
        <w:t xml:space="preserve"> </w:t>
      </w:r>
      <w:r w:rsidRPr="00D4312D">
        <w:rPr>
          <w:rFonts w:ascii="Verdana" w:hAnsi="Verdana" w:cs="Tahoma"/>
          <w:sz w:val="20"/>
          <w:szCs w:val="20"/>
        </w:rPr>
        <w:t>traj</w:t>
      </w:r>
      <w:r w:rsidR="00381C49">
        <w:rPr>
          <w:rFonts w:ascii="Verdana" w:hAnsi="Verdana" w:cs="Tahoma"/>
          <w:sz w:val="20"/>
          <w:szCs w:val="20"/>
        </w:rPr>
        <w:t>eron</w:t>
      </w:r>
      <w:r w:rsidRPr="00D4312D">
        <w:rPr>
          <w:rFonts w:ascii="Verdana" w:hAnsi="Verdana" w:cs="Tahoma"/>
          <w:sz w:val="20"/>
          <w:szCs w:val="20"/>
        </w:rPr>
        <w:t xml:space="preserve"> como consecuencia inmediata la tala de los bosques para su utilización en la industria maderera y de carbón y </w:t>
      </w:r>
      <w:r w:rsidR="00381C49">
        <w:rPr>
          <w:rFonts w:ascii="Verdana" w:hAnsi="Verdana" w:cs="Tahoma"/>
          <w:sz w:val="20"/>
          <w:szCs w:val="20"/>
        </w:rPr>
        <w:t xml:space="preserve">en </w:t>
      </w:r>
      <w:r w:rsidRPr="00D4312D">
        <w:rPr>
          <w:rFonts w:ascii="Verdana" w:hAnsi="Verdana" w:cs="Tahoma"/>
          <w:sz w:val="20"/>
          <w:szCs w:val="20"/>
        </w:rPr>
        <w:t>los cerramientos y cercos de las familias criollas.</w:t>
      </w:r>
    </w:p>
    <w:p w14:paraId="1AB61BBA" w14:textId="77777777" w:rsidR="0056309D" w:rsidRPr="00D4312D" w:rsidRDefault="0056309D" w:rsidP="0056309D">
      <w:pPr>
        <w:pStyle w:val="Prrafodelista"/>
        <w:spacing w:line="240" w:lineRule="auto"/>
        <w:rPr>
          <w:rFonts w:ascii="Verdana" w:hAnsi="Verdana" w:cs="Arial"/>
          <w:sz w:val="20"/>
          <w:szCs w:val="20"/>
          <w:lang w:val="es-CR"/>
        </w:rPr>
      </w:pPr>
    </w:p>
    <w:p w14:paraId="575262CB" w14:textId="10E2FBD8" w:rsidR="0056309D" w:rsidRDefault="0056309D" w:rsidP="0056309D">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D4312D">
        <w:rPr>
          <w:rFonts w:ascii="Verdana" w:hAnsi="Verdana" w:cs="Arial"/>
          <w:sz w:val="20"/>
          <w:szCs w:val="20"/>
          <w:lang w:val="es-CR"/>
        </w:rPr>
        <w:t xml:space="preserve">La Comisión Interamericana expresó, a su vez, que </w:t>
      </w:r>
      <w:r w:rsidR="009C02E5">
        <w:rPr>
          <w:rFonts w:ascii="Verdana" w:hAnsi="Verdana" w:cs="Arial"/>
          <w:sz w:val="20"/>
          <w:szCs w:val="20"/>
          <w:lang w:val="es-CR"/>
        </w:rPr>
        <w:t xml:space="preserve">las </w:t>
      </w:r>
      <w:r w:rsidRPr="00D4312D">
        <w:rPr>
          <w:rFonts w:ascii="Verdana" w:hAnsi="Verdana" w:cs="Arial"/>
          <w:sz w:val="20"/>
          <w:szCs w:val="20"/>
          <w:lang w:val="es-CR"/>
        </w:rPr>
        <w:t xml:space="preserve">comunidades indígenas peticionarias han denunciado en forma constante y consistente que en su territorio se han realizado actividades de tala y extracción ilegal de madera y otros recursos naturales, y que tales actividades han sido puestas en conocimiento de las autoridades estatales en distintos ámbitos, particularmente en el curso del proceso ante la propia Comisión. Los representantes han señalado la metodología utilizada para realizar esta práctica: </w:t>
      </w:r>
      <w:r w:rsidRPr="00D4312D">
        <w:rPr>
          <w:rFonts w:ascii="Verdana" w:hAnsi="Verdana" w:cs="Arial Narrow"/>
          <w:sz w:val="20"/>
          <w:szCs w:val="20"/>
          <w:lang w:val="es-CR"/>
        </w:rPr>
        <w:t xml:space="preserve">el corte de árboles en el monte y, posteriormente, el ingreso de tractores y camiones que retiran la leña por caminos diversos. </w:t>
      </w:r>
      <w:r w:rsidRPr="00D4312D">
        <w:rPr>
          <w:rFonts w:ascii="Verdana" w:hAnsi="Verdana" w:cs="Arial"/>
          <w:sz w:val="20"/>
          <w:szCs w:val="20"/>
          <w:lang w:val="es-CR"/>
        </w:rPr>
        <w:t>Autoridades estatales ha</w:t>
      </w:r>
      <w:r>
        <w:rPr>
          <w:rFonts w:ascii="Verdana" w:hAnsi="Verdana" w:cs="Arial"/>
          <w:sz w:val="20"/>
          <w:szCs w:val="20"/>
          <w:lang w:val="es-CR"/>
        </w:rPr>
        <w:t>n</w:t>
      </w:r>
      <w:r w:rsidRPr="00D4312D">
        <w:rPr>
          <w:rFonts w:ascii="Verdana" w:hAnsi="Verdana" w:cs="Arial"/>
          <w:sz w:val="20"/>
          <w:szCs w:val="20"/>
          <w:lang w:val="es-CR"/>
        </w:rPr>
        <w:t xml:space="preserve"> reconocido la existencia de este problema, como surge de las acciones que se detallan más adelante (</w:t>
      </w:r>
      <w:r w:rsidRPr="00D4312D">
        <w:rPr>
          <w:rFonts w:ascii="Verdana" w:hAnsi="Verdana" w:cs="Arial"/>
          <w:i/>
          <w:sz w:val="20"/>
          <w:szCs w:val="20"/>
          <w:lang w:val="es-CR"/>
        </w:rPr>
        <w:t>infra</w:t>
      </w:r>
      <w:r w:rsidRPr="00D4312D">
        <w:rPr>
          <w:rFonts w:ascii="Verdana" w:hAnsi="Verdana" w:cs="Arial"/>
          <w:sz w:val="20"/>
          <w:szCs w:val="20"/>
          <w:lang w:val="es-CR"/>
        </w:rPr>
        <w:t>, párr</w:t>
      </w:r>
      <w:r>
        <w:rPr>
          <w:rFonts w:ascii="Verdana" w:hAnsi="Verdana" w:cs="Arial"/>
          <w:sz w:val="20"/>
          <w:szCs w:val="20"/>
          <w:lang w:val="es-CR"/>
        </w:rPr>
        <w:t>s</w:t>
      </w:r>
      <w:r w:rsidRPr="00D4312D">
        <w:rPr>
          <w:rFonts w:ascii="Verdana" w:hAnsi="Verdana" w:cs="Arial"/>
          <w:sz w:val="20"/>
          <w:szCs w:val="20"/>
          <w:lang w:val="es-CR"/>
        </w:rPr>
        <w:t xml:space="preserve">. </w:t>
      </w:r>
      <w:r>
        <w:rPr>
          <w:rFonts w:ascii="Verdana" w:hAnsi="Verdana" w:cs="Arial"/>
          <w:sz w:val="20"/>
          <w:szCs w:val="20"/>
          <w:lang w:val="es-CR"/>
        </w:rPr>
        <w:t>269 a 271</w:t>
      </w:r>
      <w:r w:rsidRPr="00D4312D">
        <w:rPr>
          <w:rFonts w:ascii="Verdana" w:hAnsi="Verdana" w:cs="Arial"/>
          <w:sz w:val="20"/>
          <w:szCs w:val="20"/>
          <w:lang w:val="es-CR"/>
        </w:rPr>
        <w:t>)</w:t>
      </w:r>
      <w:r>
        <w:rPr>
          <w:rStyle w:val="Refdenotaalpie"/>
          <w:rFonts w:ascii="Verdana" w:hAnsi="Verdana"/>
          <w:sz w:val="20"/>
          <w:lang w:val="es-CR"/>
        </w:rPr>
        <w:footnoteReference w:id="273"/>
      </w:r>
      <w:r w:rsidRPr="00D4312D">
        <w:rPr>
          <w:rFonts w:ascii="Verdana" w:hAnsi="Verdana" w:cs="Arial"/>
          <w:i/>
          <w:sz w:val="20"/>
          <w:szCs w:val="20"/>
          <w:lang w:val="es-CR"/>
        </w:rPr>
        <w:t xml:space="preserve"> </w:t>
      </w:r>
      <w:r w:rsidR="00111851">
        <w:rPr>
          <w:rFonts w:ascii="Verdana" w:hAnsi="Verdana" w:cs="Arial"/>
          <w:sz w:val="20"/>
          <w:szCs w:val="20"/>
          <w:lang w:val="es-CR"/>
        </w:rPr>
        <w:t>y en el trámite del caso</w:t>
      </w:r>
      <w:r w:rsidRPr="00D4312D">
        <w:rPr>
          <w:rFonts w:ascii="Verdana" w:hAnsi="Verdana" w:cs="Arial"/>
          <w:sz w:val="20"/>
          <w:szCs w:val="20"/>
          <w:lang w:val="es-CR"/>
        </w:rPr>
        <w:t xml:space="preserve"> se ha</w:t>
      </w:r>
      <w:r w:rsidR="00111851">
        <w:rPr>
          <w:rFonts w:ascii="Verdana" w:hAnsi="Verdana" w:cs="Arial"/>
          <w:sz w:val="20"/>
          <w:szCs w:val="20"/>
          <w:lang w:val="es-CR"/>
        </w:rPr>
        <w:t>n</w:t>
      </w:r>
      <w:r w:rsidRPr="00D4312D">
        <w:rPr>
          <w:rFonts w:ascii="Verdana" w:hAnsi="Verdana" w:cs="Arial"/>
          <w:sz w:val="20"/>
          <w:szCs w:val="20"/>
          <w:lang w:val="es-CR"/>
        </w:rPr>
        <w:t xml:space="preserve"> comprometido a adoptar acciones para prevenir su ocurrencia. </w:t>
      </w:r>
      <w:r w:rsidRPr="00D4312D">
        <w:rPr>
          <w:rFonts w:ascii="Verdana" w:hAnsi="Verdana" w:cs="Arial"/>
          <w:b/>
          <w:bCs/>
          <w:sz w:val="20"/>
          <w:szCs w:val="20"/>
          <w:lang w:val="es-CR"/>
        </w:rPr>
        <w:t xml:space="preserve"> </w:t>
      </w:r>
    </w:p>
    <w:p w14:paraId="0EA4F6BE" w14:textId="77777777" w:rsidR="0056309D" w:rsidRPr="00D4312D" w:rsidRDefault="0056309D" w:rsidP="0056309D">
      <w:pPr>
        <w:pStyle w:val="Prrafodelista"/>
        <w:spacing w:line="240" w:lineRule="auto"/>
        <w:rPr>
          <w:rFonts w:ascii="Verdana" w:hAnsi="Verdana" w:cs="Tahoma"/>
          <w:sz w:val="20"/>
          <w:szCs w:val="20"/>
        </w:rPr>
      </w:pPr>
    </w:p>
    <w:p w14:paraId="699A8733" w14:textId="32C05341" w:rsidR="0056309D" w:rsidRDefault="009C02E5" w:rsidP="0056309D">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Pr>
          <w:rFonts w:ascii="Verdana" w:hAnsi="Verdana" w:cs="Tahoma"/>
          <w:sz w:val="20"/>
          <w:szCs w:val="20"/>
        </w:rPr>
        <w:lastRenderedPageBreak/>
        <w:t xml:space="preserve">El Cacique </w:t>
      </w:r>
      <w:r w:rsidR="0056309D" w:rsidRPr="00D4312D">
        <w:rPr>
          <w:rFonts w:ascii="Verdana" w:hAnsi="Verdana" w:cs="Tahoma"/>
          <w:sz w:val="20"/>
          <w:szCs w:val="20"/>
        </w:rPr>
        <w:t xml:space="preserve">Rogelio </w:t>
      </w:r>
      <w:r w:rsidR="0056309D" w:rsidRPr="00D4312D">
        <w:rPr>
          <w:rFonts w:ascii="Verdana" w:hAnsi="Verdana" w:cs="Arial Narrow"/>
          <w:sz w:val="20"/>
          <w:szCs w:val="20"/>
        </w:rPr>
        <w:t xml:space="preserve">Segundo, en la audiencia pública ante este Tribunal, explicó que la tala </w:t>
      </w:r>
      <w:r w:rsidR="0056309D">
        <w:rPr>
          <w:rFonts w:ascii="Verdana" w:hAnsi="Verdana" w:cs="Arial Narrow"/>
          <w:sz w:val="20"/>
          <w:szCs w:val="20"/>
        </w:rPr>
        <w:t xml:space="preserve">es </w:t>
      </w:r>
      <w:r w:rsidR="0056309D" w:rsidRPr="00D4312D">
        <w:rPr>
          <w:rFonts w:ascii="Verdana" w:hAnsi="Verdana" w:cs="Arial Narrow"/>
          <w:sz w:val="20"/>
          <w:szCs w:val="20"/>
        </w:rPr>
        <w:t>algo que “</w:t>
      </w:r>
      <w:r w:rsidR="0056309D" w:rsidRPr="00D4312D">
        <w:rPr>
          <w:rFonts w:ascii="Verdana" w:hAnsi="Verdana"/>
          <w:sz w:val="20"/>
          <w:szCs w:val="20"/>
        </w:rPr>
        <w:t xml:space="preserve">perjudica mucho al territorio” pues se “degrada el monte”, “no hay flor ni fruta”, hay animales que se van y menos colmenas para recoger miel. Agregó que, pese a las denuncias realizadas ante el Estado, no han logrado frenar esta actividad, y que producto de la misma, se han generado inundaciones. </w:t>
      </w:r>
      <w:r>
        <w:rPr>
          <w:rFonts w:ascii="Verdana" w:hAnsi="Verdana"/>
          <w:sz w:val="20"/>
          <w:szCs w:val="20"/>
        </w:rPr>
        <w:t xml:space="preserve">El Cacique </w:t>
      </w:r>
      <w:r w:rsidR="0056309D" w:rsidRPr="00D4312D">
        <w:rPr>
          <w:rFonts w:ascii="Verdana" w:hAnsi="Verdana"/>
          <w:sz w:val="20"/>
          <w:szCs w:val="20"/>
        </w:rPr>
        <w:t>Francisco Pérez, por su parte, señaló que “el Estado no controla, los criollos son los primeros que cortan y</w:t>
      </w:r>
      <w:r w:rsidR="0056309D">
        <w:rPr>
          <w:rFonts w:ascii="Verdana" w:hAnsi="Verdana"/>
          <w:sz w:val="20"/>
          <w:szCs w:val="20"/>
        </w:rPr>
        <w:t xml:space="preserve"> nosotros los caciques decimos ‘</w:t>
      </w:r>
      <w:r w:rsidR="0056309D" w:rsidRPr="00D4312D">
        <w:rPr>
          <w:rFonts w:ascii="Verdana" w:hAnsi="Verdana"/>
          <w:sz w:val="20"/>
          <w:szCs w:val="20"/>
        </w:rPr>
        <w:t>vamos a denunciar</w:t>
      </w:r>
      <w:r w:rsidR="0056309D">
        <w:rPr>
          <w:rFonts w:ascii="Verdana" w:hAnsi="Verdana"/>
          <w:sz w:val="20"/>
          <w:szCs w:val="20"/>
        </w:rPr>
        <w:t>’</w:t>
      </w:r>
      <w:r w:rsidR="0056309D" w:rsidRPr="00D4312D">
        <w:rPr>
          <w:rFonts w:ascii="Verdana" w:hAnsi="Verdana"/>
          <w:sz w:val="20"/>
          <w:szCs w:val="20"/>
        </w:rPr>
        <w:t xml:space="preserve">, y nada, denunciar, denunciar y nada, no hay respuesta”. </w:t>
      </w:r>
      <w:r w:rsidR="00381C49">
        <w:rPr>
          <w:rFonts w:ascii="Verdana" w:hAnsi="Verdana"/>
          <w:sz w:val="20"/>
          <w:szCs w:val="20"/>
        </w:rPr>
        <w:t>Tras la c</w:t>
      </w:r>
      <w:r w:rsidR="0056309D" w:rsidRPr="00D4312D">
        <w:rPr>
          <w:rFonts w:ascii="Verdana" w:hAnsi="Verdana"/>
          <w:sz w:val="20"/>
          <w:szCs w:val="20"/>
        </w:rPr>
        <w:t xml:space="preserve">onsulta </w:t>
      </w:r>
      <w:r w:rsidR="0056309D">
        <w:rPr>
          <w:rFonts w:ascii="Verdana" w:hAnsi="Verdana"/>
          <w:sz w:val="20"/>
          <w:szCs w:val="20"/>
        </w:rPr>
        <w:t>en la audiencia pública</w:t>
      </w:r>
      <w:r w:rsidR="0056309D" w:rsidRPr="00D4312D">
        <w:rPr>
          <w:rFonts w:ascii="Verdana" w:hAnsi="Verdana"/>
          <w:sz w:val="20"/>
          <w:szCs w:val="20"/>
        </w:rPr>
        <w:t xml:space="preserve"> sobre cómo consiguen sus medicinas a raíz de la escasez de </w:t>
      </w:r>
      <w:r w:rsidR="0056309D">
        <w:rPr>
          <w:rFonts w:ascii="Verdana" w:hAnsi="Verdana"/>
          <w:sz w:val="20"/>
          <w:szCs w:val="20"/>
        </w:rPr>
        <w:t>especies arbóreas típicas, el señor</w:t>
      </w:r>
      <w:r w:rsidR="0056309D" w:rsidRPr="00D4312D">
        <w:rPr>
          <w:rFonts w:ascii="Verdana" w:hAnsi="Verdana"/>
          <w:sz w:val="20"/>
          <w:szCs w:val="20"/>
        </w:rPr>
        <w:t xml:space="preserve"> Pérez señal</w:t>
      </w:r>
      <w:r w:rsidR="0056309D">
        <w:rPr>
          <w:rFonts w:ascii="Verdana" w:hAnsi="Verdana"/>
          <w:sz w:val="20"/>
          <w:szCs w:val="20"/>
        </w:rPr>
        <w:t>ó</w:t>
      </w:r>
      <w:r w:rsidR="0056309D" w:rsidRPr="00D4312D">
        <w:rPr>
          <w:rFonts w:ascii="Verdana" w:hAnsi="Verdana"/>
          <w:sz w:val="20"/>
          <w:szCs w:val="20"/>
        </w:rPr>
        <w:t xml:space="preserve"> que su sistema de medicina depende de los bosques y que “cuando </w:t>
      </w:r>
      <w:r w:rsidR="0056309D">
        <w:rPr>
          <w:rFonts w:ascii="Verdana" w:hAnsi="Verdana"/>
          <w:sz w:val="20"/>
          <w:szCs w:val="20"/>
        </w:rPr>
        <w:t xml:space="preserve">[hay] </w:t>
      </w:r>
      <w:r w:rsidR="0056309D" w:rsidRPr="00D4312D">
        <w:rPr>
          <w:rFonts w:ascii="Verdana" w:hAnsi="Verdana"/>
          <w:sz w:val="20"/>
          <w:szCs w:val="20"/>
        </w:rPr>
        <w:t xml:space="preserve">lluvia crecen las plantas pero el problema es que cuando crece la planta, tiernito, vienen los animales y comen la planta, por eso no hay. Pensamos que si </w:t>
      </w:r>
      <w:r w:rsidR="0056309D">
        <w:rPr>
          <w:rFonts w:ascii="Verdana" w:hAnsi="Verdana"/>
          <w:sz w:val="20"/>
          <w:szCs w:val="20"/>
        </w:rPr>
        <w:t xml:space="preserve">[de] </w:t>
      </w:r>
      <w:r w:rsidR="0056309D" w:rsidRPr="00D4312D">
        <w:rPr>
          <w:rFonts w:ascii="Verdana" w:hAnsi="Verdana"/>
          <w:sz w:val="20"/>
          <w:szCs w:val="20"/>
        </w:rPr>
        <w:t xml:space="preserve">una vez se sacan los animales, en dos años podemos tener un hermoso bosque”. </w:t>
      </w:r>
    </w:p>
    <w:p w14:paraId="6841A7DC" w14:textId="77777777" w:rsidR="0056309D" w:rsidRPr="00D4312D" w:rsidRDefault="0056309D" w:rsidP="0056309D">
      <w:pPr>
        <w:pStyle w:val="Prrafodelista"/>
        <w:spacing w:line="240" w:lineRule="auto"/>
        <w:rPr>
          <w:rFonts w:ascii="Verdana" w:hAnsi="Verdana"/>
          <w:i/>
          <w:sz w:val="20"/>
          <w:szCs w:val="20"/>
          <w:lang w:val="es-ES"/>
        </w:rPr>
      </w:pPr>
    </w:p>
    <w:p w14:paraId="39D1982F" w14:textId="30EBA49D" w:rsidR="0056309D" w:rsidRDefault="0056309D" w:rsidP="0056309D">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D4312D">
        <w:rPr>
          <w:rFonts w:ascii="Verdana" w:hAnsi="Verdana"/>
          <w:i/>
          <w:sz w:val="20"/>
          <w:szCs w:val="20"/>
          <w:lang w:val="es-ES"/>
        </w:rPr>
        <w:t>Alambrados.</w:t>
      </w:r>
      <w:r>
        <w:rPr>
          <w:rFonts w:ascii="Verdana" w:hAnsi="Verdana"/>
          <w:i/>
          <w:sz w:val="20"/>
          <w:szCs w:val="20"/>
          <w:lang w:val="es-ES"/>
        </w:rPr>
        <w:t>-</w:t>
      </w:r>
      <w:r w:rsidRPr="00D4312D">
        <w:rPr>
          <w:rFonts w:ascii="Verdana" w:hAnsi="Verdana"/>
          <w:i/>
          <w:sz w:val="20"/>
          <w:szCs w:val="20"/>
          <w:lang w:val="es-ES"/>
        </w:rPr>
        <w:t xml:space="preserve"> </w:t>
      </w:r>
      <w:r w:rsidRPr="00D4312D">
        <w:rPr>
          <w:rFonts w:ascii="Verdana" w:hAnsi="Verdana"/>
          <w:sz w:val="20"/>
          <w:szCs w:val="20"/>
          <w:lang w:val="es-ES"/>
        </w:rPr>
        <w:t xml:space="preserve">Respecto a los </w:t>
      </w:r>
      <w:r w:rsidR="00381C49">
        <w:rPr>
          <w:rFonts w:ascii="Verdana" w:hAnsi="Verdana"/>
          <w:sz w:val="20"/>
          <w:szCs w:val="20"/>
          <w:lang w:val="es-ES"/>
        </w:rPr>
        <w:t xml:space="preserve">referidos </w:t>
      </w:r>
      <w:r w:rsidRPr="00D4312D">
        <w:rPr>
          <w:rFonts w:ascii="Verdana" w:hAnsi="Verdana"/>
          <w:sz w:val="20"/>
          <w:szCs w:val="20"/>
          <w:lang w:val="es-ES"/>
        </w:rPr>
        <w:t>alambrados, ya e</w:t>
      </w:r>
      <w:r w:rsidRPr="00D4312D">
        <w:rPr>
          <w:rFonts w:ascii="Verdana" w:hAnsi="Verdana" w:cs="Arial Narrow"/>
          <w:sz w:val="20"/>
          <w:szCs w:val="20"/>
        </w:rPr>
        <w:t>n 1991 las comunidades afirmaron que existían alambrados puestos por los criollos. Ese año indicaron que en los diez años anteriores, los criollos ya t[enían muchos] kilómetros […] de alambrado, cortando el paso al río y al monte</w:t>
      </w:r>
      <w:r>
        <w:rPr>
          <w:rStyle w:val="Refdenotaalpie"/>
          <w:rFonts w:cs="Arial Narrow"/>
        </w:rPr>
        <w:footnoteReference w:id="274"/>
      </w:r>
      <w:r w:rsidRPr="00D4312D">
        <w:rPr>
          <w:rFonts w:ascii="Verdana" w:hAnsi="Verdana" w:cs="Arial Narrow"/>
          <w:sz w:val="20"/>
          <w:szCs w:val="20"/>
        </w:rPr>
        <w:t>.</w:t>
      </w:r>
      <w:r>
        <w:rPr>
          <w:rFonts w:ascii="Verdana" w:hAnsi="Verdana" w:cs="Arial Narrow"/>
          <w:sz w:val="20"/>
          <w:szCs w:val="20"/>
        </w:rPr>
        <w:t xml:space="preserve"> </w:t>
      </w:r>
      <w:r w:rsidRPr="00D4312D">
        <w:rPr>
          <w:rFonts w:ascii="Verdana" w:hAnsi="Verdana" w:cs="Arial Narrow"/>
          <w:sz w:val="20"/>
          <w:szCs w:val="20"/>
        </w:rPr>
        <w:t>El cacique Rogelio Segundo declaró que los alambrados afectan a los indígenas, pues les obstaculiza</w:t>
      </w:r>
      <w:r w:rsidRPr="00D4312D">
        <w:rPr>
          <w:rFonts w:ascii="Verdana" w:hAnsi="Verdana"/>
        </w:rPr>
        <w:t xml:space="preserve"> </w:t>
      </w:r>
      <w:r w:rsidRPr="00D4312D">
        <w:rPr>
          <w:rFonts w:ascii="Verdana" w:hAnsi="Verdana"/>
          <w:sz w:val="20"/>
          <w:szCs w:val="20"/>
        </w:rPr>
        <w:t>“caminar libres […] para buscar el alimento”.</w:t>
      </w:r>
      <w:r>
        <w:rPr>
          <w:rFonts w:ascii="Verdana" w:hAnsi="Verdana"/>
          <w:sz w:val="20"/>
          <w:szCs w:val="20"/>
        </w:rPr>
        <w:t xml:space="preserve"> </w:t>
      </w:r>
      <w:r w:rsidRPr="00D4312D">
        <w:rPr>
          <w:rFonts w:ascii="Verdana" w:hAnsi="Verdana"/>
          <w:sz w:val="20"/>
          <w:szCs w:val="20"/>
        </w:rPr>
        <w:t>Diversos actos, inclusive emanados del Estado (</w:t>
      </w:r>
      <w:r w:rsidRPr="00D4312D">
        <w:rPr>
          <w:rFonts w:ascii="Verdana" w:hAnsi="Verdana"/>
          <w:i/>
          <w:sz w:val="20"/>
          <w:szCs w:val="20"/>
        </w:rPr>
        <w:t>infra</w:t>
      </w:r>
      <w:r w:rsidRPr="00D4312D">
        <w:rPr>
          <w:rFonts w:ascii="Verdana" w:hAnsi="Verdana"/>
          <w:sz w:val="20"/>
          <w:szCs w:val="20"/>
        </w:rPr>
        <w:t xml:space="preserve"> párrs. </w:t>
      </w:r>
      <w:r>
        <w:rPr>
          <w:rFonts w:ascii="Verdana" w:hAnsi="Verdana"/>
          <w:sz w:val="20"/>
          <w:szCs w:val="20"/>
        </w:rPr>
        <w:t>267 y 268</w:t>
      </w:r>
      <w:r w:rsidRPr="00D4312D">
        <w:rPr>
          <w:rFonts w:ascii="Verdana" w:hAnsi="Verdana"/>
          <w:sz w:val="20"/>
          <w:szCs w:val="20"/>
        </w:rPr>
        <w:t xml:space="preserve">), denotan que la presencia de alambrados se ha mantenido en el curso de los años.  </w:t>
      </w:r>
    </w:p>
    <w:p w14:paraId="38C8272E" w14:textId="77777777" w:rsidR="0056309D" w:rsidRDefault="0056309D" w:rsidP="0056309D">
      <w:pPr>
        <w:pStyle w:val="Prrafodelista"/>
        <w:spacing w:line="240" w:lineRule="auto"/>
        <w:rPr>
          <w:rFonts w:ascii="Verdana" w:hAnsi="Verdana" w:cs="Tahoma"/>
          <w:sz w:val="20"/>
          <w:szCs w:val="20"/>
        </w:rPr>
      </w:pPr>
    </w:p>
    <w:p w14:paraId="7193DCF6" w14:textId="77777777" w:rsidR="0056309D" w:rsidRPr="00A478E9" w:rsidRDefault="0056309D" w:rsidP="0056309D">
      <w:pPr>
        <w:pStyle w:val="Prrafodelista"/>
        <w:spacing w:line="240" w:lineRule="auto"/>
        <w:ind w:left="1134"/>
        <w:outlineLvl w:val="4"/>
        <w:rPr>
          <w:rFonts w:ascii="Verdana" w:hAnsi="Verdana"/>
          <w:i/>
          <w:sz w:val="20"/>
          <w:szCs w:val="20"/>
        </w:rPr>
      </w:pPr>
      <w:bookmarkStart w:id="262" w:name="_Toc25169787"/>
      <w:bookmarkStart w:id="263" w:name="_Toc30667651"/>
      <w:bookmarkStart w:id="264" w:name="_Toc32218873"/>
      <w:bookmarkStart w:id="265" w:name="_Toc32227150"/>
      <w:bookmarkStart w:id="266" w:name="_Toc34337578"/>
      <w:r w:rsidRPr="00A478E9">
        <w:rPr>
          <w:rFonts w:ascii="Verdana" w:hAnsi="Verdana"/>
          <w:i/>
          <w:sz w:val="20"/>
          <w:szCs w:val="20"/>
        </w:rPr>
        <w:t>B.</w:t>
      </w:r>
      <w:r>
        <w:rPr>
          <w:rFonts w:ascii="Verdana" w:hAnsi="Verdana"/>
          <w:i/>
          <w:sz w:val="20"/>
          <w:szCs w:val="20"/>
        </w:rPr>
        <w:t>2.</w:t>
      </w:r>
      <w:r w:rsidRPr="00A478E9">
        <w:rPr>
          <w:rFonts w:ascii="Verdana" w:hAnsi="Verdana"/>
          <w:i/>
          <w:sz w:val="20"/>
          <w:szCs w:val="20"/>
        </w:rPr>
        <w:t>1.</w:t>
      </w:r>
      <w:r>
        <w:rPr>
          <w:rFonts w:ascii="Verdana" w:hAnsi="Verdana"/>
          <w:i/>
          <w:sz w:val="20"/>
          <w:szCs w:val="20"/>
        </w:rPr>
        <w:t>2</w:t>
      </w:r>
      <w:r w:rsidRPr="00A478E9">
        <w:rPr>
          <w:rFonts w:ascii="Verdana" w:hAnsi="Verdana"/>
          <w:i/>
          <w:sz w:val="20"/>
          <w:szCs w:val="20"/>
        </w:rPr>
        <w:t xml:space="preserve"> </w:t>
      </w:r>
      <w:r>
        <w:rPr>
          <w:rFonts w:ascii="Verdana" w:hAnsi="Verdana"/>
          <w:i/>
          <w:sz w:val="20"/>
          <w:szCs w:val="20"/>
        </w:rPr>
        <w:t>Acciones desarrolladas por el Estado</w:t>
      </w:r>
      <w:bookmarkEnd w:id="262"/>
      <w:bookmarkEnd w:id="263"/>
      <w:bookmarkEnd w:id="264"/>
      <w:bookmarkEnd w:id="265"/>
      <w:bookmarkEnd w:id="266"/>
    </w:p>
    <w:p w14:paraId="5090AD9F" w14:textId="77777777" w:rsidR="0056309D" w:rsidRPr="00AE6F65" w:rsidRDefault="0056309D" w:rsidP="0056309D">
      <w:pPr>
        <w:pStyle w:val="Prrafodelista"/>
        <w:spacing w:line="240" w:lineRule="auto"/>
        <w:rPr>
          <w:rFonts w:ascii="Verdana" w:hAnsi="Verdana" w:cs="Tahoma"/>
          <w:sz w:val="20"/>
          <w:szCs w:val="20"/>
        </w:rPr>
      </w:pPr>
    </w:p>
    <w:p w14:paraId="59618819" w14:textId="430D7289" w:rsidR="0056309D" w:rsidRPr="00AE6F65" w:rsidRDefault="0056309D" w:rsidP="0056309D">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AE6F65">
        <w:rPr>
          <w:rFonts w:ascii="Verdana" w:hAnsi="Verdana" w:cs="Tahoma"/>
          <w:sz w:val="20"/>
          <w:szCs w:val="20"/>
        </w:rPr>
        <w:t>E</w:t>
      </w:r>
      <w:r w:rsidRPr="00AE6F65">
        <w:rPr>
          <w:rFonts w:ascii="Verdana" w:hAnsi="Verdana" w:cs="Arial Narrow"/>
          <w:sz w:val="20"/>
          <w:szCs w:val="20"/>
        </w:rPr>
        <w:t>n diversas oportunidades el Estado se comprometió a tomar acciones sobre los alambrados. En diciembre de 2000 afirmó que tomaría medidas para impedir su instalación y “ajustar” controles al respecto</w:t>
      </w:r>
      <w:r>
        <w:rPr>
          <w:rStyle w:val="Refdenotaalpie"/>
          <w:rFonts w:cs="Arial Narrow"/>
        </w:rPr>
        <w:footnoteReference w:id="275"/>
      </w:r>
      <w:r w:rsidRPr="00AE6F65">
        <w:rPr>
          <w:rFonts w:ascii="Verdana" w:hAnsi="Verdana" w:cs="Arial Narrow"/>
          <w:sz w:val="20"/>
          <w:szCs w:val="20"/>
        </w:rPr>
        <w:t xml:space="preserve">. </w:t>
      </w:r>
      <w:r w:rsidR="00381C49">
        <w:rPr>
          <w:rFonts w:ascii="Verdana" w:hAnsi="Verdana" w:cs="Arial Narrow"/>
          <w:sz w:val="20"/>
          <w:szCs w:val="20"/>
        </w:rPr>
        <w:t>Después</w:t>
      </w:r>
      <w:r w:rsidRPr="00AE6F65">
        <w:rPr>
          <w:rFonts w:ascii="Verdana" w:hAnsi="Verdana" w:cs="Arial Narrow"/>
          <w:sz w:val="20"/>
          <w:szCs w:val="20"/>
        </w:rPr>
        <w:t>, el 6 de febrero de 2001, la Provincia se comprometió a presentar un informe con relación al tendido ilegal de alambrados</w:t>
      </w:r>
      <w:r>
        <w:rPr>
          <w:rStyle w:val="Refdenotaalpie"/>
          <w:rFonts w:cs="Arial Narrow"/>
        </w:rPr>
        <w:footnoteReference w:id="276"/>
      </w:r>
      <w:r w:rsidRPr="00AE6F65">
        <w:rPr>
          <w:rFonts w:ascii="Verdana" w:hAnsi="Verdana" w:cs="Arial Narrow"/>
          <w:sz w:val="20"/>
          <w:szCs w:val="20"/>
        </w:rPr>
        <w:t xml:space="preserve">, sin que conste que </w:t>
      </w:r>
      <w:r w:rsidR="00381C49">
        <w:rPr>
          <w:rFonts w:ascii="Verdana" w:hAnsi="Verdana" w:cs="Arial Narrow"/>
          <w:sz w:val="20"/>
          <w:szCs w:val="20"/>
        </w:rPr>
        <w:t>s</w:t>
      </w:r>
      <w:r w:rsidRPr="00AE6F65">
        <w:rPr>
          <w:rFonts w:ascii="Verdana" w:hAnsi="Verdana" w:cs="Arial Narrow"/>
          <w:sz w:val="20"/>
          <w:szCs w:val="20"/>
        </w:rPr>
        <w:t xml:space="preserve">e haya efectuado. El 2 de agosto de 2002 el Ministerio de la Producción y el Empleo de Salta emitió la </w:t>
      </w:r>
      <w:r w:rsidRPr="00AE6F65">
        <w:rPr>
          <w:rFonts w:ascii="Verdana" w:hAnsi="Verdana" w:cs="Arial Narrow,Bold"/>
          <w:bCs/>
          <w:sz w:val="20"/>
          <w:szCs w:val="20"/>
        </w:rPr>
        <w:t>Resolución 295</w:t>
      </w:r>
      <w:r w:rsidRPr="00AE6F65">
        <w:rPr>
          <w:rFonts w:ascii="Verdana" w:hAnsi="Verdana" w:cs="Arial Narrow,Bold"/>
          <w:b/>
          <w:bCs/>
          <w:sz w:val="20"/>
          <w:szCs w:val="20"/>
        </w:rPr>
        <w:t xml:space="preserve"> </w:t>
      </w:r>
      <w:r w:rsidRPr="00AE6F65">
        <w:rPr>
          <w:rFonts w:ascii="Verdana" w:hAnsi="Verdana" w:cs="Arial Narrow"/>
          <w:sz w:val="20"/>
          <w:szCs w:val="20"/>
        </w:rPr>
        <w:t xml:space="preserve">en la que prohibió la instalación de alambrados en los lotes fiscales </w:t>
      </w:r>
      <w:r>
        <w:rPr>
          <w:rFonts w:ascii="Verdana" w:hAnsi="Verdana" w:cs="Arial Narrow"/>
          <w:sz w:val="20"/>
          <w:szCs w:val="20"/>
        </w:rPr>
        <w:t xml:space="preserve">14 y </w:t>
      </w:r>
      <w:r w:rsidRPr="00AE6F65">
        <w:rPr>
          <w:rFonts w:ascii="Verdana" w:hAnsi="Verdana" w:cs="Arial Narrow"/>
          <w:sz w:val="20"/>
          <w:szCs w:val="20"/>
        </w:rPr>
        <w:t>55</w:t>
      </w:r>
      <w:r>
        <w:rPr>
          <w:rFonts w:ascii="Verdana" w:hAnsi="Verdana" w:cs="Arial Narrow"/>
          <w:sz w:val="20"/>
          <w:szCs w:val="20"/>
        </w:rPr>
        <w:t xml:space="preserve"> </w:t>
      </w:r>
      <w:r w:rsidRPr="00AE6F65">
        <w:rPr>
          <w:rFonts w:ascii="Verdana" w:hAnsi="Verdana" w:cs="Arial Narrow"/>
          <w:sz w:val="20"/>
          <w:szCs w:val="20"/>
        </w:rPr>
        <w:t xml:space="preserve">hasta </w:t>
      </w:r>
      <w:r w:rsidR="00381C49">
        <w:rPr>
          <w:rFonts w:ascii="Verdana" w:hAnsi="Verdana" w:cs="Arial Narrow"/>
          <w:sz w:val="20"/>
          <w:szCs w:val="20"/>
        </w:rPr>
        <w:t>que</w:t>
      </w:r>
      <w:r w:rsidRPr="00AE6F65">
        <w:rPr>
          <w:rFonts w:ascii="Verdana" w:hAnsi="Verdana" w:cs="Arial Narrow"/>
          <w:sz w:val="20"/>
          <w:szCs w:val="20"/>
        </w:rPr>
        <w:t xml:space="preserve"> culminara el proceso de regularización de tierras</w:t>
      </w:r>
      <w:r>
        <w:rPr>
          <w:rStyle w:val="Refdenotaalpie"/>
          <w:rFonts w:cs="Arial Narrow"/>
        </w:rPr>
        <w:footnoteReference w:id="277"/>
      </w:r>
      <w:r w:rsidRPr="00AE6F65">
        <w:rPr>
          <w:rFonts w:ascii="Verdana" w:hAnsi="Verdana" w:cs="Arial Narrow"/>
          <w:sz w:val="20"/>
          <w:szCs w:val="20"/>
        </w:rPr>
        <w:t xml:space="preserve">. En similar sentido, en 2014 aprobó el </w:t>
      </w:r>
      <w:r w:rsidRPr="00AE6F65">
        <w:rPr>
          <w:rFonts w:ascii="Verdana" w:hAnsi="Verdana" w:cs="Arial Narrow,Bold"/>
          <w:bCs/>
          <w:sz w:val="20"/>
          <w:szCs w:val="20"/>
        </w:rPr>
        <w:t>Decreto 1498/14</w:t>
      </w:r>
      <w:r w:rsidRPr="00AE6F65">
        <w:rPr>
          <w:rFonts w:ascii="Verdana" w:hAnsi="Verdana" w:cs="Arial Narrow"/>
          <w:sz w:val="20"/>
          <w:szCs w:val="20"/>
        </w:rPr>
        <w:t xml:space="preserve"> </w:t>
      </w:r>
      <w:r w:rsidRPr="00AE6F65">
        <w:rPr>
          <w:rFonts w:ascii="Verdana" w:hAnsi="Verdana" w:cs="Arial Narrow"/>
          <w:i/>
          <w:sz w:val="20"/>
          <w:szCs w:val="20"/>
        </w:rPr>
        <w:t xml:space="preserve">(supra </w:t>
      </w:r>
      <w:r w:rsidRPr="00AE6F65">
        <w:rPr>
          <w:rFonts w:ascii="Verdana" w:hAnsi="Verdana" w:cs="Arial Narrow"/>
          <w:sz w:val="20"/>
          <w:szCs w:val="20"/>
        </w:rPr>
        <w:t>párr.</w:t>
      </w:r>
      <w:r w:rsidR="009C02E5">
        <w:rPr>
          <w:rFonts w:ascii="Verdana" w:hAnsi="Verdana" w:cs="Arial Narrow"/>
          <w:sz w:val="20"/>
          <w:szCs w:val="20"/>
        </w:rPr>
        <w:t xml:space="preserve"> </w:t>
      </w:r>
      <w:r>
        <w:rPr>
          <w:rFonts w:ascii="Verdana" w:hAnsi="Verdana" w:cs="Arial Narrow"/>
          <w:sz w:val="20"/>
          <w:szCs w:val="20"/>
        </w:rPr>
        <w:t>80</w:t>
      </w:r>
      <w:r w:rsidRPr="00AE6F65">
        <w:rPr>
          <w:rFonts w:ascii="Verdana" w:hAnsi="Verdana" w:cs="Arial Narrow"/>
          <w:sz w:val="20"/>
          <w:szCs w:val="20"/>
        </w:rPr>
        <w:t xml:space="preserve">), que en su artículo 8 especificó que “[h]asta tanto no se delimite el territorio que les corresponde a las comunidades indígenas, y los lotes de las familias criollas, no podrán construirse nuevos alambrados ni explotarse recursos forestales fuera de las necesidades de subsistencia”. </w:t>
      </w:r>
    </w:p>
    <w:p w14:paraId="0DAF1109" w14:textId="77777777" w:rsidR="0056309D" w:rsidRDefault="0056309D" w:rsidP="0056309D">
      <w:pPr>
        <w:pStyle w:val="Prrafodelista"/>
        <w:spacing w:after="0" w:line="240" w:lineRule="auto"/>
        <w:ind w:left="0" w:right="6"/>
        <w:jc w:val="both"/>
        <w:rPr>
          <w:rFonts w:ascii="Verdana" w:eastAsia="Batang" w:hAnsi="Verdana" w:cs="Times"/>
          <w:sz w:val="20"/>
          <w:szCs w:val="20"/>
          <w:lang w:val="es-CR" w:eastAsia="es-CR"/>
        </w:rPr>
      </w:pPr>
    </w:p>
    <w:p w14:paraId="102D339B" w14:textId="08DA1487" w:rsidR="0056309D" w:rsidRDefault="0056309D" w:rsidP="0056309D">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AE6F65">
        <w:rPr>
          <w:rFonts w:ascii="Verdana" w:hAnsi="Verdana" w:cs="Arial Narrow"/>
          <w:sz w:val="20"/>
          <w:szCs w:val="24"/>
        </w:rPr>
        <w:t>El Estado informó en su contestación que “[s]e continúa trabajando en la prevención y control de construcción de alambrados nuevos prohibidos en zona de reclamo indígena”, e informó que</w:t>
      </w:r>
      <w:r>
        <w:rPr>
          <w:rFonts w:ascii="Verdana" w:hAnsi="Verdana" w:cs="Arial Narrow"/>
          <w:sz w:val="20"/>
          <w:szCs w:val="24"/>
        </w:rPr>
        <w:t>,</w:t>
      </w:r>
      <w:r w:rsidRPr="00AE6F65">
        <w:rPr>
          <w:rFonts w:ascii="Verdana" w:hAnsi="Verdana" w:cs="Arial Narrow"/>
          <w:sz w:val="20"/>
          <w:szCs w:val="24"/>
        </w:rPr>
        <w:t xml:space="preserve"> luego de emitido el Informe de Fondo</w:t>
      </w:r>
      <w:r>
        <w:rPr>
          <w:rFonts w:ascii="Verdana" w:hAnsi="Verdana" w:cs="Arial Narrow"/>
          <w:sz w:val="20"/>
          <w:szCs w:val="24"/>
        </w:rPr>
        <w:t>,</w:t>
      </w:r>
      <w:r w:rsidRPr="00AE6F65">
        <w:rPr>
          <w:rFonts w:ascii="Verdana" w:hAnsi="Verdana" w:cs="Arial Narrow"/>
          <w:sz w:val="20"/>
          <w:szCs w:val="24"/>
        </w:rPr>
        <w:t xml:space="preserve"> autoridades </w:t>
      </w:r>
      <w:r w:rsidRPr="00AE6F65">
        <w:rPr>
          <w:rFonts w:ascii="Verdana" w:hAnsi="Verdana" w:cs="Arial Narrow"/>
          <w:sz w:val="20"/>
          <w:szCs w:val="24"/>
        </w:rPr>
        <w:lastRenderedPageBreak/>
        <w:t>provinciales adoptaron un “Protocolo de Actuación para el Fortalecimiento del Control de los Alambrados”, que establece acciones de prevención o control a partir de denuncias formales. Afirmó que “[a] diciembre de 2017</w:t>
      </w:r>
      <w:r w:rsidR="00111851">
        <w:rPr>
          <w:rFonts w:ascii="Verdana" w:hAnsi="Verdana" w:cs="Arial Narrow"/>
          <w:sz w:val="20"/>
          <w:szCs w:val="24"/>
        </w:rPr>
        <w:t>”</w:t>
      </w:r>
      <w:r w:rsidRPr="00AE6F65">
        <w:rPr>
          <w:rFonts w:ascii="Verdana" w:hAnsi="Verdana" w:cs="Arial Narrow"/>
          <w:sz w:val="20"/>
          <w:szCs w:val="24"/>
        </w:rPr>
        <w:t xml:space="preserve">, no se había recibido ninguna denuncia de instalación de nuevos alambrados, y que “en los distintos casos en que </w:t>
      </w:r>
      <w:r w:rsidRPr="00AE6F65">
        <w:rPr>
          <w:rFonts w:ascii="Verdana" w:hAnsi="Verdana" w:cs="Arial Narrow"/>
          <w:sz w:val="20"/>
          <w:szCs w:val="20"/>
        </w:rPr>
        <w:t>tuvo conocimiento</w:t>
      </w:r>
      <w:r w:rsidRPr="00AE6F65">
        <w:rPr>
          <w:rFonts w:ascii="Verdana" w:hAnsi="Verdana" w:cs="Arial Narrow"/>
          <w:sz w:val="20"/>
          <w:szCs w:val="24"/>
        </w:rPr>
        <w:t xml:space="preserve"> […] de la existencia de alambrados nuevos, construidos en la zona de reclamo indígena, se instaron las acciones administrativas y judiciales”. No dio cuenta de la cantidad y resultados de esas acciones. </w:t>
      </w:r>
      <w:r w:rsidR="00381C49">
        <w:rPr>
          <w:rFonts w:ascii="Verdana" w:hAnsi="Verdana" w:cs="Arial Narrow"/>
          <w:sz w:val="20"/>
          <w:szCs w:val="24"/>
        </w:rPr>
        <w:t xml:space="preserve">En </w:t>
      </w:r>
      <w:r w:rsidRPr="00AE6F65">
        <w:rPr>
          <w:rFonts w:ascii="Verdana" w:hAnsi="Verdana" w:cs="Arial Narrow"/>
          <w:sz w:val="20"/>
          <w:szCs w:val="24"/>
        </w:rPr>
        <w:t>abril de 2018, existían numerosos alambrados en territorio indígena</w:t>
      </w:r>
      <w:r>
        <w:rPr>
          <w:rStyle w:val="Refdenotaalpie"/>
        </w:rPr>
        <w:footnoteReference w:id="278"/>
      </w:r>
      <w:r w:rsidRPr="00AE6F65">
        <w:rPr>
          <w:rFonts w:ascii="Verdana" w:hAnsi="Verdana" w:cs="Arial Narrow"/>
          <w:sz w:val="20"/>
          <w:szCs w:val="24"/>
        </w:rPr>
        <w:t xml:space="preserve">, y se observaron alambrados durante la visita </w:t>
      </w:r>
      <w:r w:rsidRPr="00AE6F65">
        <w:rPr>
          <w:rFonts w:ascii="Verdana" w:hAnsi="Verdana" w:cs="Arial Narrow"/>
          <w:i/>
          <w:sz w:val="20"/>
          <w:szCs w:val="24"/>
        </w:rPr>
        <w:t>in situ</w:t>
      </w:r>
      <w:r w:rsidRPr="00AE6F65">
        <w:rPr>
          <w:rFonts w:ascii="Verdana" w:hAnsi="Verdana" w:cs="Arial Narrow"/>
          <w:sz w:val="20"/>
          <w:szCs w:val="24"/>
        </w:rPr>
        <w:t xml:space="preserve"> de mayo de 2019</w:t>
      </w:r>
      <w:r w:rsidR="00111851">
        <w:rPr>
          <w:rFonts w:ascii="Verdana" w:hAnsi="Verdana" w:cs="Arial Narrow"/>
          <w:sz w:val="20"/>
          <w:szCs w:val="24"/>
        </w:rPr>
        <w:t xml:space="preserve"> (</w:t>
      </w:r>
      <w:r w:rsidR="00111851">
        <w:rPr>
          <w:rFonts w:ascii="Verdana" w:hAnsi="Verdana" w:cs="Arial Narrow"/>
          <w:i/>
          <w:sz w:val="20"/>
          <w:szCs w:val="24"/>
        </w:rPr>
        <w:t xml:space="preserve">supra </w:t>
      </w:r>
      <w:r w:rsidR="00111851">
        <w:rPr>
          <w:rFonts w:ascii="Verdana" w:hAnsi="Verdana" w:cs="Arial Narrow"/>
          <w:sz w:val="20"/>
          <w:szCs w:val="24"/>
        </w:rPr>
        <w:t>párr</w:t>
      </w:r>
      <w:r w:rsidRPr="00AE6F65">
        <w:rPr>
          <w:rFonts w:ascii="Verdana" w:hAnsi="Verdana" w:cs="Arial Narrow"/>
          <w:sz w:val="20"/>
          <w:szCs w:val="24"/>
        </w:rPr>
        <w:t>.</w:t>
      </w:r>
      <w:r w:rsidR="00111851">
        <w:rPr>
          <w:rFonts w:ascii="Verdana" w:hAnsi="Verdana" w:cs="Arial Narrow"/>
          <w:sz w:val="20"/>
          <w:szCs w:val="24"/>
        </w:rPr>
        <w:t xml:space="preserve"> 10).</w:t>
      </w:r>
      <w:r w:rsidRPr="00AE6F65">
        <w:rPr>
          <w:rFonts w:ascii="Verdana" w:hAnsi="Verdana" w:cs="Arial Narrow"/>
          <w:sz w:val="20"/>
          <w:szCs w:val="24"/>
        </w:rPr>
        <w:t xml:space="preserve"> </w:t>
      </w:r>
    </w:p>
    <w:p w14:paraId="312170AA" w14:textId="77777777" w:rsidR="0056309D" w:rsidRPr="00AE6F65" w:rsidRDefault="0056309D" w:rsidP="0056309D">
      <w:pPr>
        <w:pStyle w:val="Prrafodelista"/>
        <w:spacing w:line="240" w:lineRule="auto"/>
        <w:rPr>
          <w:rFonts w:ascii="Verdana" w:hAnsi="Verdana" w:cs="Arial Narrow"/>
          <w:sz w:val="20"/>
          <w:szCs w:val="24"/>
        </w:rPr>
      </w:pPr>
    </w:p>
    <w:p w14:paraId="6AEBFBCD" w14:textId="009857E7" w:rsidR="0056309D" w:rsidRPr="00AE6F65" w:rsidRDefault="0056309D" w:rsidP="0056309D">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AE6F65">
        <w:rPr>
          <w:rFonts w:ascii="Verdana" w:hAnsi="Verdana" w:cs="Arial Narrow"/>
          <w:sz w:val="20"/>
          <w:szCs w:val="24"/>
        </w:rPr>
        <w:t>Sobre la tala ilegal, el Estado adoptó diversas normas: consta que e</w:t>
      </w:r>
      <w:r w:rsidRPr="00AE6F65">
        <w:rPr>
          <w:rFonts w:ascii="Verdana" w:hAnsi="Verdana" w:cs="Arial Narrow"/>
          <w:sz w:val="20"/>
          <w:szCs w:val="20"/>
        </w:rPr>
        <w:t>n 1991 y 1995 la Provincia dictó dos decretos,</w:t>
      </w:r>
      <w:r>
        <w:rPr>
          <w:rFonts w:ascii="Verdana" w:hAnsi="Verdana" w:cs="Arial Narrow"/>
          <w:sz w:val="20"/>
          <w:szCs w:val="20"/>
        </w:rPr>
        <w:t xml:space="preserve"> numerados</w:t>
      </w:r>
      <w:r w:rsidRPr="00AE6F65">
        <w:rPr>
          <w:rFonts w:ascii="Verdana" w:hAnsi="Verdana" w:cs="Arial Narrow"/>
          <w:sz w:val="20"/>
          <w:szCs w:val="20"/>
        </w:rPr>
        <w:t xml:space="preserve"> 2609 y 3097, respectivamente, que ordenaban la suspensión de permisos de explotación forestal dentro de los lotes fiscales </w:t>
      </w:r>
      <w:r>
        <w:rPr>
          <w:rFonts w:ascii="Verdana" w:hAnsi="Verdana" w:cs="Arial Narrow"/>
          <w:sz w:val="20"/>
          <w:szCs w:val="20"/>
        </w:rPr>
        <w:t xml:space="preserve">14 y </w:t>
      </w:r>
      <w:r w:rsidRPr="001365B9">
        <w:rPr>
          <w:rFonts w:ascii="Verdana" w:hAnsi="Verdana" w:cs="Arial Narrow"/>
          <w:sz w:val="20"/>
          <w:szCs w:val="20"/>
        </w:rPr>
        <w:t>55</w:t>
      </w:r>
      <w:r w:rsidRPr="00AE6F65">
        <w:rPr>
          <w:rFonts w:ascii="Verdana" w:hAnsi="Verdana" w:cs="Arial Narrow"/>
          <w:sz w:val="20"/>
          <w:szCs w:val="20"/>
        </w:rPr>
        <w:t xml:space="preserve"> y los declaraba área de preservación y recuperación ambiental hasta la entrega de títulos definitivos a las comunidades indígenas y a criollos. En diciembre de 2000 se comprometió a que la Policía y la Secretaría de Medio Ambi</w:t>
      </w:r>
      <w:r>
        <w:rPr>
          <w:rFonts w:ascii="Verdana" w:hAnsi="Verdana" w:cs="Arial Narrow"/>
          <w:sz w:val="20"/>
          <w:szCs w:val="20"/>
        </w:rPr>
        <w:t>ente provinciales, así como la Gendarmería N</w:t>
      </w:r>
      <w:r w:rsidRPr="00AE6F65">
        <w:rPr>
          <w:rFonts w:ascii="Verdana" w:hAnsi="Verdana" w:cs="Arial Narrow"/>
          <w:sz w:val="20"/>
          <w:szCs w:val="20"/>
        </w:rPr>
        <w:t>acional, efectuaran controles</w:t>
      </w:r>
      <w:r>
        <w:rPr>
          <w:rStyle w:val="Refdenotaalpie"/>
          <w:rFonts w:cs="Arial Narrow"/>
        </w:rPr>
        <w:footnoteReference w:id="279"/>
      </w:r>
      <w:r w:rsidRPr="00AE6F65">
        <w:rPr>
          <w:rFonts w:ascii="Verdana" w:hAnsi="Verdana" w:cs="Arial Narrow"/>
          <w:sz w:val="20"/>
          <w:szCs w:val="20"/>
        </w:rPr>
        <w:t xml:space="preserve">. </w:t>
      </w:r>
      <w:r w:rsidRPr="00AE6F65">
        <w:rPr>
          <w:rFonts w:ascii="Verdana" w:hAnsi="Verdana" w:cs="Arial Narrow"/>
          <w:sz w:val="20"/>
          <w:szCs w:val="24"/>
        </w:rPr>
        <w:t>El 10 de octubre de 2007, la Secretaría de Medio Ambiente y Desarrollo Sustentable de la Provincia</w:t>
      </w:r>
      <w:r w:rsidRPr="00AE6F65">
        <w:rPr>
          <w:rFonts w:ascii="Verdana" w:hAnsi="Verdana" w:cs="Arial Narrow"/>
          <w:sz w:val="16"/>
          <w:szCs w:val="20"/>
        </w:rPr>
        <w:t xml:space="preserve"> </w:t>
      </w:r>
      <w:r w:rsidRPr="00AE6F65">
        <w:rPr>
          <w:rFonts w:ascii="Verdana" w:hAnsi="Verdana" w:cs="Arial Narrow"/>
          <w:sz w:val="20"/>
          <w:szCs w:val="24"/>
        </w:rPr>
        <w:t>de Salta aprobó la R</w:t>
      </w:r>
      <w:r>
        <w:rPr>
          <w:rFonts w:ascii="Verdana" w:hAnsi="Verdana" w:cs="Arial Narrow"/>
          <w:sz w:val="20"/>
          <w:szCs w:val="24"/>
        </w:rPr>
        <w:t>esolución 948 en la que confirmó</w:t>
      </w:r>
      <w:r w:rsidRPr="00AE6F65">
        <w:rPr>
          <w:rFonts w:ascii="Verdana" w:hAnsi="Verdana" w:cs="Arial Narrow"/>
          <w:sz w:val="20"/>
          <w:szCs w:val="24"/>
        </w:rPr>
        <w:t xml:space="preserve"> que “se habían encontrado numerosos aprovechamientos forestales de Palo Santo en los lotes fiscales, y algunas sin una autorización legal”, por lo que dispuso medidas al respecto</w:t>
      </w:r>
      <w:r>
        <w:rPr>
          <w:rStyle w:val="Refdenotaalpie"/>
        </w:rPr>
        <w:footnoteReference w:id="280"/>
      </w:r>
      <w:r w:rsidRPr="00AE6F65">
        <w:rPr>
          <w:rFonts w:ascii="Verdana" w:hAnsi="Verdana" w:cs="Arial Narrow"/>
          <w:sz w:val="20"/>
          <w:szCs w:val="24"/>
        </w:rPr>
        <w:t xml:space="preserve">. </w:t>
      </w:r>
      <w:r w:rsidRPr="00AE6F65">
        <w:rPr>
          <w:rFonts w:ascii="Verdana" w:hAnsi="Verdana" w:cs="Arial Narrow"/>
          <w:sz w:val="20"/>
          <w:szCs w:val="20"/>
        </w:rPr>
        <w:t>El mismo año, el Decreto 2786/07 (</w:t>
      </w:r>
      <w:r w:rsidRPr="00AE6F65">
        <w:rPr>
          <w:rFonts w:ascii="Verdana" w:hAnsi="Verdana" w:cs="Arial Narrow"/>
          <w:i/>
          <w:sz w:val="20"/>
          <w:szCs w:val="20"/>
        </w:rPr>
        <w:t xml:space="preserve">supra </w:t>
      </w:r>
      <w:r w:rsidRPr="00AE6F65">
        <w:rPr>
          <w:rFonts w:ascii="Verdana" w:hAnsi="Verdana" w:cs="Arial Narrow"/>
          <w:sz w:val="20"/>
          <w:szCs w:val="20"/>
        </w:rPr>
        <w:t>párr. 7</w:t>
      </w:r>
      <w:r>
        <w:rPr>
          <w:rFonts w:ascii="Verdana" w:hAnsi="Verdana" w:cs="Arial Narrow"/>
          <w:sz w:val="20"/>
          <w:szCs w:val="20"/>
        </w:rPr>
        <w:t>5</w:t>
      </w:r>
      <w:r w:rsidRPr="00AE6F65">
        <w:rPr>
          <w:rFonts w:ascii="Verdana" w:hAnsi="Verdana" w:cs="Arial Narrow"/>
          <w:sz w:val="20"/>
          <w:szCs w:val="20"/>
        </w:rPr>
        <w:t>) dispuso que el Estado provincial instalara puestos de control para evitar la transgresión a legislación vigente respecto al corte de madera. Después, en julio de 2012, el Decreto 2398</w:t>
      </w:r>
      <w:r>
        <w:rPr>
          <w:rFonts w:ascii="Verdana" w:hAnsi="Verdana" w:cs="Arial Narrow"/>
          <w:sz w:val="20"/>
          <w:szCs w:val="20"/>
        </w:rPr>
        <w:t>/12</w:t>
      </w:r>
      <w:r w:rsidRPr="00AE6F65">
        <w:rPr>
          <w:rFonts w:ascii="Verdana" w:hAnsi="Verdana" w:cs="Arial Narrow"/>
          <w:sz w:val="20"/>
          <w:szCs w:val="20"/>
        </w:rPr>
        <w:t xml:space="preserve"> (</w:t>
      </w:r>
      <w:r w:rsidRPr="00AE6F65">
        <w:rPr>
          <w:rFonts w:ascii="Verdana" w:hAnsi="Verdana" w:cs="Arial Narrow"/>
          <w:i/>
          <w:sz w:val="20"/>
          <w:szCs w:val="20"/>
        </w:rPr>
        <w:t>supra</w:t>
      </w:r>
      <w:r w:rsidRPr="00AE6F65">
        <w:rPr>
          <w:rFonts w:ascii="Verdana" w:hAnsi="Verdana" w:cs="Arial Narrow"/>
          <w:sz w:val="20"/>
          <w:szCs w:val="20"/>
        </w:rPr>
        <w:t xml:space="preserve"> párr. 7</w:t>
      </w:r>
      <w:r>
        <w:rPr>
          <w:rFonts w:ascii="Verdana" w:hAnsi="Verdana" w:cs="Arial Narrow"/>
          <w:sz w:val="20"/>
          <w:szCs w:val="20"/>
        </w:rPr>
        <w:t>8</w:t>
      </w:r>
      <w:r w:rsidRPr="00AE6F65">
        <w:rPr>
          <w:rFonts w:ascii="Verdana" w:hAnsi="Verdana" w:cs="Arial Narrow"/>
          <w:sz w:val="20"/>
          <w:szCs w:val="20"/>
        </w:rPr>
        <w:t xml:space="preserve">) ordenó que Ministerios provinciales adoptaran “todas las medidas conducentes a fin de garantizar la preservación de los recursos naturales y el efectivo control de la deforestación de los [l]lotes […] </w:t>
      </w:r>
      <w:r w:rsidRPr="00413BE2">
        <w:rPr>
          <w:rFonts w:ascii="Verdana" w:hAnsi="Verdana" w:cs="Arial Narrow"/>
          <w:sz w:val="20"/>
          <w:szCs w:val="20"/>
        </w:rPr>
        <w:t>55 y 14</w:t>
      </w:r>
      <w:r w:rsidRPr="00AE6F65">
        <w:rPr>
          <w:rFonts w:ascii="Verdana" w:hAnsi="Verdana" w:cs="Arial Narrow"/>
          <w:sz w:val="20"/>
          <w:szCs w:val="20"/>
        </w:rPr>
        <w:t>”. En 2014 el Decreto 1498/14 (</w:t>
      </w:r>
      <w:r w:rsidRPr="00AE6F65">
        <w:rPr>
          <w:rFonts w:ascii="Verdana" w:hAnsi="Verdana" w:cs="Arial Narrow"/>
          <w:i/>
          <w:sz w:val="20"/>
          <w:szCs w:val="20"/>
        </w:rPr>
        <w:t>supra</w:t>
      </w:r>
      <w:r w:rsidRPr="00AE6F65">
        <w:rPr>
          <w:rFonts w:ascii="Verdana" w:hAnsi="Verdana" w:cs="Arial Narrow"/>
          <w:sz w:val="20"/>
          <w:szCs w:val="20"/>
        </w:rPr>
        <w:t xml:space="preserve"> párr. </w:t>
      </w:r>
      <w:r>
        <w:rPr>
          <w:rFonts w:ascii="Verdana" w:hAnsi="Verdana" w:cs="Arial Narrow"/>
          <w:sz w:val="20"/>
          <w:szCs w:val="20"/>
        </w:rPr>
        <w:t>80</w:t>
      </w:r>
      <w:r w:rsidRPr="00AE6F65">
        <w:rPr>
          <w:rFonts w:ascii="Verdana" w:hAnsi="Verdana" w:cs="Arial Narrow"/>
          <w:sz w:val="20"/>
          <w:szCs w:val="20"/>
        </w:rPr>
        <w:t>) estipuló que “[h]asta tanto no se delimite el territorio que les corresponde a las comunidades indígenas, y los lotes de las familias criollas, no podrán construirse nuevos alambrados</w:t>
      </w:r>
      <w:r w:rsidRPr="00AE6F65">
        <w:rPr>
          <w:rFonts w:ascii="Verdana" w:hAnsi="Verdana" w:cs="Arial Narrow"/>
          <w:sz w:val="12"/>
          <w:szCs w:val="20"/>
        </w:rPr>
        <w:t xml:space="preserve"> </w:t>
      </w:r>
      <w:r w:rsidRPr="00AE6F65">
        <w:rPr>
          <w:rFonts w:ascii="Verdana" w:hAnsi="Verdana" w:cs="Arial Narrow"/>
          <w:sz w:val="20"/>
          <w:szCs w:val="20"/>
        </w:rPr>
        <w:t>ni explotarse recursos forestales fuera de las necesidades de subsistencia”. En enero de ese año autoridades provinciales entregaron a funcionarios estatales casillas de vigilancia y vehículos para tareas de control de la deforestación</w:t>
      </w:r>
      <w:r>
        <w:rPr>
          <w:rStyle w:val="Refdenotaalpie"/>
        </w:rPr>
        <w:footnoteReference w:id="281"/>
      </w:r>
      <w:r w:rsidRPr="00AE6F65">
        <w:rPr>
          <w:rFonts w:ascii="Verdana" w:hAnsi="Verdana" w:cs="Arial Narrow"/>
          <w:sz w:val="20"/>
          <w:szCs w:val="20"/>
        </w:rPr>
        <w:t>. El 17 de octubre de</w:t>
      </w:r>
      <w:r w:rsidR="00DA267D">
        <w:rPr>
          <w:rFonts w:ascii="Verdana" w:hAnsi="Verdana" w:cs="Arial Narrow"/>
          <w:sz w:val="20"/>
          <w:szCs w:val="20"/>
        </w:rPr>
        <w:t>l mismo</w:t>
      </w:r>
      <w:r w:rsidRPr="00AE6F65">
        <w:rPr>
          <w:rFonts w:ascii="Verdana" w:hAnsi="Verdana" w:cs="Arial Narrow"/>
          <w:sz w:val="20"/>
          <w:szCs w:val="20"/>
        </w:rPr>
        <w:t xml:space="preserve"> año se suscribió un </w:t>
      </w:r>
      <w:r w:rsidRPr="00AE6F65">
        <w:rPr>
          <w:rFonts w:ascii="Verdana" w:hAnsi="Verdana" w:cs="Arial Narrow"/>
          <w:sz w:val="20"/>
          <w:szCs w:val="20"/>
        </w:rPr>
        <w:lastRenderedPageBreak/>
        <w:t>compromiso entre el Ministerio de Seguridad y el de Derechos Humanos, ambos de Salta, para tratar la cuestión de la deforestación</w:t>
      </w:r>
      <w:r>
        <w:rPr>
          <w:rStyle w:val="Refdenotaalpie"/>
        </w:rPr>
        <w:footnoteReference w:id="282"/>
      </w:r>
      <w:r w:rsidRPr="00AE6F65">
        <w:rPr>
          <w:rFonts w:ascii="Verdana" w:hAnsi="Verdana" w:cs="Arial Narrow"/>
          <w:sz w:val="20"/>
          <w:szCs w:val="20"/>
        </w:rPr>
        <w:t>.</w:t>
      </w:r>
    </w:p>
    <w:p w14:paraId="7A27E3B3" w14:textId="77777777" w:rsidR="0056309D" w:rsidRDefault="0056309D" w:rsidP="0056309D">
      <w:pPr>
        <w:pStyle w:val="Prrafodelista"/>
        <w:spacing w:after="0" w:line="240" w:lineRule="auto"/>
        <w:ind w:left="0" w:right="6"/>
        <w:jc w:val="both"/>
        <w:rPr>
          <w:rFonts w:ascii="Verdana" w:eastAsia="Batang" w:hAnsi="Verdana" w:cs="Times"/>
          <w:sz w:val="20"/>
          <w:szCs w:val="20"/>
          <w:lang w:val="es-CR" w:eastAsia="es-CR"/>
        </w:rPr>
      </w:pPr>
    </w:p>
    <w:p w14:paraId="67575086" w14:textId="3FC4C016" w:rsidR="0056309D" w:rsidRPr="00AE6F65" w:rsidRDefault="0056309D" w:rsidP="0056309D">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AE6F65">
        <w:rPr>
          <w:rFonts w:ascii="Verdana" w:hAnsi="Verdana"/>
          <w:sz w:val="20"/>
          <w:szCs w:val="20"/>
          <w:lang w:val="es-ES"/>
        </w:rPr>
        <w:t xml:space="preserve">Pese a lo anterior, </w:t>
      </w:r>
      <w:r w:rsidRPr="00AE6F65">
        <w:rPr>
          <w:rFonts w:ascii="Verdana" w:hAnsi="Verdana" w:cs="Arial Narrow"/>
          <w:sz w:val="20"/>
          <w:szCs w:val="24"/>
        </w:rPr>
        <w:t>el 4 de enero de 2007, los representantes entregaron a la Comisión un informe hecho por la organización civil ASOCIANA, que confirmó que se había agravado la situación de la tala ilegal</w:t>
      </w:r>
      <w:r>
        <w:rPr>
          <w:rStyle w:val="Refdenotaalpie"/>
          <w:rFonts w:cs="Arial Narrow"/>
          <w:szCs w:val="24"/>
        </w:rPr>
        <w:footnoteReference w:id="283"/>
      </w:r>
      <w:r w:rsidRPr="00AE6F65">
        <w:rPr>
          <w:rFonts w:ascii="Verdana" w:hAnsi="Verdana" w:cs="Arial Narrow"/>
          <w:sz w:val="20"/>
          <w:szCs w:val="24"/>
        </w:rPr>
        <w:t xml:space="preserve">. </w:t>
      </w:r>
      <w:r w:rsidRPr="00AE6F65">
        <w:rPr>
          <w:rFonts w:ascii="Verdana" w:hAnsi="Verdana" w:cs="Arial Narrow"/>
          <w:sz w:val="20"/>
          <w:szCs w:val="20"/>
        </w:rPr>
        <w:t>En agosto del mismo año Lhaka Honhat y la OFC suscribieron un Acta-Acuerdo</w:t>
      </w:r>
      <w:r>
        <w:rPr>
          <w:rStyle w:val="Refdenotaalpie"/>
          <w:rFonts w:cs="Arial Narrow"/>
        </w:rPr>
        <w:footnoteReference w:id="284"/>
      </w:r>
      <w:r w:rsidRPr="00AE6F65">
        <w:rPr>
          <w:rFonts w:ascii="Verdana" w:hAnsi="Verdana" w:cs="Arial Narrow"/>
          <w:sz w:val="20"/>
          <w:szCs w:val="20"/>
        </w:rPr>
        <w:t xml:space="preserve">, en </w:t>
      </w:r>
      <w:r w:rsidR="00DE5A24">
        <w:rPr>
          <w:rFonts w:ascii="Verdana" w:hAnsi="Verdana" w:cs="Arial Narrow"/>
          <w:sz w:val="20"/>
          <w:szCs w:val="20"/>
        </w:rPr>
        <w:t>la</w:t>
      </w:r>
      <w:r w:rsidRPr="00AE6F65">
        <w:rPr>
          <w:rFonts w:ascii="Verdana" w:hAnsi="Verdana" w:cs="Arial Narrow"/>
          <w:sz w:val="20"/>
          <w:szCs w:val="20"/>
        </w:rPr>
        <w:t xml:space="preserve"> que se dispuso exigir al Gobierno el cese total de la tala indiscriminada de madera, en cumplimiento con el decreto 3097/95 y la ley Provincial 7</w:t>
      </w:r>
      <w:r>
        <w:rPr>
          <w:rFonts w:ascii="Verdana" w:hAnsi="Verdana" w:cs="Arial Narrow"/>
          <w:sz w:val="20"/>
          <w:szCs w:val="20"/>
        </w:rPr>
        <w:t>.</w:t>
      </w:r>
      <w:r w:rsidRPr="00AE6F65">
        <w:rPr>
          <w:rFonts w:ascii="Verdana" w:hAnsi="Verdana" w:cs="Arial Narrow"/>
          <w:sz w:val="20"/>
          <w:szCs w:val="20"/>
        </w:rPr>
        <w:t>070 de Protección al Medio Ambiente</w:t>
      </w:r>
      <w:r>
        <w:rPr>
          <w:rStyle w:val="Refdenotaalpie"/>
          <w:rFonts w:cs="Arial Narrow"/>
        </w:rPr>
        <w:footnoteReference w:id="285"/>
      </w:r>
      <w:r w:rsidRPr="00AE6F65">
        <w:rPr>
          <w:rFonts w:ascii="Verdana" w:hAnsi="Verdana" w:cs="Arial Narrow"/>
          <w:sz w:val="20"/>
          <w:szCs w:val="20"/>
        </w:rPr>
        <w:t xml:space="preserve">. En 2010 y 2013, </w:t>
      </w:r>
      <w:r w:rsidRPr="00AE6F65">
        <w:rPr>
          <w:rFonts w:ascii="Verdana" w:hAnsi="Verdana" w:cs="Arial Narrow"/>
          <w:sz w:val="20"/>
          <w:szCs w:val="24"/>
        </w:rPr>
        <w:t>la OFC y Lhaka Honhat hicieron presentaciones requiriendo a autoridades la implementación efectiva de sistemas de control de la tala ilegal en la zona</w:t>
      </w:r>
      <w:r>
        <w:rPr>
          <w:rStyle w:val="Refdenotaalpie"/>
          <w:rFonts w:cs="Arial Narrow"/>
          <w:szCs w:val="24"/>
        </w:rPr>
        <w:footnoteReference w:id="286"/>
      </w:r>
      <w:r w:rsidRPr="00AE6F65">
        <w:rPr>
          <w:rFonts w:ascii="Verdana" w:hAnsi="Verdana" w:cs="Arial Narrow"/>
          <w:sz w:val="20"/>
          <w:szCs w:val="24"/>
        </w:rPr>
        <w:t xml:space="preserve">. </w:t>
      </w:r>
      <w:r w:rsidRPr="00AE6F65">
        <w:rPr>
          <w:rFonts w:ascii="Verdana" w:hAnsi="Verdana" w:cs="Arial Narrow"/>
          <w:sz w:val="20"/>
          <w:szCs w:val="20"/>
        </w:rPr>
        <w:t>Los representantes afirmaron que los puestos de control previstos por el Decreto 2786/07 no fueron instalados. También informaron que se hicieron diversas denuncias</w:t>
      </w:r>
      <w:r>
        <w:rPr>
          <w:rStyle w:val="Refdenotaalpie"/>
        </w:rPr>
        <w:footnoteReference w:id="287"/>
      </w:r>
      <w:r w:rsidRPr="00AE6F65">
        <w:rPr>
          <w:rFonts w:ascii="Verdana" w:hAnsi="Verdana" w:cs="Arial Narrow"/>
          <w:sz w:val="20"/>
          <w:szCs w:val="20"/>
        </w:rPr>
        <w:t xml:space="preserve">. En nota de 26 de abril de 2017 a la Comisión, los representantes señalaron que se estaban realizando acciones de tala ilegal en: </w:t>
      </w:r>
      <w:r w:rsidRPr="00AE6F65">
        <w:rPr>
          <w:rFonts w:ascii="Verdana" w:hAnsi="Verdana" w:cs="Arial Narrow"/>
          <w:sz w:val="20"/>
          <w:szCs w:val="24"/>
        </w:rPr>
        <w:t>a) el límite cercano del “Puesto Azuquilar”, reclamadas por la Comunidad de Pozo El Toro, que se encuentran dentro de las 400</w:t>
      </w:r>
      <w:r>
        <w:rPr>
          <w:rFonts w:ascii="Verdana" w:hAnsi="Verdana" w:cs="Arial Narrow"/>
          <w:sz w:val="20"/>
          <w:szCs w:val="24"/>
        </w:rPr>
        <w:t>.</w:t>
      </w:r>
      <w:r w:rsidRPr="00AE6F65">
        <w:rPr>
          <w:rFonts w:ascii="Verdana" w:hAnsi="Verdana" w:cs="Arial Narrow"/>
          <w:sz w:val="20"/>
          <w:szCs w:val="24"/>
        </w:rPr>
        <w:t xml:space="preserve">000 ha reconocidas a los peticionarios; b) Puesto el Anta, de familia Pereyra, al sur de la Comunidad de Pozo El Bravo; c) la localidad de Desemboque; d) San Miguel; e) las </w:t>
      </w:r>
      <w:r w:rsidRPr="00AE6F65">
        <w:rPr>
          <w:rFonts w:ascii="Verdana" w:hAnsi="Verdana" w:cs="Arial Narrow"/>
          <w:sz w:val="20"/>
          <w:szCs w:val="20"/>
        </w:rPr>
        <w:t>Vertientes Chicas y Pozo La China</w:t>
      </w:r>
      <w:r>
        <w:rPr>
          <w:rFonts w:ascii="Verdana" w:hAnsi="Verdana" w:cs="Arial Narrow"/>
          <w:sz w:val="20"/>
          <w:szCs w:val="20"/>
        </w:rPr>
        <w:t>,</w:t>
      </w:r>
      <w:r w:rsidRPr="00AE6F65">
        <w:rPr>
          <w:rFonts w:ascii="Verdana" w:hAnsi="Verdana" w:cs="Arial Narrow"/>
          <w:sz w:val="20"/>
          <w:szCs w:val="20"/>
        </w:rPr>
        <w:t xml:space="preserve"> y f) Rancho El Ñato. </w:t>
      </w:r>
    </w:p>
    <w:p w14:paraId="1BB90052" w14:textId="77777777" w:rsidR="0056309D" w:rsidRDefault="0056309D" w:rsidP="0056309D">
      <w:pPr>
        <w:pStyle w:val="Prrafodelista"/>
        <w:spacing w:after="0" w:line="240" w:lineRule="auto"/>
        <w:ind w:left="0" w:right="6"/>
        <w:jc w:val="both"/>
        <w:rPr>
          <w:rFonts w:ascii="Verdana" w:eastAsia="Batang" w:hAnsi="Verdana" w:cs="Times"/>
          <w:sz w:val="20"/>
          <w:szCs w:val="20"/>
          <w:lang w:val="es-CR" w:eastAsia="es-CR"/>
        </w:rPr>
      </w:pPr>
    </w:p>
    <w:p w14:paraId="234E02E3" w14:textId="77777777" w:rsidR="0056309D" w:rsidRDefault="0056309D" w:rsidP="0056309D">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AE6F65">
        <w:rPr>
          <w:rFonts w:ascii="Verdana" w:hAnsi="Verdana" w:cs="Arial Narrow"/>
          <w:sz w:val="20"/>
          <w:szCs w:val="20"/>
        </w:rPr>
        <w:t>Según afirmaciones de los representantes, las actividades ilegales de tala y extracción continúan. El Estado aseveró que “realiza constantes tareas de monitoreo y seguimiento del territorio mediante la teledetección de imágenes satelitales”, ya sea “de oficio” o a partir de denuncias.</w:t>
      </w:r>
      <w:r w:rsidRPr="00AE6F65">
        <w:rPr>
          <w:rFonts w:ascii="Verdana" w:hAnsi="Verdana" w:cs="Arial Narrow"/>
          <w:b/>
          <w:sz w:val="20"/>
          <w:szCs w:val="20"/>
        </w:rPr>
        <w:t xml:space="preserve"> </w:t>
      </w:r>
    </w:p>
    <w:p w14:paraId="02D181AE" w14:textId="77777777" w:rsidR="0056309D" w:rsidRPr="000074FE" w:rsidRDefault="0056309D" w:rsidP="0056309D">
      <w:pPr>
        <w:pStyle w:val="Prrafodelista"/>
        <w:spacing w:line="240" w:lineRule="auto"/>
        <w:rPr>
          <w:rFonts w:ascii="Verdana" w:hAnsi="Verdana" w:cs="Tahoma"/>
          <w:sz w:val="20"/>
          <w:szCs w:val="20"/>
          <w:lang w:val="es-CR"/>
        </w:rPr>
      </w:pPr>
    </w:p>
    <w:p w14:paraId="3A68A111" w14:textId="77777777" w:rsidR="0056309D" w:rsidRDefault="0056309D" w:rsidP="0056309D">
      <w:pPr>
        <w:pStyle w:val="Prrafodelista"/>
        <w:spacing w:line="240" w:lineRule="auto"/>
        <w:ind w:left="851"/>
        <w:outlineLvl w:val="3"/>
        <w:rPr>
          <w:rFonts w:ascii="Verdana" w:hAnsi="Verdana" w:cs="Tahoma"/>
          <w:sz w:val="20"/>
          <w:szCs w:val="20"/>
        </w:rPr>
      </w:pPr>
      <w:bookmarkStart w:id="267" w:name="_Toc25169788"/>
      <w:bookmarkStart w:id="268" w:name="_Toc30667652"/>
      <w:bookmarkStart w:id="269" w:name="_Toc32227151"/>
      <w:bookmarkStart w:id="270" w:name="_Toc34337579"/>
      <w:r w:rsidRPr="00514BA3">
        <w:rPr>
          <w:rFonts w:ascii="Verdana" w:hAnsi="Verdana"/>
          <w:i/>
          <w:sz w:val="20"/>
          <w:szCs w:val="20"/>
        </w:rPr>
        <w:t>B.</w:t>
      </w:r>
      <w:r>
        <w:rPr>
          <w:rFonts w:ascii="Verdana" w:hAnsi="Verdana"/>
          <w:i/>
          <w:sz w:val="20"/>
          <w:szCs w:val="20"/>
        </w:rPr>
        <w:t xml:space="preserve">2.2 </w:t>
      </w:r>
      <w:r w:rsidRPr="00B4480A">
        <w:rPr>
          <w:rFonts w:ascii="Verdana" w:hAnsi="Verdana"/>
          <w:i/>
          <w:sz w:val="20"/>
          <w:szCs w:val="20"/>
          <w:u w:val="single"/>
        </w:rPr>
        <w:t>Análisis de la responsabilidad estatal</w:t>
      </w:r>
      <w:bookmarkEnd w:id="267"/>
      <w:bookmarkEnd w:id="268"/>
      <w:bookmarkEnd w:id="269"/>
      <w:bookmarkEnd w:id="270"/>
    </w:p>
    <w:p w14:paraId="5AF7CD23" w14:textId="77777777" w:rsidR="0056309D" w:rsidRPr="00AE6F65" w:rsidRDefault="0056309D" w:rsidP="0056309D">
      <w:pPr>
        <w:pStyle w:val="Prrafodelista"/>
        <w:spacing w:line="240" w:lineRule="auto"/>
        <w:rPr>
          <w:rFonts w:ascii="Verdana" w:hAnsi="Verdana" w:cs="Tahoma"/>
          <w:sz w:val="20"/>
          <w:szCs w:val="20"/>
        </w:rPr>
      </w:pPr>
    </w:p>
    <w:p w14:paraId="6F859EE3" w14:textId="32788614" w:rsidR="0056309D" w:rsidRPr="00AE6F65" w:rsidRDefault="0056309D" w:rsidP="0056309D">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AE6F65">
        <w:rPr>
          <w:rFonts w:ascii="Verdana" w:hAnsi="Verdana" w:cs="Tahoma"/>
          <w:sz w:val="20"/>
          <w:szCs w:val="20"/>
        </w:rPr>
        <w:t>A fin de examinar la responsabilidad estatal, es preciso dejar establecido que, como surge de lo ya expuesto, sin perjuicio de la</w:t>
      </w:r>
      <w:r w:rsidRPr="00AE6F65">
        <w:rPr>
          <w:rFonts w:ascii="Verdana" w:hAnsi="Verdana"/>
          <w:sz w:val="20"/>
          <w:szCs w:val="20"/>
          <w:lang w:val="es-DO"/>
        </w:rPr>
        <w:t xml:space="preserve"> obligación de adoptar providencias para, “progresivamente”, lograr la “plena efectividad” de los derechos incluidos en el </w:t>
      </w:r>
      <w:r w:rsidRPr="00AE6F65">
        <w:rPr>
          <w:rFonts w:ascii="Verdana" w:hAnsi="Verdana"/>
          <w:sz w:val="20"/>
          <w:szCs w:val="20"/>
          <w:lang w:val="es-DO"/>
        </w:rPr>
        <w:lastRenderedPageBreak/>
        <w:t>artículo 26 de la Convención, el contenido de tales derechos incluye aspectos que son de inmediata exigibilidad. Se ha indicado que rigen al respecto las obligaciones prescritas en los artículos 1.1 y 2 de la Convención</w:t>
      </w:r>
      <w:r w:rsidRPr="006535AF">
        <w:rPr>
          <w:rStyle w:val="Refdenotaalpie"/>
          <w:rFonts w:ascii="Verdana" w:hAnsi="Verdana"/>
          <w:sz w:val="20"/>
          <w:lang w:val="es-DO"/>
        </w:rPr>
        <w:footnoteReference w:id="288"/>
      </w:r>
      <w:r w:rsidRPr="00AE6F65">
        <w:rPr>
          <w:rFonts w:ascii="Verdana" w:hAnsi="Verdana"/>
          <w:sz w:val="20"/>
          <w:szCs w:val="20"/>
          <w:lang w:val="es-CR"/>
        </w:rPr>
        <w:t>.</w:t>
      </w:r>
      <w:r w:rsidRPr="00AE6F65">
        <w:rPr>
          <w:rFonts w:ascii="Verdana" w:hAnsi="Verdana"/>
          <w:sz w:val="16"/>
          <w:szCs w:val="16"/>
          <w:lang w:val="es-CR"/>
        </w:rPr>
        <w:t xml:space="preserve"> </w:t>
      </w:r>
      <w:r w:rsidRPr="00AE6F65">
        <w:rPr>
          <w:rFonts w:ascii="Verdana" w:hAnsi="Verdana"/>
          <w:sz w:val="20"/>
          <w:szCs w:val="20"/>
          <w:lang w:val="es-DO"/>
        </w:rPr>
        <w:t>En el presente caso, los alegatos de las partes aluden a la obligación estatal de garantizar el goce de los derechos, previniendo o evitando su lesión por parte de particulares. En esto centrará su examen la Corte</w:t>
      </w:r>
      <w:r w:rsidR="00DE5A24">
        <w:rPr>
          <w:rFonts w:ascii="Verdana" w:hAnsi="Verdana"/>
          <w:sz w:val="20"/>
          <w:szCs w:val="20"/>
          <w:lang w:val="es-DO"/>
        </w:rPr>
        <w:t>. E</w:t>
      </w:r>
      <w:r w:rsidRPr="00AE6F65">
        <w:rPr>
          <w:rFonts w:ascii="Verdana" w:hAnsi="Verdana"/>
          <w:sz w:val="20"/>
          <w:szCs w:val="20"/>
          <w:lang w:val="es-DO"/>
        </w:rPr>
        <w:t xml:space="preserve">l caso no requiere un análisis sobre conductas estatales vinculadas al avance “progresivo” en la “plena efectividad” de los derechos. </w:t>
      </w:r>
    </w:p>
    <w:p w14:paraId="742D6F3C" w14:textId="77777777" w:rsidR="0056309D" w:rsidRDefault="0056309D" w:rsidP="0056309D">
      <w:pPr>
        <w:pStyle w:val="Prrafodelista"/>
        <w:spacing w:after="0" w:line="240" w:lineRule="auto"/>
        <w:ind w:left="0" w:right="6"/>
        <w:jc w:val="both"/>
        <w:rPr>
          <w:rFonts w:ascii="Verdana" w:eastAsia="Batang" w:hAnsi="Verdana" w:cs="Times"/>
          <w:sz w:val="20"/>
          <w:szCs w:val="20"/>
          <w:lang w:val="es-CR" w:eastAsia="es-CR"/>
        </w:rPr>
      </w:pPr>
    </w:p>
    <w:p w14:paraId="0E114BE8" w14:textId="77777777" w:rsidR="0056309D" w:rsidRDefault="0056309D" w:rsidP="0056309D">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AE6F65">
        <w:rPr>
          <w:rFonts w:ascii="Verdana" w:hAnsi="Verdana" w:cs="Tahoma"/>
          <w:sz w:val="20"/>
          <w:szCs w:val="20"/>
        </w:rPr>
        <w:t xml:space="preserve">La Corte advierte que los hechos referidos muestran que la presencia de criollos en el territorio indígena, así como distintas actividades, han generado un impacto. La cuestión a determinar es, si en el caso, dicho impacto ha implicado el menoscabo a derechos específicos, en forma adicional a la mera interferencia con el goce de la propiedad, cuestión ya examinada en el capítulo anterior de esta Sentencia. Además, en su caso, debe determinarse si es atribuible al Estado el daño acaecido. </w:t>
      </w:r>
    </w:p>
    <w:p w14:paraId="4899C78A" w14:textId="77777777" w:rsidR="0056309D" w:rsidRDefault="0056309D" w:rsidP="0056309D">
      <w:pPr>
        <w:pStyle w:val="Prrafodelista"/>
        <w:spacing w:line="240" w:lineRule="auto"/>
        <w:rPr>
          <w:rFonts w:ascii="Verdana" w:hAnsi="Verdana" w:cs="Tahoma"/>
          <w:sz w:val="20"/>
          <w:szCs w:val="20"/>
        </w:rPr>
      </w:pPr>
    </w:p>
    <w:p w14:paraId="4E88E52E" w14:textId="683971C3" w:rsidR="0056309D" w:rsidRPr="00AE6F65" w:rsidRDefault="0056309D" w:rsidP="0056309D">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AE6F65">
        <w:rPr>
          <w:rFonts w:ascii="Verdana" w:hAnsi="Verdana" w:cs="Tahoma"/>
          <w:sz w:val="20"/>
          <w:szCs w:val="20"/>
        </w:rPr>
        <w:t xml:space="preserve">La Corte entiende que corresponde tener en consideración la interdependencia de los derechos analizados y la </w:t>
      </w:r>
      <w:r>
        <w:rPr>
          <w:rFonts w:ascii="Verdana" w:hAnsi="Verdana" w:cs="Tahoma"/>
          <w:sz w:val="20"/>
          <w:szCs w:val="20"/>
        </w:rPr>
        <w:t>vinculación</w:t>
      </w:r>
      <w:r w:rsidRPr="00AE6F65">
        <w:rPr>
          <w:rFonts w:ascii="Verdana" w:hAnsi="Verdana" w:cs="Tahoma"/>
          <w:sz w:val="20"/>
          <w:szCs w:val="20"/>
        </w:rPr>
        <w:t xml:space="preserve"> que presenta el goce de los mismos en las circunstancias del caso. Asimismo,</w:t>
      </w:r>
      <w:r>
        <w:rPr>
          <w:rFonts w:ascii="Verdana" w:hAnsi="Verdana" w:cs="Tahoma"/>
          <w:sz w:val="20"/>
          <w:szCs w:val="20"/>
        </w:rPr>
        <w:t xml:space="preserve"> tales derechos </w:t>
      </w:r>
      <w:r w:rsidRPr="00AE6F65">
        <w:rPr>
          <w:rFonts w:ascii="Verdana" w:hAnsi="Verdana" w:cs="Tahoma"/>
          <w:sz w:val="20"/>
          <w:szCs w:val="20"/>
        </w:rPr>
        <w:t>no deben ser entendidos en forma restrictiva. Ya se ha dicho (</w:t>
      </w:r>
      <w:r w:rsidRPr="00AE6F65">
        <w:rPr>
          <w:rFonts w:ascii="Verdana" w:hAnsi="Verdana" w:cs="Tahoma"/>
          <w:i/>
          <w:sz w:val="20"/>
          <w:szCs w:val="20"/>
        </w:rPr>
        <w:t>supra</w:t>
      </w:r>
      <w:r w:rsidRPr="00AE6F65">
        <w:rPr>
          <w:rFonts w:ascii="Verdana" w:hAnsi="Verdana" w:cs="Tahoma"/>
          <w:sz w:val="20"/>
          <w:szCs w:val="20"/>
        </w:rPr>
        <w:t xml:space="preserve"> párrs.</w:t>
      </w:r>
      <w:r w:rsidR="00751A20">
        <w:rPr>
          <w:rFonts w:ascii="Verdana" w:hAnsi="Verdana" w:cs="Tahoma"/>
          <w:sz w:val="20"/>
          <w:szCs w:val="20"/>
        </w:rPr>
        <w:t xml:space="preserve"> </w:t>
      </w:r>
      <w:r>
        <w:rPr>
          <w:rFonts w:ascii="Verdana" w:hAnsi="Verdana" w:cs="Tahoma"/>
          <w:sz w:val="20"/>
          <w:szCs w:val="20"/>
        </w:rPr>
        <w:t>203, 209, 222, 228, 243 a 247 y 251</w:t>
      </w:r>
      <w:r w:rsidRPr="00AE6F65">
        <w:rPr>
          <w:rFonts w:ascii="Verdana" w:hAnsi="Verdana" w:cs="Tahoma"/>
          <w:sz w:val="20"/>
          <w:szCs w:val="20"/>
        </w:rPr>
        <w:t>) que e</w:t>
      </w:r>
      <w:r w:rsidRPr="00AE6F65">
        <w:rPr>
          <w:rFonts w:ascii="Verdana" w:hAnsi="Verdana"/>
          <w:sz w:val="20"/>
          <w:szCs w:val="20"/>
          <w:lang w:val="es-CR"/>
        </w:rPr>
        <w:t>l ambiente se encuentra relacionado con otros derechos, y que</w:t>
      </w:r>
      <w:r w:rsidRPr="00AE6F65">
        <w:rPr>
          <w:rFonts w:ascii="Verdana" w:hAnsi="Verdana"/>
          <w:sz w:val="20"/>
          <w:szCs w:val="20"/>
        </w:rPr>
        <w:t xml:space="preserve"> hay “amenazas ambientales” que pueden impactar en la alimentación, el agua y en la vida cultural. Por otra parte, no cualquier alimentación satisface el derecho respectivo, sino que la misma debe ser aceptable para una cultura determinada, lo que lleva a tener en cuenta valores no relacionados con la nutrición. La alimentación, a su vez, es indispensable para el goce de otros derechos, y su carácter “adecuado” puede depender de factores ambientales y culturales. La alimentación es, en sí, una expresión cultural. En ese sentido, puede considerarse a la alimentación como uno de los “rasgos distintivos” que caracterizan a un grupo social, quedando comprendido, por ende, en la protección del derecho a la identidad cultural a través de la salvaguarda de tales rasgos, sin que ello implique negar el carácter histórico, dinámico y evolutivo de la cultura.</w:t>
      </w:r>
    </w:p>
    <w:p w14:paraId="74CCECB3" w14:textId="77777777" w:rsidR="0056309D" w:rsidRDefault="0056309D" w:rsidP="0056309D">
      <w:pPr>
        <w:pStyle w:val="Prrafodelista"/>
        <w:spacing w:after="0" w:line="240" w:lineRule="auto"/>
        <w:ind w:left="0" w:right="6"/>
        <w:jc w:val="both"/>
        <w:rPr>
          <w:rFonts w:ascii="Verdana" w:eastAsia="Batang" w:hAnsi="Verdana" w:cs="Times"/>
          <w:sz w:val="20"/>
          <w:szCs w:val="20"/>
          <w:lang w:val="es-CR" w:eastAsia="es-CR"/>
        </w:rPr>
      </w:pPr>
    </w:p>
    <w:p w14:paraId="74A18ACE" w14:textId="42141581" w:rsidR="0056309D" w:rsidRPr="00AE6F65" w:rsidRDefault="0056309D" w:rsidP="0056309D">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AE6F65">
        <w:rPr>
          <w:rFonts w:ascii="Verdana" w:hAnsi="Verdana"/>
          <w:sz w:val="20"/>
          <w:szCs w:val="20"/>
        </w:rPr>
        <w:t>Lo expresado es, a su vez, más evidente respecto de pueblos indígenas</w:t>
      </w:r>
      <w:r>
        <w:rPr>
          <w:rFonts w:ascii="Verdana" w:hAnsi="Verdana"/>
          <w:sz w:val="20"/>
          <w:szCs w:val="20"/>
        </w:rPr>
        <w:t>,</w:t>
      </w:r>
      <w:r w:rsidRPr="00AE6F65">
        <w:rPr>
          <w:rFonts w:ascii="Verdana" w:hAnsi="Verdana"/>
          <w:sz w:val="20"/>
          <w:szCs w:val="20"/>
        </w:rPr>
        <w:t xml:space="preserve"> en relación a los que normas específicas mandan la salvaguarda de su ambiente, la protección de la capacidad productiva de sus tierras y recursos, y a </w:t>
      </w:r>
      <w:r w:rsidR="00DE5A24">
        <w:rPr>
          <w:rFonts w:ascii="Verdana" w:hAnsi="Verdana"/>
          <w:sz w:val="20"/>
          <w:szCs w:val="20"/>
        </w:rPr>
        <w:t xml:space="preserve">la </w:t>
      </w:r>
      <w:r w:rsidRPr="00AE6F65">
        <w:rPr>
          <w:rFonts w:ascii="Verdana" w:hAnsi="Verdana"/>
          <w:sz w:val="20"/>
          <w:szCs w:val="20"/>
        </w:rPr>
        <w:t>consider como “factores importantes del mantenimiento de su cultura” actividades tradicionales y relacionadas con su economía de subsistencia, como caza, recolección y otras (</w:t>
      </w:r>
      <w:r w:rsidRPr="00AE6F65">
        <w:rPr>
          <w:rFonts w:ascii="Verdana" w:hAnsi="Verdana"/>
          <w:i/>
          <w:sz w:val="20"/>
          <w:szCs w:val="20"/>
        </w:rPr>
        <w:t xml:space="preserve">supra </w:t>
      </w:r>
      <w:r w:rsidRPr="00AE6F65">
        <w:rPr>
          <w:rFonts w:ascii="Verdana" w:hAnsi="Verdana"/>
          <w:sz w:val="20"/>
          <w:szCs w:val="20"/>
        </w:rPr>
        <w:t>párr</w:t>
      </w:r>
      <w:r>
        <w:rPr>
          <w:rFonts w:ascii="Verdana" w:hAnsi="Verdana"/>
          <w:sz w:val="20"/>
          <w:szCs w:val="20"/>
        </w:rPr>
        <w:t>s</w:t>
      </w:r>
      <w:r w:rsidRPr="00AE6F65">
        <w:rPr>
          <w:rFonts w:ascii="Verdana" w:hAnsi="Verdana"/>
          <w:sz w:val="20"/>
          <w:szCs w:val="20"/>
        </w:rPr>
        <w:t xml:space="preserve">. </w:t>
      </w:r>
      <w:r>
        <w:rPr>
          <w:rFonts w:ascii="Verdana" w:hAnsi="Verdana"/>
          <w:sz w:val="20"/>
          <w:szCs w:val="20"/>
        </w:rPr>
        <w:t>247 y 248</w:t>
      </w:r>
      <w:r w:rsidRPr="00AE6F65">
        <w:rPr>
          <w:rFonts w:ascii="Verdana" w:hAnsi="Verdana"/>
          <w:sz w:val="20"/>
          <w:szCs w:val="20"/>
        </w:rPr>
        <w:t>). Así, la Corte ha destacado</w:t>
      </w:r>
      <w:r w:rsidRPr="00AE6F65">
        <w:rPr>
          <w:rFonts w:ascii="Verdana" w:hAnsi="Verdana"/>
          <w:sz w:val="20"/>
          <w:szCs w:val="20"/>
          <w:lang w:val="es-CR"/>
        </w:rPr>
        <w:t xml:space="preserve"> </w:t>
      </w:r>
      <w:r>
        <w:rPr>
          <w:rFonts w:ascii="Verdana" w:hAnsi="Verdana"/>
          <w:sz w:val="20"/>
          <w:szCs w:val="20"/>
          <w:lang w:val="es-CR"/>
        </w:rPr>
        <w:t>que “</w:t>
      </w:r>
      <w:r w:rsidRPr="00AE6F65">
        <w:rPr>
          <w:rFonts w:ascii="Verdana" w:hAnsi="Verdana"/>
          <w:sz w:val="20"/>
          <w:szCs w:val="20"/>
        </w:rPr>
        <w:t>la falta de acceso a los territorios y los recursos naturales correspondientes puede exponer a las comunidades indígenas a […] varias violaciones de sus derechos humanos, además de ocasionarles sufrimiento y perjudicar la preservación de su forma de vida, costumbres e idioma”. Asimismo, ha advertido que los Estados deben proteger “la estrecha relación que [los pueblos indígenas] mantienen con la tierra” y “su proyecto de vida, tanto en su dimensión individual como colectiva”</w:t>
      </w:r>
      <w:r>
        <w:rPr>
          <w:rStyle w:val="Refdenotaalpie"/>
          <w:rFonts w:ascii="Verdana" w:hAnsi="Verdana"/>
          <w:sz w:val="20"/>
        </w:rPr>
        <w:footnoteReference w:id="289"/>
      </w:r>
      <w:r>
        <w:rPr>
          <w:rFonts w:ascii="Verdana" w:hAnsi="Verdana"/>
          <w:sz w:val="20"/>
          <w:szCs w:val="20"/>
        </w:rPr>
        <w:t>.</w:t>
      </w:r>
      <w:r w:rsidRPr="00AE6F65">
        <w:rPr>
          <w:rFonts w:ascii="Verdana" w:hAnsi="Verdana"/>
          <w:sz w:val="20"/>
          <w:szCs w:val="20"/>
        </w:rPr>
        <w:t xml:space="preserve"> </w:t>
      </w:r>
    </w:p>
    <w:p w14:paraId="745703BC" w14:textId="77777777" w:rsidR="0056309D" w:rsidRDefault="0056309D" w:rsidP="0056309D">
      <w:pPr>
        <w:pStyle w:val="Prrafodelista"/>
        <w:spacing w:after="0" w:line="240" w:lineRule="auto"/>
        <w:ind w:left="0" w:right="6"/>
        <w:jc w:val="both"/>
        <w:rPr>
          <w:rFonts w:ascii="Verdana" w:eastAsia="Batang" w:hAnsi="Verdana" w:cs="Times"/>
          <w:sz w:val="20"/>
          <w:szCs w:val="20"/>
          <w:lang w:val="es-CR" w:eastAsia="es-CR"/>
        </w:rPr>
      </w:pPr>
    </w:p>
    <w:p w14:paraId="493729B9" w14:textId="77777777" w:rsidR="0056309D" w:rsidRDefault="0056309D" w:rsidP="0056309D">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AE6F65">
        <w:rPr>
          <w:rFonts w:ascii="Verdana" w:hAnsi="Verdana" w:cs="Tahoma"/>
          <w:sz w:val="20"/>
          <w:szCs w:val="20"/>
        </w:rPr>
        <w:t>Ahora bien, el Estado no ha admitido un daño ambiental, y ha sostenido, en relación con la alimentación y la identidad cultural, que n</w:t>
      </w:r>
      <w:r w:rsidRPr="00AE6F65">
        <w:rPr>
          <w:rFonts w:ascii="Verdana" w:hAnsi="Verdana"/>
          <w:sz w:val="20"/>
          <w:szCs w:val="20"/>
        </w:rPr>
        <w:t>o hay prueba de desnutrición o déficit alimentario y que son las mismas comunidades las que han introducido cambios a su forma de vida</w:t>
      </w:r>
      <w:r>
        <w:rPr>
          <w:rFonts w:ascii="Verdana" w:hAnsi="Verdana"/>
          <w:sz w:val="20"/>
          <w:szCs w:val="20"/>
        </w:rPr>
        <w:t xml:space="preserve"> (</w:t>
      </w:r>
      <w:r>
        <w:rPr>
          <w:rFonts w:ascii="Verdana" w:hAnsi="Verdana"/>
          <w:i/>
          <w:sz w:val="20"/>
          <w:szCs w:val="20"/>
        </w:rPr>
        <w:t xml:space="preserve">supra </w:t>
      </w:r>
      <w:r>
        <w:rPr>
          <w:rFonts w:ascii="Verdana" w:hAnsi="Verdana"/>
          <w:sz w:val="20"/>
          <w:szCs w:val="20"/>
        </w:rPr>
        <w:t>párrs. 192 y 193)</w:t>
      </w:r>
      <w:r w:rsidRPr="00AE6F65">
        <w:rPr>
          <w:rFonts w:ascii="Verdana" w:hAnsi="Verdana"/>
          <w:sz w:val="20"/>
          <w:szCs w:val="20"/>
        </w:rPr>
        <w:t xml:space="preserve">. </w:t>
      </w:r>
    </w:p>
    <w:p w14:paraId="644883BC" w14:textId="77777777" w:rsidR="0056309D" w:rsidRPr="00AE6F65" w:rsidRDefault="0056309D" w:rsidP="0056309D">
      <w:pPr>
        <w:pStyle w:val="Prrafodelista"/>
        <w:spacing w:line="240" w:lineRule="auto"/>
        <w:rPr>
          <w:rFonts w:ascii="Verdana" w:hAnsi="Verdana"/>
          <w:sz w:val="20"/>
          <w:szCs w:val="20"/>
        </w:rPr>
      </w:pPr>
    </w:p>
    <w:p w14:paraId="4CF2A1DB" w14:textId="77777777" w:rsidR="0056309D" w:rsidRDefault="0056309D" w:rsidP="0056309D">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AE6F65">
        <w:rPr>
          <w:rFonts w:ascii="Verdana" w:hAnsi="Verdana"/>
          <w:sz w:val="20"/>
          <w:szCs w:val="20"/>
        </w:rPr>
        <w:t xml:space="preserve">La Corte entiende que la aseveración estatal implica un entendimiento restrictivo o limitado de los derechos en cuestión, que no considera su interdependencia y particularidades respecto a pueblos indígenas. </w:t>
      </w:r>
    </w:p>
    <w:p w14:paraId="1338313E" w14:textId="77777777" w:rsidR="0056309D" w:rsidRPr="00AE6F65" w:rsidRDefault="0056309D" w:rsidP="0056309D">
      <w:pPr>
        <w:pStyle w:val="Prrafodelista"/>
        <w:spacing w:line="240" w:lineRule="auto"/>
        <w:rPr>
          <w:rFonts w:ascii="Verdana" w:hAnsi="Verdana"/>
          <w:sz w:val="20"/>
          <w:szCs w:val="20"/>
        </w:rPr>
      </w:pPr>
    </w:p>
    <w:p w14:paraId="6DC5D377" w14:textId="77777777" w:rsidR="0056309D" w:rsidRDefault="0056309D" w:rsidP="0056309D">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AE6F65">
        <w:rPr>
          <w:rFonts w:ascii="Verdana" w:hAnsi="Verdana"/>
          <w:sz w:val="20"/>
          <w:szCs w:val="20"/>
        </w:rPr>
        <w:t>Considerando las pautas antes expresadas, este Tribunal entiende que sí hubo un impacto relevante en el modo de vida de las comunidades indígenas respecto de su territorio. Es preciso aclarar las características de ese impacto</w:t>
      </w:r>
      <w:r w:rsidRPr="00751A20">
        <w:rPr>
          <w:rFonts w:ascii="Verdana" w:hAnsi="Verdana"/>
          <w:sz w:val="20"/>
          <w:szCs w:val="20"/>
        </w:rPr>
        <w:t>.</w:t>
      </w:r>
      <w:r>
        <w:rPr>
          <w:rFonts w:ascii="Verdana" w:hAnsi="Verdana"/>
          <w:sz w:val="20"/>
          <w:szCs w:val="20"/>
        </w:rPr>
        <w:t xml:space="preserve"> </w:t>
      </w:r>
    </w:p>
    <w:p w14:paraId="594E620F" w14:textId="77777777" w:rsidR="0056309D" w:rsidRPr="00AE6F65" w:rsidRDefault="0056309D" w:rsidP="0056309D">
      <w:pPr>
        <w:pStyle w:val="Prrafodelista"/>
        <w:spacing w:line="240" w:lineRule="auto"/>
        <w:rPr>
          <w:rFonts w:ascii="Verdana" w:hAnsi="Verdana"/>
          <w:sz w:val="20"/>
          <w:szCs w:val="20"/>
        </w:rPr>
      </w:pPr>
    </w:p>
    <w:p w14:paraId="2F14AD98" w14:textId="77777777" w:rsidR="0056309D" w:rsidRPr="00AE6F65" w:rsidRDefault="0056309D" w:rsidP="0056309D">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AE6F65">
        <w:rPr>
          <w:rFonts w:ascii="Verdana" w:hAnsi="Verdana"/>
          <w:sz w:val="20"/>
          <w:szCs w:val="20"/>
        </w:rPr>
        <w:t xml:space="preserve">La perita Yáñez Fuenzalida, en cuanto a la “pertinencia cultural” que debe tener el “título que reconoce la propiedad y posesión colectiva indígena sobre sus tierras ancestrales”, explicó que ello implica que el título sea idóneo para reconocer las formas “específicas del derecho al uso y goce de los bienes, dadas por la cultura, usos, costumbres y creencias de cada pueblo”. Por ello afirmó que, en el caso, el Estado debe proveer un “título de dominio que reconozca [la] especificidad étnica y cultural [de las] comunidades […] que utilizan el territorio en circuitos de trashumancia que se van trazando de conformidad con su tradición cultural y la disponibilidad efectiva de recursos naturales para su subsistencia, </w:t>
      </w:r>
      <w:r>
        <w:rPr>
          <w:rFonts w:ascii="Verdana" w:hAnsi="Verdana"/>
          <w:sz w:val="20"/>
          <w:szCs w:val="20"/>
        </w:rPr>
        <w:t xml:space="preserve">ocupando </w:t>
      </w:r>
      <w:r w:rsidRPr="00AE6F65">
        <w:rPr>
          <w:rFonts w:ascii="Verdana" w:hAnsi="Verdana"/>
          <w:sz w:val="20"/>
          <w:szCs w:val="20"/>
        </w:rPr>
        <w:t>la totalidad del hábitat que configura su territorio tradicional y cuyos recorridos […] se superponen, traslapan y cruzan entre sí”.</w:t>
      </w:r>
      <w:r>
        <w:rPr>
          <w:rFonts w:ascii="Verdana" w:hAnsi="Verdana"/>
          <w:sz w:val="20"/>
          <w:szCs w:val="20"/>
        </w:rPr>
        <w:t xml:space="preserve"> </w:t>
      </w:r>
      <w:r w:rsidRPr="00AE6F65">
        <w:rPr>
          <w:rFonts w:ascii="Verdana" w:hAnsi="Verdana"/>
          <w:sz w:val="20"/>
          <w:szCs w:val="20"/>
        </w:rPr>
        <w:t>La perita concluyó que “si no se reconoce la propiedad comunal indígena se podría vulnerar otros derechos conexos como son[, entre otros,] el derecho a la identidad cultural, a la supervivencia organizada como pueblo [y] a la alimentación”</w:t>
      </w:r>
      <w:r w:rsidRPr="00771ED8">
        <w:rPr>
          <w:rStyle w:val="Refdenotaalpie"/>
          <w:rFonts w:ascii="Verdana" w:hAnsi="Verdana"/>
          <w:sz w:val="20"/>
        </w:rPr>
        <w:footnoteReference w:id="290"/>
      </w:r>
      <w:r w:rsidRPr="00AE6F65">
        <w:rPr>
          <w:rFonts w:ascii="Verdana" w:hAnsi="Verdana"/>
          <w:sz w:val="20"/>
          <w:szCs w:val="20"/>
        </w:rPr>
        <w:t>. Lo expuesto es relevante</w:t>
      </w:r>
      <w:r>
        <w:rPr>
          <w:rFonts w:ascii="Verdana" w:hAnsi="Verdana"/>
          <w:sz w:val="20"/>
          <w:szCs w:val="20"/>
        </w:rPr>
        <w:t xml:space="preserve"> puesto que</w:t>
      </w:r>
      <w:r w:rsidRPr="00AE6F65">
        <w:rPr>
          <w:rFonts w:ascii="Verdana" w:hAnsi="Verdana"/>
          <w:sz w:val="20"/>
          <w:szCs w:val="20"/>
        </w:rPr>
        <w:t>, como ya se ha determinado en esta Sentencia</w:t>
      </w:r>
      <w:r>
        <w:rPr>
          <w:rFonts w:ascii="Verdana" w:hAnsi="Verdana"/>
          <w:sz w:val="20"/>
          <w:szCs w:val="20"/>
        </w:rPr>
        <w:t xml:space="preserve">, </w:t>
      </w:r>
      <w:r w:rsidRPr="00AE6F65">
        <w:rPr>
          <w:rFonts w:ascii="Verdana" w:hAnsi="Verdana"/>
          <w:sz w:val="20"/>
          <w:szCs w:val="20"/>
        </w:rPr>
        <w:t xml:space="preserve">el Estado no ha garantizado en forma adecuada el derecho de propiedad. </w:t>
      </w:r>
    </w:p>
    <w:p w14:paraId="47547962" w14:textId="77777777" w:rsidR="0056309D" w:rsidRDefault="0056309D" w:rsidP="0056309D">
      <w:pPr>
        <w:pStyle w:val="Prrafodelista"/>
        <w:spacing w:after="0" w:line="240" w:lineRule="auto"/>
        <w:ind w:left="0" w:right="6"/>
        <w:jc w:val="both"/>
        <w:rPr>
          <w:rFonts w:ascii="Verdana" w:eastAsia="Batang" w:hAnsi="Verdana" w:cs="Times"/>
          <w:sz w:val="20"/>
          <w:szCs w:val="20"/>
          <w:lang w:val="es-CR" w:eastAsia="es-CR"/>
        </w:rPr>
      </w:pPr>
    </w:p>
    <w:p w14:paraId="0EC1844A" w14:textId="2AFA8003" w:rsidR="0056309D" w:rsidRPr="00AE6F65" w:rsidRDefault="0056309D" w:rsidP="0056309D">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AE6F65">
        <w:rPr>
          <w:rFonts w:ascii="Verdana" w:hAnsi="Verdana"/>
          <w:sz w:val="20"/>
          <w:szCs w:val="20"/>
        </w:rPr>
        <w:t>La perita Naharro refirió estudios que denotan como “altamente probable” que la “ganadería vacuna esté acelerando procesos de deterioro ambiental”, y que la “distribución espacial del pastoreo […] estaría generando […] deterioro ecosistémico”</w:t>
      </w:r>
      <w:r>
        <w:rPr>
          <w:rFonts w:ascii="Verdana" w:hAnsi="Verdana"/>
          <w:sz w:val="20"/>
          <w:szCs w:val="20"/>
        </w:rPr>
        <w:t>.</w:t>
      </w:r>
      <w:r w:rsidRPr="00AE6F65">
        <w:rPr>
          <w:rFonts w:ascii="Verdana" w:hAnsi="Verdana"/>
          <w:sz w:val="20"/>
          <w:szCs w:val="20"/>
        </w:rPr>
        <w:t xml:space="preserve"> A su vez, en su declaración pericial se indica que “[e]l ganado vacuno a medida que se incrementa va paulatinamente derribando los medios de vida del indígena”.</w:t>
      </w:r>
      <w:r w:rsidRPr="00AE6F65">
        <w:rPr>
          <w:rFonts w:ascii="Verdana" w:hAnsi="Verdana"/>
          <w:b/>
          <w:sz w:val="16"/>
          <w:szCs w:val="16"/>
        </w:rPr>
        <w:t xml:space="preserve"> </w:t>
      </w:r>
      <w:r w:rsidRPr="00AE6F65">
        <w:rPr>
          <w:rFonts w:ascii="Verdana" w:hAnsi="Verdana"/>
          <w:sz w:val="20"/>
          <w:szCs w:val="20"/>
        </w:rPr>
        <w:t>Explicó que el ganado afecta la fauna silvestre y, además, se alimenta de frutos que son parte de la “dieta aborigen”, y que la ganadería ha “perjudica[do]” la “forma que tienen las comunidades indígenas de circular por el territorio y aprovechar bienes comunes”. Advirtió también que</w:t>
      </w:r>
      <w:r w:rsidR="009C02E5">
        <w:rPr>
          <w:rFonts w:ascii="Verdana" w:hAnsi="Verdana"/>
          <w:sz w:val="20"/>
          <w:szCs w:val="20"/>
        </w:rPr>
        <w:t>,</w:t>
      </w:r>
      <w:r w:rsidRPr="00AE6F65">
        <w:rPr>
          <w:rFonts w:ascii="Verdana" w:hAnsi="Verdana"/>
          <w:sz w:val="20"/>
          <w:szCs w:val="20"/>
        </w:rPr>
        <w:t xml:space="preserve"> conforme distintos especialistas, “la ganadería ha tenido incidencia sobre el río Pilcomayo” por la “erosión” de las “cabeceras de cuenca” y de “su curso medio por sobrepastoreo”, viéndose “afectada la supervivencia de las culturas aborígenes que habitan y dependen del río</w:t>
      </w:r>
      <w:r w:rsidRPr="00AE6F65">
        <w:rPr>
          <w:rFonts w:ascii="Verdana" w:hAnsi="Verdana"/>
          <w:sz w:val="16"/>
          <w:szCs w:val="16"/>
        </w:rPr>
        <w:t xml:space="preserve">”. </w:t>
      </w:r>
      <w:r w:rsidRPr="00AE6F65">
        <w:rPr>
          <w:rFonts w:ascii="Verdana" w:hAnsi="Verdana"/>
          <w:sz w:val="20"/>
          <w:szCs w:val="20"/>
        </w:rPr>
        <w:t>La perita indicó estudios que señalan que la “explotación maderera” potencia los efectos nocivos expresados, pues contribuye a la “desapar[ición de] la cubierta vegetal y por ende animal de la zona”.</w:t>
      </w:r>
      <w:r w:rsidRPr="00AE6F65">
        <w:rPr>
          <w:rFonts w:ascii="Verdana" w:hAnsi="Verdana"/>
          <w:b/>
          <w:sz w:val="16"/>
          <w:szCs w:val="16"/>
        </w:rPr>
        <w:t xml:space="preserve"> </w:t>
      </w:r>
      <w:r w:rsidRPr="00AE6F65">
        <w:rPr>
          <w:rFonts w:ascii="Verdana" w:hAnsi="Verdana"/>
          <w:sz w:val="20"/>
          <w:szCs w:val="20"/>
        </w:rPr>
        <w:t xml:space="preserve">Expresó que </w:t>
      </w:r>
      <w:r w:rsidRPr="00AE6F65">
        <w:rPr>
          <w:rFonts w:ascii="Verdana" w:hAnsi="Verdana"/>
          <w:sz w:val="20"/>
          <w:szCs w:val="20"/>
        </w:rPr>
        <w:lastRenderedPageBreak/>
        <w:t>durante un trabajo de campo realizado en septiembre de 2017 se evidenció que la “ilegali</w:t>
      </w:r>
      <w:r>
        <w:rPr>
          <w:rFonts w:ascii="Verdana" w:hAnsi="Verdana"/>
          <w:sz w:val="20"/>
          <w:szCs w:val="20"/>
        </w:rPr>
        <w:t>d</w:t>
      </w:r>
      <w:r w:rsidRPr="00AE6F65">
        <w:rPr>
          <w:rFonts w:ascii="Verdana" w:hAnsi="Verdana"/>
          <w:sz w:val="20"/>
          <w:szCs w:val="20"/>
        </w:rPr>
        <w:t>ad de la tala tuvo consecuencias negativas para el ambiente</w:t>
      </w:r>
      <w:r w:rsidRPr="00AE6F65">
        <w:rPr>
          <w:rFonts w:ascii="Verdana" w:hAnsi="Verdana"/>
          <w:b/>
          <w:sz w:val="20"/>
          <w:szCs w:val="20"/>
        </w:rPr>
        <w:t xml:space="preserve"> </w:t>
      </w:r>
      <w:r w:rsidRPr="00AE6F65">
        <w:rPr>
          <w:rFonts w:ascii="Verdana" w:hAnsi="Verdana"/>
          <w:sz w:val="20"/>
          <w:szCs w:val="20"/>
        </w:rPr>
        <w:t xml:space="preserve">y para las comunidades </w:t>
      </w:r>
      <w:r w:rsidRPr="000954CC">
        <w:rPr>
          <w:rFonts w:ascii="Verdana" w:hAnsi="Verdana"/>
          <w:sz w:val="20"/>
          <w:szCs w:val="20"/>
        </w:rPr>
        <w:t>indígenas”</w:t>
      </w:r>
      <w:r w:rsidRPr="000954CC">
        <w:rPr>
          <w:rStyle w:val="Refdenotaalpie"/>
          <w:rFonts w:ascii="Verdana" w:hAnsi="Verdana"/>
          <w:sz w:val="20"/>
        </w:rPr>
        <w:footnoteReference w:id="291"/>
      </w:r>
      <w:r w:rsidRPr="000954CC">
        <w:rPr>
          <w:rFonts w:ascii="Verdana" w:hAnsi="Verdana"/>
          <w:sz w:val="20"/>
          <w:szCs w:val="20"/>
        </w:rPr>
        <w:t>. La prueba presentada</w:t>
      </w:r>
      <w:r w:rsidRPr="00AE6F65">
        <w:rPr>
          <w:rFonts w:ascii="Verdana" w:hAnsi="Verdana"/>
          <w:sz w:val="20"/>
          <w:szCs w:val="20"/>
        </w:rPr>
        <w:t xml:space="preserve"> muestra que los bienes tutelados por los derechos citados han sido impactados</w:t>
      </w:r>
      <w:r>
        <w:rPr>
          <w:rFonts w:ascii="Verdana" w:hAnsi="Verdana"/>
          <w:sz w:val="20"/>
          <w:szCs w:val="20"/>
        </w:rPr>
        <w:t xml:space="preserve">. </w:t>
      </w:r>
    </w:p>
    <w:p w14:paraId="30FCBCA3" w14:textId="77777777" w:rsidR="0056309D" w:rsidRDefault="0056309D" w:rsidP="0056309D">
      <w:pPr>
        <w:pStyle w:val="Prrafodelista"/>
        <w:spacing w:after="0" w:line="240" w:lineRule="auto"/>
        <w:ind w:left="0" w:right="6"/>
        <w:jc w:val="both"/>
        <w:rPr>
          <w:rFonts w:ascii="Verdana" w:eastAsia="Batang" w:hAnsi="Verdana" w:cs="Times"/>
          <w:sz w:val="20"/>
          <w:szCs w:val="20"/>
          <w:lang w:val="es-CR" w:eastAsia="es-CR"/>
        </w:rPr>
      </w:pPr>
    </w:p>
    <w:p w14:paraId="6ADD8411" w14:textId="77777777" w:rsidR="0056309D" w:rsidRDefault="0056309D" w:rsidP="0056309D">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AE6F65">
        <w:rPr>
          <w:rFonts w:ascii="Verdana" w:hAnsi="Verdana"/>
          <w:sz w:val="20"/>
          <w:szCs w:val="20"/>
        </w:rPr>
        <w:t>La perita Buliubasich, por su parte, destacó que la “degradación del medio natural como consecuencia de las formas de explotación ganadera y forestal” afecta el modo de vida indígena, y que, en ese sentido, hay una “incompatibilidad entre ganadería y actividades tradicionales indígenas”. Notó que la “erosión ambiental es progresiva “de modo que [criollos e indígenas] requi</w:t>
      </w:r>
      <w:r>
        <w:rPr>
          <w:rFonts w:ascii="Verdana" w:hAnsi="Verdana"/>
          <w:sz w:val="20"/>
          <w:szCs w:val="20"/>
        </w:rPr>
        <w:t>e</w:t>
      </w:r>
      <w:r w:rsidRPr="00AE6F65">
        <w:rPr>
          <w:rFonts w:ascii="Verdana" w:hAnsi="Verdana"/>
          <w:sz w:val="20"/>
          <w:szCs w:val="20"/>
        </w:rPr>
        <w:t>ren cada vez más territorio, conduciendo a una exclusión competitiva más intensa”</w:t>
      </w:r>
      <w:r>
        <w:rPr>
          <w:rFonts w:ascii="Verdana" w:hAnsi="Verdana"/>
          <w:sz w:val="20"/>
          <w:szCs w:val="20"/>
        </w:rPr>
        <w:t>.</w:t>
      </w:r>
      <w:r w:rsidRPr="00AE6F65">
        <w:rPr>
          <w:rFonts w:ascii="Verdana" w:hAnsi="Verdana"/>
          <w:sz w:val="16"/>
          <w:szCs w:val="16"/>
        </w:rPr>
        <w:t xml:space="preserve"> </w:t>
      </w:r>
    </w:p>
    <w:p w14:paraId="4F206B9F" w14:textId="77777777" w:rsidR="0056309D" w:rsidRPr="00AE6F65" w:rsidRDefault="0056309D" w:rsidP="0056309D">
      <w:pPr>
        <w:pStyle w:val="Prrafodelista"/>
        <w:spacing w:line="240" w:lineRule="auto"/>
        <w:rPr>
          <w:rFonts w:ascii="Verdana" w:hAnsi="Verdana"/>
          <w:sz w:val="20"/>
          <w:szCs w:val="20"/>
        </w:rPr>
      </w:pPr>
    </w:p>
    <w:p w14:paraId="29CD9EE3" w14:textId="20EA2B43" w:rsidR="0056309D" w:rsidRPr="00AE6F65" w:rsidRDefault="0056309D" w:rsidP="0056309D">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AE6F65">
        <w:rPr>
          <w:rFonts w:ascii="Verdana" w:hAnsi="Verdana"/>
          <w:sz w:val="20"/>
          <w:szCs w:val="20"/>
        </w:rPr>
        <w:t>La perita Naha</w:t>
      </w:r>
      <w:r>
        <w:rPr>
          <w:rFonts w:ascii="Verdana" w:hAnsi="Verdana"/>
          <w:sz w:val="20"/>
          <w:szCs w:val="20"/>
        </w:rPr>
        <w:t>r</w:t>
      </w:r>
      <w:r w:rsidRPr="00AE6F65">
        <w:rPr>
          <w:rFonts w:ascii="Verdana" w:hAnsi="Verdana"/>
          <w:sz w:val="20"/>
          <w:szCs w:val="20"/>
        </w:rPr>
        <w:t>ro explicó también que “[a]nte la escasez de agua, las comunidades [indígenas] a veces ven vedado el acceso a los reservorios de agua, ya que las familias criollas alambran alrededor, impidiendo el uso a los indígenas”.</w:t>
      </w:r>
      <w:r w:rsidRPr="00AE6F65">
        <w:rPr>
          <w:rFonts w:ascii="Verdana" w:hAnsi="Verdana"/>
          <w:b/>
          <w:sz w:val="16"/>
          <w:szCs w:val="16"/>
        </w:rPr>
        <w:t xml:space="preserve"> </w:t>
      </w:r>
      <w:r w:rsidRPr="00AE6F65">
        <w:rPr>
          <w:rFonts w:ascii="Verdana" w:hAnsi="Verdana"/>
          <w:sz w:val="20"/>
          <w:szCs w:val="20"/>
        </w:rPr>
        <w:t>Agregó que la “situación alimentaria de los pueblos cazadores y recolectores del área del [río]</w:t>
      </w:r>
      <w:r w:rsidRPr="00AE6F65">
        <w:rPr>
          <w:rFonts w:ascii="Verdana" w:hAnsi="Verdana"/>
          <w:b/>
          <w:sz w:val="16"/>
          <w:szCs w:val="16"/>
        </w:rPr>
        <w:t xml:space="preserve"> </w:t>
      </w:r>
      <w:r w:rsidRPr="00AE6F65">
        <w:rPr>
          <w:rFonts w:ascii="Verdana" w:hAnsi="Verdana"/>
          <w:sz w:val="20"/>
          <w:szCs w:val="20"/>
        </w:rPr>
        <w:t>Pilcomayo, debe entenderse en relación a los cambios que incidieron en la provisión de alimentos”. En ese sentido, “[c]omo producto de la degradación ambiental, la oferta de recursos del monte se ha vuelto cada vez más insuficiente, con lo cual los pueblos indígenas han debido incorporar nuevos alimentos industrializados. Estos</w:t>
      </w:r>
      <w:r w:rsidR="00DE5A24">
        <w:rPr>
          <w:rFonts w:ascii="Verdana" w:hAnsi="Verdana"/>
          <w:sz w:val="20"/>
          <w:szCs w:val="20"/>
        </w:rPr>
        <w:t>[,]</w:t>
      </w:r>
      <w:r w:rsidRPr="00AE6F65">
        <w:rPr>
          <w:rFonts w:ascii="Verdana" w:hAnsi="Verdana"/>
          <w:sz w:val="20"/>
          <w:szCs w:val="20"/>
        </w:rPr>
        <w:t xml:space="preserve"> al ser obtenidos mediante ingresos monetarios que son sumamente escasos[</w:t>
      </w:r>
      <w:r w:rsidR="00DE5A24">
        <w:rPr>
          <w:rFonts w:ascii="Verdana" w:hAnsi="Verdana"/>
          <w:sz w:val="20"/>
          <w:szCs w:val="20"/>
        </w:rPr>
        <w:t>,</w:t>
      </w:r>
      <w:r w:rsidRPr="00AE6F65">
        <w:rPr>
          <w:rFonts w:ascii="Verdana" w:hAnsi="Verdana"/>
          <w:sz w:val="20"/>
          <w:szCs w:val="20"/>
        </w:rPr>
        <w:t>…] no alcanzan a completar una alimentación suficiente”.</w:t>
      </w:r>
      <w:r w:rsidRPr="00AE6F65">
        <w:rPr>
          <w:rFonts w:ascii="Verdana" w:hAnsi="Verdana"/>
          <w:b/>
          <w:sz w:val="16"/>
          <w:szCs w:val="16"/>
        </w:rPr>
        <w:t xml:space="preserve"> </w:t>
      </w:r>
      <w:r w:rsidRPr="00AE6F65">
        <w:rPr>
          <w:rFonts w:ascii="Verdana" w:hAnsi="Verdana"/>
          <w:sz w:val="20"/>
          <w:szCs w:val="20"/>
        </w:rPr>
        <w:t>Además</w:t>
      </w:r>
      <w:r w:rsidR="009C02E5">
        <w:rPr>
          <w:rFonts w:ascii="Verdana" w:hAnsi="Verdana"/>
          <w:sz w:val="20"/>
          <w:szCs w:val="20"/>
        </w:rPr>
        <w:t>,</w:t>
      </w:r>
      <w:r w:rsidRPr="00AE6F65">
        <w:rPr>
          <w:rFonts w:ascii="Verdana" w:hAnsi="Verdana"/>
          <w:sz w:val="20"/>
          <w:szCs w:val="20"/>
        </w:rPr>
        <w:t xml:space="preserve"> expresó que “la mayoría de las comunidades no posee agua apta para consumo y si bien tienen pozo a bomba, el agua que se obtiene […] no recibe tratamiento. La disposición de excretas es a ‘cielo abierto’ y muchas no tienen tratamiento de residuos”. Agregó que “el agua para consumo tiende a ser compartida con […] criollos”, y que el agua a la que acceden las comunidades es de “cantidad insuficiente”</w:t>
      </w:r>
      <w:r>
        <w:rPr>
          <w:rFonts w:ascii="Verdana" w:hAnsi="Verdana"/>
          <w:sz w:val="20"/>
          <w:szCs w:val="20"/>
        </w:rPr>
        <w:t>.</w:t>
      </w:r>
    </w:p>
    <w:p w14:paraId="50552210" w14:textId="77777777" w:rsidR="0056309D" w:rsidRDefault="0056309D" w:rsidP="0056309D">
      <w:pPr>
        <w:pStyle w:val="Prrafodelista"/>
        <w:spacing w:after="0" w:line="240" w:lineRule="auto"/>
        <w:ind w:left="0" w:right="6"/>
        <w:jc w:val="both"/>
        <w:rPr>
          <w:rFonts w:ascii="Verdana" w:eastAsia="Batang" w:hAnsi="Verdana" w:cs="Times"/>
          <w:sz w:val="20"/>
          <w:szCs w:val="20"/>
          <w:lang w:val="es-CR" w:eastAsia="es-CR"/>
        </w:rPr>
      </w:pPr>
    </w:p>
    <w:p w14:paraId="6D08911B" w14:textId="13AD23FA" w:rsidR="0056309D" w:rsidRDefault="0056309D" w:rsidP="0056309D">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AE6F65">
        <w:rPr>
          <w:rFonts w:ascii="Verdana" w:hAnsi="Verdana"/>
          <w:sz w:val="20"/>
          <w:szCs w:val="20"/>
        </w:rPr>
        <w:t xml:space="preserve">Sobre lo anterior, la Corte nota que tanto el Estado como los representantes son contestes en </w:t>
      </w:r>
      <w:r w:rsidR="009C02E5">
        <w:rPr>
          <w:rFonts w:ascii="Verdana" w:hAnsi="Verdana"/>
          <w:sz w:val="20"/>
          <w:szCs w:val="20"/>
        </w:rPr>
        <w:t xml:space="preserve">sostener </w:t>
      </w:r>
      <w:r w:rsidRPr="00AE6F65">
        <w:rPr>
          <w:rFonts w:ascii="Verdana" w:hAnsi="Verdana"/>
          <w:sz w:val="20"/>
          <w:szCs w:val="20"/>
        </w:rPr>
        <w:t xml:space="preserve">que ha habido cambios en la forma de vida de las comunidades indígenas, señalando los representantes </w:t>
      </w:r>
      <w:r w:rsidR="005C4839">
        <w:rPr>
          <w:rFonts w:ascii="Verdana" w:hAnsi="Verdana"/>
          <w:sz w:val="20"/>
          <w:szCs w:val="20"/>
        </w:rPr>
        <w:t>“</w:t>
      </w:r>
      <w:r w:rsidRPr="00AE6F65">
        <w:rPr>
          <w:rFonts w:ascii="Verdana" w:hAnsi="Verdana"/>
          <w:sz w:val="20"/>
          <w:szCs w:val="20"/>
        </w:rPr>
        <w:t>alteraciones” en sus “costumbres”, “hábitos sociales e individuales”, “prácticas económicas” y “concepciones” (</w:t>
      </w:r>
      <w:r w:rsidRPr="00AE6F65">
        <w:rPr>
          <w:rFonts w:ascii="Verdana" w:hAnsi="Verdana"/>
          <w:i/>
          <w:sz w:val="20"/>
          <w:szCs w:val="20"/>
        </w:rPr>
        <w:t xml:space="preserve">supra </w:t>
      </w:r>
      <w:r w:rsidRPr="00AE6F65">
        <w:rPr>
          <w:rFonts w:ascii="Verdana" w:hAnsi="Verdana"/>
          <w:sz w:val="20"/>
          <w:szCs w:val="20"/>
        </w:rPr>
        <w:t xml:space="preserve">párrs. </w:t>
      </w:r>
      <w:r>
        <w:rPr>
          <w:rFonts w:ascii="Verdana" w:hAnsi="Verdana"/>
          <w:sz w:val="20"/>
          <w:szCs w:val="20"/>
        </w:rPr>
        <w:t>189 y 193</w:t>
      </w:r>
      <w:r w:rsidRPr="00AE6F65">
        <w:rPr>
          <w:rFonts w:ascii="Verdana" w:hAnsi="Verdana"/>
          <w:sz w:val="20"/>
          <w:szCs w:val="20"/>
        </w:rPr>
        <w:t>).</w:t>
      </w:r>
    </w:p>
    <w:p w14:paraId="7CB3BC14" w14:textId="77777777" w:rsidR="0056309D" w:rsidRPr="00AE6F65" w:rsidRDefault="0056309D" w:rsidP="0056309D">
      <w:pPr>
        <w:pStyle w:val="Prrafodelista"/>
        <w:spacing w:line="240" w:lineRule="auto"/>
        <w:rPr>
          <w:rFonts w:ascii="Verdana" w:hAnsi="Verdana"/>
          <w:sz w:val="20"/>
          <w:szCs w:val="20"/>
        </w:rPr>
      </w:pPr>
    </w:p>
    <w:p w14:paraId="16435476" w14:textId="23CF9F19" w:rsidR="0056309D" w:rsidRPr="00AE6F65" w:rsidRDefault="0056309D" w:rsidP="0056309D">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AE6F65">
        <w:rPr>
          <w:rFonts w:ascii="Verdana" w:hAnsi="Verdana"/>
          <w:sz w:val="20"/>
          <w:szCs w:val="20"/>
        </w:rPr>
        <w:t xml:space="preserve">Ahora bien, en primer término, es preciso dejar sentado que, dado el carácter evolutivo y dinámico de la cultura, pautas culturales propias de los pueblos indígenas pueden ir modificándose a lo largo del tiempo y a partir de su contacto con otros grupos humanos. Desde luego, ello no priva a los pueblos respectivos de su carácter indígena. A su vez, esta característica dinámica no puede, por sí misma, llevar a negar la ocurrencia, según los casos, de reales daños a la identidad cultural. En las circunstancias del caso, los cambios en la forma de vida de las comunidades, advertidos tanto por el Estado </w:t>
      </w:r>
      <w:r w:rsidR="002847D0">
        <w:rPr>
          <w:rFonts w:ascii="Verdana" w:hAnsi="Verdana"/>
          <w:sz w:val="20"/>
          <w:szCs w:val="20"/>
        </w:rPr>
        <w:t>como por</w:t>
      </w:r>
      <w:r w:rsidRPr="00AE6F65">
        <w:rPr>
          <w:rFonts w:ascii="Verdana" w:hAnsi="Verdana"/>
          <w:sz w:val="20"/>
          <w:szCs w:val="20"/>
        </w:rPr>
        <w:t xml:space="preserve"> los representantes, han estado relacionados con la interferencia, en su territorio, de pobladores no indígenas y actividades ajenas a sus costumbres tradicionales. Esta interferencia, que nunca fue consentida por las comunidades, sino que se enmarcó en una lesión al libre disfrute de su territorio ancestral, afectó bienes naturales o ambientales de dicho territorio, incidiendo en el modo tradicional de alimentación de las comunidades indígenas y en su acceso al agua. En este marco, las alteraciones a la forma de vida indígena no pueden ser vistas, como pretende el Estado, </w:t>
      </w:r>
      <w:r w:rsidRPr="00AE6F65">
        <w:rPr>
          <w:rFonts w:ascii="Verdana" w:hAnsi="Verdana"/>
          <w:sz w:val="20"/>
          <w:szCs w:val="20"/>
        </w:rPr>
        <w:lastRenderedPageBreak/>
        <w:t>como introducidas por las propias comunidades, como si hubiera sido el resultado de una determinación deliberada y voluntaria. Por ello, ha existido una lesión a la identidad cultural relacionada con recursos naturales y alimentarios.</w:t>
      </w:r>
    </w:p>
    <w:p w14:paraId="300BFCD3" w14:textId="77777777" w:rsidR="0056309D" w:rsidRDefault="0056309D" w:rsidP="0056309D">
      <w:pPr>
        <w:pStyle w:val="Prrafodelista"/>
        <w:spacing w:after="0" w:line="240" w:lineRule="auto"/>
        <w:ind w:left="0" w:right="6"/>
        <w:jc w:val="both"/>
        <w:rPr>
          <w:rFonts w:ascii="Verdana" w:eastAsia="Batang" w:hAnsi="Verdana" w:cs="Times"/>
          <w:sz w:val="20"/>
          <w:szCs w:val="20"/>
          <w:lang w:val="es-CR" w:eastAsia="es-CR"/>
        </w:rPr>
      </w:pPr>
    </w:p>
    <w:p w14:paraId="56EEE8D7" w14:textId="6F1749DC" w:rsidR="0056309D" w:rsidRDefault="0056309D" w:rsidP="0056309D">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AE6F65">
        <w:rPr>
          <w:rFonts w:ascii="Verdana" w:hAnsi="Verdana"/>
          <w:sz w:val="20"/>
          <w:szCs w:val="20"/>
        </w:rPr>
        <w:t>La perita Buliubasich llamó la atención sobre la gravedad de la situación, expresando que en la medida en que esa solución no se presenta, criollo</w:t>
      </w:r>
      <w:r w:rsidRPr="005847AC">
        <w:rPr>
          <w:rFonts w:ascii="Verdana" w:hAnsi="Verdana"/>
          <w:sz w:val="20"/>
          <w:szCs w:val="20"/>
        </w:rPr>
        <w:t xml:space="preserve">s </w:t>
      </w:r>
      <w:r w:rsidRPr="00AE6F65">
        <w:rPr>
          <w:rFonts w:ascii="Verdana" w:hAnsi="Verdana"/>
          <w:sz w:val="20"/>
          <w:szCs w:val="20"/>
        </w:rPr>
        <w:t>e indígenas requieren cada vez mayor territorio. Expresó que</w:t>
      </w:r>
      <w:r w:rsidR="002847D0">
        <w:rPr>
          <w:rFonts w:ascii="Verdana" w:hAnsi="Verdana"/>
          <w:sz w:val="20"/>
          <w:szCs w:val="20"/>
        </w:rPr>
        <w:t>:</w:t>
      </w:r>
      <w:r w:rsidRPr="00AE6F65">
        <w:rPr>
          <w:rFonts w:ascii="Verdana" w:hAnsi="Verdana"/>
          <w:sz w:val="20"/>
          <w:szCs w:val="20"/>
        </w:rPr>
        <w:t xml:space="preserve"> </w:t>
      </w:r>
    </w:p>
    <w:p w14:paraId="2667772B" w14:textId="77777777" w:rsidR="0056309D" w:rsidRDefault="0056309D" w:rsidP="0056309D">
      <w:pPr>
        <w:pStyle w:val="Prrafodelista"/>
        <w:spacing w:line="240" w:lineRule="auto"/>
        <w:rPr>
          <w:rFonts w:ascii="Verdana" w:hAnsi="Verdana"/>
          <w:sz w:val="20"/>
          <w:szCs w:val="20"/>
        </w:rPr>
      </w:pPr>
    </w:p>
    <w:p w14:paraId="6A537826" w14:textId="77777777" w:rsidR="0056309D" w:rsidRPr="00771ED8" w:rsidRDefault="0056309D" w:rsidP="0056309D">
      <w:pPr>
        <w:pStyle w:val="Prrafodelista"/>
        <w:spacing w:after="0" w:line="240" w:lineRule="auto"/>
        <w:ind w:left="142" w:right="191"/>
        <w:jc w:val="both"/>
        <w:rPr>
          <w:rFonts w:ascii="Verdana" w:hAnsi="Verdana"/>
          <w:sz w:val="16"/>
          <w:szCs w:val="16"/>
        </w:rPr>
      </w:pPr>
      <w:r w:rsidRPr="00771ED8">
        <w:rPr>
          <w:rFonts w:ascii="Verdana" w:hAnsi="Verdana"/>
          <w:sz w:val="16"/>
          <w:szCs w:val="16"/>
        </w:rPr>
        <w:t xml:space="preserve">[l]La primera víctima [de lo anterior] es el aborigen, quien privado de los recursos alimenticios del monte no podrá sobrevivir. Tampoco tiene posibilidades de migración, por haber llegado a un sector de arrinconamiento, ni se encuentra preparado para una migración a centros urbanos. […] El destino es simplemente el hambre, con sus etapas de desnutrición, enfermedades y muerte. En un medio ambiente degradado no habrá animales y plantas alimenticias, frutos que explotar y vender[….] En este escenario, se destruye un territorio culturalmente significado, la cosmovisión y la diversidad lingüística. </w:t>
      </w:r>
    </w:p>
    <w:p w14:paraId="1F35273E" w14:textId="77777777" w:rsidR="0056309D" w:rsidRPr="00771ED8" w:rsidRDefault="0056309D" w:rsidP="0056309D">
      <w:pPr>
        <w:pStyle w:val="Prrafodelista"/>
        <w:spacing w:after="0" w:line="240" w:lineRule="auto"/>
        <w:ind w:left="0"/>
        <w:jc w:val="both"/>
        <w:rPr>
          <w:rFonts w:ascii="Verdana" w:hAnsi="Verdana"/>
          <w:sz w:val="20"/>
          <w:szCs w:val="20"/>
        </w:rPr>
      </w:pPr>
    </w:p>
    <w:p w14:paraId="552F3C68" w14:textId="77777777" w:rsidR="0056309D" w:rsidRPr="00771ED8" w:rsidRDefault="0056309D" w:rsidP="0056309D">
      <w:pPr>
        <w:pStyle w:val="Prrafodelista"/>
        <w:spacing w:after="0" w:line="240" w:lineRule="auto"/>
        <w:ind w:left="0"/>
        <w:jc w:val="both"/>
        <w:rPr>
          <w:rFonts w:ascii="Verdana" w:hAnsi="Verdana"/>
          <w:sz w:val="16"/>
          <w:szCs w:val="16"/>
        </w:rPr>
      </w:pPr>
      <w:r w:rsidRPr="00771ED8">
        <w:rPr>
          <w:rFonts w:ascii="Verdana" w:hAnsi="Verdana"/>
          <w:sz w:val="20"/>
          <w:szCs w:val="20"/>
        </w:rPr>
        <w:t>La perita mencionó como “segunda víctima” al “criollo”, que se ve empobrecido y cuyo futuro previsible es la migración a centros urbanos; como “tercera víctima” identificó al “ambiente[,…] al transformarse el monte en desierto, con pérdida de recursos valiosos y de la biodiversidad</w:t>
      </w:r>
      <w:r>
        <w:rPr>
          <w:rFonts w:ascii="Verdana" w:hAnsi="Verdana"/>
          <w:sz w:val="20"/>
          <w:szCs w:val="20"/>
        </w:rPr>
        <w:t>”</w:t>
      </w:r>
      <w:r w:rsidRPr="00771ED8">
        <w:rPr>
          <w:rFonts w:ascii="Verdana" w:hAnsi="Verdana"/>
          <w:sz w:val="20"/>
          <w:szCs w:val="20"/>
        </w:rPr>
        <w:t xml:space="preserve">. </w:t>
      </w:r>
    </w:p>
    <w:p w14:paraId="102D352E" w14:textId="77777777" w:rsidR="0056309D" w:rsidRPr="00AE6F65" w:rsidRDefault="0056309D" w:rsidP="0056309D">
      <w:pPr>
        <w:pStyle w:val="Prrafodelista"/>
        <w:spacing w:line="240" w:lineRule="auto"/>
        <w:rPr>
          <w:rFonts w:ascii="Verdana" w:hAnsi="Verdana"/>
          <w:sz w:val="20"/>
          <w:szCs w:val="20"/>
        </w:rPr>
      </w:pPr>
    </w:p>
    <w:p w14:paraId="315DDF8F" w14:textId="77777777" w:rsidR="0056309D" w:rsidRPr="00AE6F65" w:rsidRDefault="0056309D" w:rsidP="0056309D">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AE6F65">
        <w:rPr>
          <w:rFonts w:ascii="Verdana" w:hAnsi="Verdana"/>
          <w:sz w:val="20"/>
          <w:szCs w:val="20"/>
        </w:rPr>
        <w:t xml:space="preserve">Establecido lo anterior, corresponde examinar si el Estado tiene responsabilidad en tal lesión. </w:t>
      </w:r>
    </w:p>
    <w:p w14:paraId="79562D1D" w14:textId="77777777" w:rsidR="0056309D" w:rsidRDefault="0056309D" w:rsidP="0056309D">
      <w:pPr>
        <w:pStyle w:val="Prrafodelista"/>
        <w:spacing w:after="0" w:line="240" w:lineRule="auto"/>
        <w:ind w:left="0" w:right="6"/>
        <w:jc w:val="both"/>
        <w:rPr>
          <w:rFonts w:ascii="Verdana" w:eastAsia="Batang" w:hAnsi="Verdana" w:cs="Times"/>
          <w:sz w:val="20"/>
          <w:szCs w:val="20"/>
          <w:lang w:val="es-CR" w:eastAsia="es-CR"/>
        </w:rPr>
      </w:pPr>
    </w:p>
    <w:p w14:paraId="7A0DAC44" w14:textId="6B797D92" w:rsidR="0056309D" w:rsidRDefault="0056309D" w:rsidP="0056309D">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AE6F65">
        <w:rPr>
          <w:rFonts w:ascii="Verdana" w:hAnsi="Verdana"/>
          <w:sz w:val="20"/>
          <w:szCs w:val="20"/>
        </w:rPr>
        <w:t>Es evidente, a partir de los hechos, que el Estado ha tenido conocimiento de todas las actividades referidas. También es claro que el Estado ha adoptado distintas acciones (</w:t>
      </w:r>
      <w:r w:rsidRPr="00AE6F65">
        <w:rPr>
          <w:rFonts w:ascii="Verdana" w:hAnsi="Verdana"/>
          <w:i/>
          <w:sz w:val="20"/>
          <w:szCs w:val="20"/>
        </w:rPr>
        <w:t>supra</w:t>
      </w:r>
      <w:r w:rsidRPr="00AE6F65">
        <w:rPr>
          <w:rFonts w:ascii="Verdana" w:hAnsi="Verdana"/>
          <w:sz w:val="20"/>
          <w:szCs w:val="20"/>
        </w:rPr>
        <w:t xml:space="preserve"> párr</w:t>
      </w:r>
      <w:r>
        <w:rPr>
          <w:rFonts w:ascii="Verdana" w:hAnsi="Verdana"/>
          <w:sz w:val="20"/>
          <w:szCs w:val="20"/>
        </w:rPr>
        <w:t>s</w:t>
      </w:r>
      <w:r w:rsidRPr="00AE6F65">
        <w:rPr>
          <w:rFonts w:ascii="Verdana" w:hAnsi="Verdana"/>
          <w:sz w:val="20"/>
          <w:szCs w:val="20"/>
        </w:rPr>
        <w:t xml:space="preserve">. </w:t>
      </w:r>
      <w:r>
        <w:rPr>
          <w:rFonts w:ascii="Verdana" w:hAnsi="Verdana"/>
          <w:sz w:val="20"/>
          <w:szCs w:val="20"/>
        </w:rPr>
        <w:t>267 a 269</w:t>
      </w:r>
      <w:r w:rsidRPr="00AE6F65">
        <w:rPr>
          <w:rFonts w:ascii="Verdana" w:hAnsi="Verdana"/>
          <w:sz w:val="20"/>
          <w:szCs w:val="20"/>
        </w:rPr>
        <w:t>). No obstante, las mismas no han sido efectivas para detener las actividades lesivas. Surge de los hechos que, luego de más de 28 años de iniciado el reclamo indígena respecto del territorio, continúa la presencia del ganado y alambrados. En cuanto a la tala ilegal, su carácter clandestino impide tener cer</w:t>
      </w:r>
      <w:r w:rsidRPr="005847AC">
        <w:rPr>
          <w:rFonts w:ascii="Verdana" w:hAnsi="Verdana"/>
          <w:sz w:val="20"/>
          <w:szCs w:val="20"/>
        </w:rPr>
        <w:t>t</w:t>
      </w:r>
      <w:r w:rsidRPr="00AE6F65">
        <w:rPr>
          <w:rFonts w:ascii="Verdana" w:hAnsi="Verdana"/>
          <w:sz w:val="20"/>
          <w:szCs w:val="20"/>
        </w:rPr>
        <w:t xml:space="preserve">eza de en qué medida </w:t>
      </w:r>
      <w:r>
        <w:rPr>
          <w:rFonts w:ascii="Verdana" w:hAnsi="Verdana"/>
          <w:sz w:val="20"/>
          <w:szCs w:val="20"/>
        </w:rPr>
        <w:t>é</w:t>
      </w:r>
      <w:r w:rsidRPr="00AE6F65">
        <w:rPr>
          <w:rFonts w:ascii="Verdana" w:hAnsi="Verdana"/>
          <w:sz w:val="20"/>
          <w:szCs w:val="20"/>
        </w:rPr>
        <w:t>sta sigue produciéndose. Sin embargo, el Estado no ha negado que se hayan cometido estos actos, los cuales han sido denunciados por los representantes al menos hasta</w:t>
      </w:r>
      <w:r w:rsidR="002847D0">
        <w:rPr>
          <w:rFonts w:ascii="Verdana" w:hAnsi="Verdana"/>
          <w:sz w:val="20"/>
          <w:szCs w:val="20"/>
        </w:rPr>
        <w:t xml:space="preserve"> el año</w:t>
      </w:r>
      <w:r w:rsidRPr="00AE6F65">
        <w:rPr>
          <w:rFonts w:ascii="Verdana" w:hAnsi="Verdana"/>
          <w:sz w:val="20"/>
          <w:szCs w:val="20"/>
        </w:rPr>
        <w:t xml:space="preserve"> 2017. </w:t>
      </w:r>
    </w:p>
    <w:p w14:paraId="79969AEB" w14:textId="77777777" w:rsidR="0056309D" w:rsidRPr="00AE6F65" w:rsidRDefault="0056309D" w:rsidP="0056309D">
      <w:pPr>
        <w:pStyle w:val="Prrafodelista"/>
        <w:spacing w:line="240" w:lineRule="auto"/>
        <w:rPr>
          <w:rFonts w:ascii="Verdana" w:hAnsi="Verdana"/>
          <w:sz w:val="20"/>
          <w:szCs w:val="20"/>
        </w:rPr>
      </w:pPr>
    </w:p>
    <w:p w14:paraId="21C23112" w14:textId="77777777" w:rsidR="0056309D" w:rsidRDefault="0056309D" w:rsidP="0056309D">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AE6F65">
        <w:rPr>
          <w:rFonts w:ascii="Verdana" w:hAnsi="Verdana"/>
          <w:sz w:val="20"/>
          <w:szCs w:val="20"/>
        </w:rPr>
        <w:t>En el presente caso</w:t>
      </w:r>
      <w:r>
        <w:rPr>
          <w:rFonts w:ascii="Verdana" w:hAnsi="Verdana"/>
          <w:sz w:val="20"/>
          <w:szCs w:val="20"/>
        </w:rPr>
        <w:t>,</w:t>
      </w:r>
      <w:r w:rsidRPr="00AE6F65">
        <w:rPr>
          <w:rFonts w:ascii="Verdana" w:hAnsi="Verdana"/>
          <w:sz w:val="20"/>
          <w:szCs w:val="20"/>
        </w:rPr>
        <w:t xml:space="preserve"> la falta de efectividad de las acciones estatales se enmarca, además, en una situación en la que el Estado no ha garantizado a las comunidades indígenas la posibilidad de determinar, libremente o mediante consultas adecuadas, las actividades sobre su territorio. </w:t>
      </w:r>
    </w:p>
    <w:p w14:paraId="31E13138" w14:textId="77777777" w:rsidR="0056309D" w:rsidRPr="00AE6F65" w:rsidRDefault="0056309D" w:rsidP="0056309D">
      <w:pPr>
        <w:pStyle w:val="Prrafodelista"/>
        <w:spacing w:line="240" w:lineRule="auto"/>
        <w:rPr>
          <w:rFonts w:ascii="Verdana" w:hAnsi="Verdana"/>
          <w:sz w:val="20"/>
          <w:szCs w:val="20"/>
        </w:rPr>
      </w:pPr>
    </w:p>
    <w:p w14:paraId="2729F53B" w14:textId="429F4BC7" w:rsidR="0056309D" w:rsidRDefault="0056309D" w:rsidP="0056309D">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AE6F65">
        <w:rPr>
          <w:rFonts w:ascii="Verdana" w:hAnsi="Verdana"/>
          <w:sz w:val="20"/>
          <w:szCs w:val="20"/>
        </w:rPr>
        <w:t>Por lo dicho, la Corte determina que Argentina violó, en perjuicio de las comunidades indígenas víctimas del presente caso, sus derechos, relacionados entre sí, a participar en la vi</w:t>
      </w:r>
      <w:r w:rsidR="00682C54">
        <w:rPr>
          <w:rFonts w:ascii="Verdana" w:hAnsi="Verdana"/>
          <w:sz w:val="20"/>
          <w:szCs w:val="20"/>
        </w:rPr>
        <w:t>da cultural, en lo atinente a la</w:t>
      </w:r>
      <w:r w:rsidRPr="00AE6F65">
        <w:rPr>
          <w:rFonts w:ascii="Verdana" w:hAnsi="Verdana"/>
          <w:sz w:val="20"/>
          <w:szCs w:val="20"/>
        </w:rPr>
        <w:t xml:space="preserve"> identidad cultural, a un </w:t>
      </w:r>
      <w:r w:rsidR="00FF2C70">
        <w:rPr>
          <w:rFonts w:ascii="Verdana" w:hAnsi="Verdana"/>
          <w:sz w:val="20"/>
          <w:szCs w:val="20"/>
        </w:rPr>
        <w:t xml:space="preserve">medio </w:t>
      </w:r>
      <w:r w:rsidRPr="00AE6F65">
        <w:rPr>
          <w:rFonts w:ascii="Verdana" w:hAnsi="Verdana"/>
          <w:sz w:val="20"/>
          <w:szCs w:val="20"/>
        </w:rPr>
        <w:t xml:space="preserve">ambiente sano, a la alimentación adecuada, y al agua, contenidos en el artículo 26 de la Convención Americana, en relación con la obligación de garantizar los derechos prevista en el artículo 1.1 del mismo instrumento.  </w:t>
      </w:r>
    </w:p>
    <w:p w14:paraId="0FB1A1A4" w14:textId="77777777" w:rsidR="007C7E7C" w:rsidRPr="0056309D" w:rsidRDefault="007C7E7C" w:rsidP="007C7E7C">
      <w:pPr>
        <w:pStyle w:val="Prrafodelista"/>
        <w:spacing w:after="0" w:line="240" w:lineRule="auto"/>
        <w:ind w:left="0"/>
        <w:jc w:val="both"/>
        <w:rPr>
          <w:rFonts w:ascii="Verdana" w:hAnsi="Verdana"/>
          <w:sz w:val="20"/>
          <w:szCs w:val="20"/>
          <w:lang w:val="es-CR"/>
        </w:rPr>
      </w:pPr>
    </w:p>
    <w:p w14:paraId="2C92D5D0" w14:textId="77777777" w:rsidR="0056309D" w:rsidRPr="00574E0F" w:rsidRDefault="0056309D" w:rsidP="0056309D">
      <w:pPr>
        <w:pStyle w:val="Prrafodelista"/>
        <w:autoSpaceDE w:val="0"/>
        <w:autoSpaceDN w:val="0"/>
        <w:adjustRightInd w:val="0"/>
        <w:spacing w:after="0" w:line="240" w:lineRule="auto"/>
        <w:ind w:left="0"/>
        <w:jc w:val="center"/>
        <w:outlineLvl w:val="0"/>
        <w:rPr>
          <w:rFonts w:ascii="Verdana" w:hAnsi="Verdana"/>
          <w:b/>
          <w:color w:val="000000" w:themeColor="text1"/>
          <w:sz w:val="20"/>
          <w:szCs w:val="20"/>
          <w:lang w:val="es-ES"/>
        </w:rPr>
      </w:pPr>
      <w:bookmarkStart w:id="271" w:name="_Toc32218874"/>
      <w:bookmarkStart w:id="272" w:name="_Toc32227152"/>
      <w:bookmarkStart w:id="273" w:name="_Toc34337580"/>
      <w:r w:rsidRPr="00574E0F">
        <w:rPr>
          <w:rFonts w:ascii="Verdana" w:hAnsi="Verdana"/>
          <w:b/>
          <w:color w:val="000000" w:themeColor="text1"/>
          <w:sz w:val="20"/>
          <w:szCs w:val="20"/>
          <w:lang w:val="es-ES"/>
        </w:rPr>
        <w:t>VII.</w:t>
      </w:r>
      <w:r>
        <w:rPr>
          <w:rFonts w:ascii="Verdana" w:hAnsi="Verdana"/>
          <w:b/>
          <w:color w:val="000000" w:themeColor="text1"/>
          <w:sz w:val="20"/>
          <w:szCs w:val="20"/>
          <w:lang w:val="es-ES"/>
        </w:rPr>
        <w:t>3</w:t>
      </w:r>
      <w:bookmarkEnd w:id="271"/>
      <w:bookmarkEnd w:id="272"/>
      <w:bookmarkEnd w:id="273"/>
    </w:p>
    <w:p w14:paraId="1821601C" w14:textId="77777777" w:rsidR="0056309D" w:rsidRPr="00574E0F" w:rsidRDefault="0056309D" w:rsidP="0056309D">
      <w:pPr>
        <w:pStyle w:val="Prrafodelista"/>
        <w:autoSpaceDE w:val="0"/>
        <w:autoSpaceDN w:val="0"/>
        <w:adjustRightInd w:val="0"/>
        <w:spacing w:after="0" w:line="240" w:lineRule="auto"/>
        <w:ind w:left="0"/>
        <w:jc w:val="center"/>
        <w:outlineLvl w:val="0"/>
        <w:rPr>
          <w:rFonts w:ascii="Verdana" w:hAnsi="Verdana"/>
          <w:b/>
          <w:color w:val="000000" w:themeColor="text1"/>
          <w:sz w:val="20"/>
          <w:szCs w:val="20"/>
          <w:lang w:val="es-ES"/>
        </w:rPr>
      </w:pPr>
      <w:bookmarkStart w:id="274" w:name="_Toc32218875"/>
      <w:bookmarkStart w:id="275" w:name="_Toc32227153"/>
      <w:bookmarkStart w:id="276" w:name="_Toc34337581"/>
      <w:r>
        <w:rPr>
          <w:rFonts w:ascii="Verdana" w:hAnsi="Verdana"/>
          <w:b/>
          <w:color w:val="000000" w:themeColor="text1"/>
          <w:sz w:val="20"/>
          <w:szCs w:val="20"/>
          <w:lang w:val="es-ES"/>
        </w:rPr>
        <w:t xml:space="preserve">DERECHOS A LAS </w:t>
      </w:r>
      <w:r w:rsidRPr="00574E0F">
        <w:rPr>
          <w:rFonts w:ascii="Verdana" w:hAnsi="Verdana"/>
          <w:b/>
          <w:color w:val="000000" w:themeColor="text1"/>
          <w:sz w:val="20"/>
          <w:szCs w:val="20"/>
          <w:lang w:val="es-ES"/>
        </w:rPr>
        <w:t>GARANTIAS</w:t>
      </w:r>
      <w:r>
        <w:rPr>
          <w:rFonts w:ascii="Verdana" w:hAnsi="Verdana"/>
          <w:b/>
          <w:color w:val="000000" w:themeColor="text1"/>
          <w:sz w:val="20"/>
          <w:szCs w:val="20"/>
          <w:lang w:val="es-ES"/>
        </w:rPr>
        <w:t xml:space="preserve"> </w:t>
      </w:r>
      <w:r w:rsidRPr="00574E0F">
        <w:rPr>
          <w:rFonts w:ascii="Verdana" w:hAnsi="Verdana"/>
          <w:b/>
          <w:color w:val="000000" w:themeColor="text1"/>
          <w:sz w:val="20"/>
          <w:szCs w:val="20"/>
          <w:lang w:val="es-ES"/>
        </w:rPr>
        <w:t>Y PROTECCIÓN JUDICIAL</w:t>
      </w:r>
      <w:r>
        <w:rPr>
          <w:rFonts w:ascii="Verdana" w:hAnsi="Verdana"/>
          <w:b/>
          <w:color w:val="000000" w:themeColor="text1"/>
          <w:sz w:val="20"/>
          <w:szCs w:val="20"/>
          <w:lang w:val="es-ES"/>
        </w:rPr>
        <w:t>ES</w:t>
      </w:r>
      <w:r w:rsidRPr="00574E0F">
        <w:rPr>
          <w:rFonts w:ascii="Verdana" w:hAnsi="Verdana"/>
          <w:b/>
          <w:color w:val="000000" w:themeColor="text1"/>
          <w:sz w:val="20"/>
          <w:szCs w:val="20"/>
          <w:lang w:val="es-ES"/>
        </w:rPr>
        <w:t xml:space="preserve"> EN RELACIÓN CON</w:t>
      </w:r>
      <w:r>
        <w:rPr>
          <w:rFonts w:ascii="Verdana" w:hAnsi="Verdana"/>
          <w:b/>
          <w:color w:val="000000" w:themeColor="text1"/>
          <w:sz w:val="20"/>
          <w:szCs w:val="20"/>
          <w:lang w:val="es-ES"/>
        </w:rPr>
        <w:t xml:space="preserve"> LAS OBLIGACIONES DE RESPETAR Y GARANTIZAR LOS DERECHOS RESPECTO A</w:t>
      </w:r>
      <w:r w:rsidRPr="00574E0F">
        <w:rPr>
          <w:rFonts w:ascii="Verdana" w:hAnsi="Verdana"/>
          <w:b/>
          <w:color w:val="000000" w:themeColor="text1"/>
          <w:sz w:val="20"/>
          <w:szCs w:val="20"/>
          <w:lang w:val="es-ES"/>
        </w:rPr>
        <w:t xml:space="preserve"> </w:t>
      </w:r>
      <w:r>
        <w:rPr>
          <w:rFonts w:ascii="Verdana" w:hAnsi="Verdana"/>
          <w:b/>
          <w:color w:val="000000" w:themeColor="text1"/>
          <w:sz w:val="20"/>
          <w:szCs w:val="20"/>
          <w:lang w:val="es-ES"/>
        </w:rPr>
        <w:t>ACCIONES JUDICIALES PRESENTADAS POR LHAKA HONHAT</w:t>
      </w:r>
      <w:bookmarkEnd w:id="274"/>
      <w:bookmarkEnd w:id="275"/>
      <w:r w:rsidRPr="0056309D">
        <w:rPr>
          <w:rStyle w:val="Refdenotaalpie"/>
          <w:rFonts w:ascii="Verdana" w:hAnsi="Verdana"/>
          <w:color w:val="000000" w:themeColor="text1"/>
          <w:sz w:val="20"/>
          <w:lang w:val="es-ES"/>
        </w:rPr>
        <w:footnoteReference w:id="292"/>
      </w:r>
      <w:bookmarkEnd w:id="276"/>
    </w:p>
    <w:p w14:paraId="5370D9F4" w14:textId="77777777" w:rsidR="0056309D" w:rsidRPr="00710EAE" w:rsidRDefault="0056309D" w:rsidP="0056309D">
      <w:pPr>
        <w:pStyle w:val="Prrafodelista"/>
        <w:spacing w:line="240" w:lineRule="auto"/>
        <w:rPr>
          <w:rFonts w:ascii="Verdana" w:hAnsi="Verdana"/>
          <w:sz w:val="20"/>
          <w:szCs w:val="20"/>
          <w:lang w:val="es-ES"/>
        </w:rPr>
      </w:pPr>
    </w:p>
    <w:p w14:paraId="2B663FEE" w14:textId="528A5DCA" w:rsidR="0056309D" w:rsidRPr="00710EAE"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710EAE">
        <w:rPr>
          <w:rFonts w:ascii="Verdana" w:hAnsi="Verdana"/>
          <w:sz w:val="20"/>
          <w:szCs w:val="20"/>
          <w:lang w:val="es-ES"/>
        </w:rPr>
        <w:t xml:space="preserve">En lo que sigue, la Corte analizará los alegatos de las partes sobre diversos procesos entablados respecto </w:t>
      </w:r>
      <w:r w:rsidR="00DE5A24">
        <w:rPr>
          <w:rFonts w:ascii="Verdana" w:hAnsi="Verdana"/>
          <w:sz w:val="20"/>
          <w:szCs w:val="20"/>
          <w:lang w:val="es-ES"/>
        </w:rPr>
        <w:t xml:space="preserve">a </w:t>
      </w:r>
      <w:r w:rsidRPr="00710EAE">
        <w:rPr>
          <w:rFonts w:ascii="Verdana" w:hAnsi="Verdana"/>
          <w:sz w:val="20"/>
          <w:szCs w:val="20"/>
          <w:lang w:val="es-ES"/>
        </w:rPr>
        <w:t xml:space="preserve">algunas circunstancias suscitadas en el caso. </w:t>
      </w:r>
      <w:r>
        <w:rPr>
          <w:rFonts w:ascii="Verdana" w:hAnsi="Verdana"/>
          <w:sz w:val="20"/>
          <w:szCs w:val="20"/>
          <w:lang w:val="es-ES"/>
        </w:rPr>
        <w:t xml:space="preserve">En primer </w:t>
      </w:r>
      <w:r>
        <w:rPr>
          <w:rFonts w:ascii="Verdana" w:hAnsi="Verdana"/>
          <w:sz w:val="20"/>
          <w:szCs w:val="20"/>
          <w:lang w:val="es-ES"/>
        </w:rPr>
        <w:lastRenderedPageBreak/>
        <w:t>término</w:t>
      </w:r>
      <w:r w:rsidR="002847D0">
        <w:rPr>
          <w:rFonts w:ascii="Verdana" w:hAnsi="Verdana"/>
          <w:sz w:val="20"/>
          <w:szCs w:val="20"/>
          <w:lang w:val="es-ES"/>
        </w:rPr>
        <w:t>,</w:t>
      </w:r>
      <w:r>
        <w:rPr>
          <w:rFonts w:ascii="Verdana" w:hAnsi="Verdana"/>
          <w:sz w:val="20"/>
          <w:szCs w:val="20"/>
          <w:lang w:val="es-ES"/>
        </w:rPr>
        <w:t xml:space="preserve"> r</w:t>
      </w:r>
      <w:r w:rsidRPr="00710EAE">
        <w:rPr>
          <w:rFonts w:ascii="Verdana" w:hAnsi="Verdana"/>
          <w:sz w:val="20"/>
          <w:szCs w:val="20"/>
          <w:lang w:val="es-ES"/>
        </w:rPr>
        <w:t xml:space="preserve">eseñará los argumentos de las partes y luego dará cuenta de </w:t>
      </w:r>
      <w:r>
        <w:rPr>
          <w:rFonts w:ascii="Verdana" w:hAnsi="Verdana"/>
          <w:sz w:val="20"/>
          <w:szCs w:val="20"/>
          <w:lang w:val="es-ES"/>
        </w:rPr>
        <w:t>las</w:t>
      </w:r>
      <w:r w:rsidRPr="00710EAE">
        <w:rPr>
          <w:rFonts w:ascii="Verdana" w:hAnsi="Verdana"/>
          <w:sz w:val="20"/>
          <w:szCs w:val="20"/>
          <w:lang w:val="es-ES"/>
        </w:rPr>
        <w:t xml:space="preserve"> consideraciones</w:t>
      </w:r>
      <w:r>
        <w:rPr>
          <w:rFonts w:ascii="Verdana" w:hAnsi="Verdana"/>
          <w:sz w:val="20"/>
          <w:szCs w:val="20"/>
          <w:lang w:val="es-ES"/>
        </w:rPr>
        <w:t xml:space="preserve"> de este Tribunal</w:t>
      </w:r>
      <w:r w:rsidRPr="00710EAE">
        <w:rPr>
          <w:rFonts w:ascii="Verdana" w:hAnsi="Verdana"/>
          <w:sz w:val="20"/>
          <w:szCs w:val="20"/>
          <w:lang w:val="es-ES"/>
        </w:rPr>
        <w:t>.</w:t>
      </w:r>
    </w:p>
    <w:p w14:paraId="0CAF6295" w14:textId="77777777" w:rsidR="0056309D" w:rsidRDefault="0056309D" w:rsidP="0056309D">
      <w:pPr>
        <w:pStyle w:val="Prrafodelista"/>
        <w:autoSpaceDE w:val="0"/>
        <w:autoSpaceDN w:val="0"/>
        <w:adjustRightInd w:val="0"/>
        <w:spacing w:after="0" w:line="240" w:lineRule="auto"/>
        <w:ind w:left="0"/>
        <w:jc w:val="both"/>
        <w:rPr>
          <w:rFonts w:ascii="Verdana" w:hAnsi="Verdana"/>
          <w:sz w:val="20"/>
          <w:szCs w:val="20"/>
          <w:lang w:val="es-ES"/>
        </w:rPr>
      </w:pPr>
    </w:p>
    <w:p w14:paraId="3F65AECB" w14:textId="77777777" w:rsidR="0056309D" w:rsidRPr="00574E0F" w:rsidRDefault="0056309D" w:rsidP="0056309D">
      <w:pPr>
        <w:pStyle w:val="Prrafodelista"/>
        <w:numPr>
          <w:ilvl w:val="0"/>
          <w:numId w:val="8"/>
        </w:numPr>
        <w:autoSpaceDE w:val="0"/>
        <w:autoSpaceDN w:val="0"/>
        <w:adjustRightInd w:val="0"/>
        <w:spacing w:after="0" w:line="240" w:lineRule="auto"/>
        <w:ind w:left="284" w:firstLine="0"/>
        <w:jc w:val="both"/>
        <w:outlineLvl w:val="1"/>
        <w:rPr>
          <w:rFonts w:ascii="Verdana" w:hAnsi="Verdana"/>
          <w:b/>
          <w:i/>
          <w:sz w:val="20"/>
          <w:szCs w:val="20"/>
          <w:u w:val="single"/>
          <w:lang w:val="es-ES"/>
        </w:rPr>
      </w:pPr>
      <w:bookmarkStart w:id="277" w:name="_Toc22224933"/>
      <w:bookmarkStart w:id="278" w:name="_Toc32218876"/>
      <w:bookmarkStart w:id="279" w:name="_Toc32227154"/>
      <w:bookmarkStart w:id="280" w:name="_Toc34337582"/>
      <w:r w:rsidRPr="00574E0F">
        <w:rPr>
          <w:rFonts w:ascii="Verdana" w:hAnsi="Verdana"/>
          <w:b/>
          <w:i/>
          <w:sz w:val="20"/>
          <w:szCs w:val="20"/>
          <w:u w:val="single"/>
          <w:lang w:val="es-ES"/>
        </w:rPr>
        <w:t>Argumentos de las partes</w:t>
      </w:r>
      <w:bookmarkEnd w:id="277"/>
      <w:bookmarkEnd w:id="278"/>
      <w:bookmarkEnd w:id="279"/>
      <w:bookmarkEnd w:id="280"/>
    </w:p>
    <w:p w14:paraId="3AEF7238" w14:textId="77777777" w:rsidR="0056309D" w:rsidRDefault="0056309D" w:rsidP="0056309D">
      <w:pPr>
        <w:pStyle w:val="Prrafodelista"/>
        <w:spacing w:after="0" w:line="240" w:lineRule="auto"/>
        <w:ind w:left="0" w:right="6"/>
        <w:jc w:val="both"/>
        <w:rPr>
          <w:rFonts w:ascii="Verdana" w:eastAsia="Batang" w:hAnsi="Verdana" w:cs="Times"/>
          <w:sz w:val="20"/>
          <w:szCs w:val="20"/>
          <w:lang w:val="es-CR" w:eastAsia="es-CR"/>
        </w:rPr>
      </w:pPr>
    </w:p>
    <w:p w14:paraId="0EFDAB55" w14:textId="2535FBD6" w:rsidR="0056309D" w:rsidRPr="00710EAE"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710EAE">
        <w:rPr>
          <w:rFonts w:ascii="Verdana" w:hAnsi="Verdana"/>
          <w:sz w:val="20"/>
        </w:rPr>
        <w:t xml:space="preserve">Los </w:t>
      </w:r>
      <w:r w:rsidRPr="00710EAE">
        <w:rPr>
          <w:rFonts w:ascii="Verdana" w:hAnsi="Verdana"/>
          <w:b/>
          <w:i/>
          <w:sz w:val="20"/>
        </w:rPr>
        <w:t>representantes</w:t>
      </w:r>
      <w:r w:rsidRPr="00710EAE">
        <w:rPr>
          <w:rFonts w:ascii="Verdana" w:hAnsi="Verdana"/>
          <w:sz w:val="20"/>
        </w:rPr>
        <w:t xml:space="preserve"> alegaron la violación a las garantías judiciales y </w:t>
      </w:r>
      <w:r>
        <w:rPr>
          <w:rFonts w:ascii="Verdana" w:hAnsi="Verdana"/>
          <w:sz w:val="20"/>
        </w:rPr>
        <w:t>a</w:t>
      </w:r>
      <w:r w:rsidRPr="00710EAE">
        <w:rPr>
          <w:rFonts w:ascii="Verdana" w:hAnsi="Verdana"/>
          <w:sz w:val="20"/>
        </w:rPr>
        <w:t xml:space="preserve">l derecho a la protección judicial, </w:t>
      </w:r>
      <w:r>
        <w:rPr>
          <w:rFonts w:ascii="Verdana" w:hAnsi="Verdana"/>
          <w:sz w:val="20"/>
        </w:rPr>
        <w:t>establecidos</w:t>
      </w:r>
      <w:r w:rsidRPr="00710EAE">
        <w:rPr>
          <w:rFonts w:ascii="Verdana" w:hAnsi="Verdana"/>
          <w:sz w:val="20"/>
        </w:rPr>
        <w:t xml:space="preserve"> en los artículos 8 y 25 de la Convención, dada la falta de idoneidad y efectividad de los recursos disponibles para la salvaguarda de los derechos de las comunidades </w:t>
      </w:r>
      <w:r>
        <w:rPr>
          <w:rFonts w:ascii="Verdana" w:hAnsi="Verdana"/>
          <w:sz w:val="20"/>
        </w:rPr>
        <w:t>indígenas cuando é</w:t>
      </w:r>
      <w:r w:rsidRPr="00710EAE">
        <w:rPr>
          <w:rFonts w:ascii="Verdana" w:hAnsi="Verdana"/>
          <w:sz w:val="20"/>
        </w:rPr>
        <w:t xml:space="preserve">stos se encontraban amenazados o habían sido violados. Adujeron distintas situaciones en </w:t>
      </w:r>
      <w:r>
        <w:rPr>
          <w:rFonts w:ascii="Verdana" w:hAnsi="Verdana"/>
          <w:sz w:val="20"/>
        </w:rPr>
        <w:t xml:space="preserve">las </w:t>
      </w:r>
      <w:r w:rsidRPr="00710EAE">
        <w:rPr>
          <w:rFonts w:ascii="Verdana" w:hAnsi="Verdana"/>
          <w:sz w:val="20"/>
        </w:rPr>
        <w:t>que, según sostuvieron, hubo “completa […] inefectiv[idad]”, en alusión al “devenir judicial” relacionado con: a) la construcción por la Provincia de Salta del puente internacional en 1995</w:t>
      </w:r>
      <w:r>
        <w:rPr>
          <w:rStyle w:val="Refdenotaalpie"/>
          <w:rFonts w:ascii="Verdana" w:hAnsi="Verdana"/>
        </w:rPr>
        <w:footnoteReference w:id="293"/>
      </w:r>
      <w:r w:rsidRPr="00710EAE">
        <w:rPr>
          <w:rFonts w:ascii="Verdana" w:hAnsi="Verdana"/>
          <w:sz w:val="20"/>
        </w:rPr>
        <w:t>; b) la realización de adjudicaciones parciales de terrenos en diciembre de 1999</w:t>
      </w:r>
      <w:r>
        <w:rPr>
          <w:rStyle w:val="Refdenotaalpie"/>
          <w:rFonts w:ascii="Verdana" w:hAnsi="Verdana"/>
        </w:rPr>
        <w:footnoteReference w:id="294"/>
      </w:r>
      <w:r w:rsidRPr="00710EAE">
        <w:rPr>
          <w:rFonts w:ascii="Verdana" w:hAnsi="Verdana"/>
          <w:sz w:val="20"/>
        </w:rPr>
        <w:t xml:space="preserve"> y c) los intentos de detener la realización del referéndum en el 2005</w:t>
      </w:r>
      <w:r>
        <w:rPr>
          <w:rStyle w:val="Refdenotaalpie"/>
          <w:rFonts w:ascii="Verdana" w:hAnsi="Verdana"/>
        </w:rPr>
        <w:footnoteReference w:id="295"/>
      </w:r>
      <w:r w:rsidRPr="00710EAE">
        <w:rPr>
          <w:rFonts w:ascii="Verdana" w:hAnsi="Verdana"/>
          <w:sz w:val="20"/>
        </w:rPr>
        <w:t>.</w:t>
      </w:r>
      <w:r w:rsidRPr="00710EAE">
        <w:rPr>
          <w:rFonts w:ascii="Verdana" w:hAnsi="Verdana"/>
          <w:b/>
          <w:bCs/>
          <w:sz w:val="20"/>
        </w:rPr>
        <w:t xml:space="preserve"> </w:t>
      </w:r>
      <w:r w:rsidRPr="00710EAE">
        <w:rPr>
          <w:rFonts w:ascii="Verdana" w:hAnsi="Verdana"/>
          <w:sz w:val="20"/>
        </w:rPr>
        <w:t>Sostuvieron que “[e]n un momento de extrema vulnerabilidad, los tribunales de justicia se convirtieron en artífices de la transgresión de derechos, y profundizaron aquella vulnerabilidad”.</w:t>
      </w:r>
    </w:p>
    <w:p w14:paraId="34A29F51" w14:textId="77777777" w:rsidR="0056309D" w:rsidRDefault="0056309D" w:rsidP="0056309D">
      <w:pPr>
        <w:pStyle w:val="Prrafodelista"/>
        <w:spacing w:after="0" w:line="240" w:lineRule="auto"/>
        <w:ind w:left="0" w:right="6"/>
        <w:jc w:val="both"/>
        <w:rPr>
          <w:rFonts w:ascii="Verdana" w:eastAsia="Batang" w:hAnsi="Verdana" w:cs="Times"/>
          <w:sz w:val="20"/>
          <w:szCs w:val="20"/>
          <w:lang w:val="es-CR" w:eastAsia="es-CR"/>
        </w:rPr>
      </w:pPr>
    </w:p>
    <w:p w14:paraId="5DC6AC2F" w14:textId="77777777" w:rsidR="0056309D"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710EAE">
        <w:rPr>
          <w:rFonts w:ascii="Verdana" w:hAnsi="Verdana"/>
          <w:sz w:val="20"/>
        </w:rPr>
        <w:t xml:space="preserve">El </w:t>
      </w:r>
      <w:r w:rsidRPr="00710EAE">
        <w:rPr>
          <w:rFonts w:ascii="Verdana" w:hAnsi="Verdana"/>
          <w:b/>
          <w:bCs/>
          <w:i/>
          <w:iCs/>
          <w:sz w:val="20"/>
        </w:rPr>
        <w:t xml:space="preserve">Estado </w:t>
      </w:r>
      <w:r w:rsidRPr="00710EAE">
        <w:rPr>
          <w:rFonts w:ascii="Verdana" w:hAnsi="Verdana"/>
          <w:sz w:val="20"/>
        </w:rPr>
        <w:t xml:space="preserve">adujo que conforme </w:t>
      </w:r>
      <w:r>
        <w:rPr>
          <w:rFonts w:ascii="Verdana" w:hAnsi="Verdana"/>
          <w:sz w:val="20"/>
        </w:rPr>
        <w:t xml:space="preserve">a </w:t>
      </w:r>
      <w:r w:rsidRPr="00710EAE">
        <w:rPr>
          <w:rFonts w:ascii="Verdana" w:hAnsi="Verdana"/>
          <w:sz w:val="20"/>
        </w:rPr>
        <w:t xml:space="preserve">lo </w:t>
      </w:r>
      <w:r>
        <w:rPr>
          <w:rFonts w:ascii="Verdana" w:hAnsi="Verdana"/>
          <w:sz w:val="20"/>
        </w:rPr>
        <w:t xml:space="preserve">que </w:t>
      </w:r>
      <w:r w:rsidRPr="00710EAE">
        <w:rPr>
          <w:rFonts w:ascii="Verdana" w:hAnsi="Verdana"/>
          <w:sz w:val="20"/>
        </w:rPr>
        <w:t xml:space="preserve">reconocieron los propios </w:t>
      </w:r>
      <w:r>
        <w:rPr>
          <w:rFonts w:ascii="Verdana" w:hAnsi="Verdana"/>
          <w:sz w:val="20"/>
        </w:rPr>
        <w:t>“</w:t>
      </w:r>
      <w:r w:rsidRPr="00710EAE">
        <w:rPr>
          <w:rFonts w:ascii="Verdana" w:hAnsi="Verdana"/>
          <w:sz w:val="20"/>
        </w:rPr>
        <w:t>peticionarios</w:t>
      </w:r>
      <w:r>
        <w:rPr>
          <w:rFonts w:ascii="Verdana" w:hAnsi="Verdana"/>
          <w:sz w:val="20"/>
        </w:rPr>
        <w:t>”, é</w:t>
      </w:r>
      <w:r w:rsidRPr="00710EAE">
        <w:rPr>
          <w:rFonts w:ascii="Verdana" w:hAnsi="Verdana"/>
          <w:sz w:val="20"/>
        </w:rPr>
        <w:t>stos tuvieron acceso a los remedios judiciales legalmente previstos, obteniendo en un caso una sentencia favorable a su pretensión. Expresó que el referéndum no ha producido efecto alguno. En concordancia con esto, indicó que no se puede invocar violación a los artículos citados</w:t>
      </w:r>
      <w:r>
        <w:rPr>
          <w:rFonts w:ascii="Verdana" w:hAnsi="Verdana"/>
          <w:sz w:val="20"/>
        </w:rPr>
        <w:t>,</w:t>
      </w:r>
      <w:r w:rsidRPr="00710EAE">
        <w:rPr>
          <w:rFonts w:ascii="Verdana" w:hAnsi="Verdana"/>
          <w:sz w:val="20"/>
        </w:rPr>
        <w:t xml:space="preserve"> ya que a lo largo de estos años las comunidades indígenas han tenido la posibilidad de recurrir a la justicia provincial, nacional e internacional. </w:t>
      </w:r>
    </w:p>
    <w:p w14:paraId="29C86509" w14:textId="77777777" w:rsidR="0056309D" w:rsidRDefault="0056309D" w:rsidP="0056309D">
      <w:pPr>
        <w:pStyle w:val="Prrafodelista"/>
        <w:spacing w:line="240" w:lineRule="auto"/>
        <w:rPr>
          <w:rFonts w:ascii="Verdana" w:eastAsia="Times New Roman" w:hAnsi="Verdana" w:cs="Times New Roman"/>
          <w:strike/>
          <w:sz w:val="20"/>
          <w:szCs w:val="24"/>
        </w:rPr>
      </w:pPr>
    </w:p>
    <w:p w14:paraId="07D8DB92" w14:textId="77777777" w:rsidR="0056309D" w:rsidRDefault="0056309D" w:rsidP="0056309D">
      <w:pPr>
        <w:pStyle w:val="Prrafodelista"/>
        <w:numPr>
          <w:ilvl w:val="0"/>
          <w:numId w:val="8"/>
        </w:numPr>
        <w:spacing w:after="160" w:line="240" w:lineRule="auto"/>
        <w:outlineLvl w:val="1"/>
        <w:rPr>
          <w:rFonts w:ascii="Verdana" w:eastAsia="Times New Roman" w:hAnsi="Verdana" w:cs="Times New Roman"/>
          <w:b/>
          <w:i/>
          <w:sz w:val="20"/>
          <w:szCs w:val="24"/>
          <w:u w:val="single"/>
        </w:rPr>
      </w:pPr>
      <w:bookmarkStart w:id="281" w:name="_Toc22224934"/>
      <w:bookmarkStart w:id="282" w:name="_Toc32218877"/>
      <w:bookmarkStart w:id="283" w:name="_Toc32227155"/>
      <w:bookmarkStart w:id="284" w:name="_Toc34337583"/>
      <w:r w:rsidRPr="00574E0F">
        <w:rPr>
          <w:rFonts w:ascii="Verdana" w:eastAsia="Times New Roman" w:hAnsi="Verdana" w:cs="Times New Roman"/>
          <w:b/>
          <w:i/>
          <w:sz w:val="20"/>
          <w:szCs w:val="24"/>
          <w:u w:val="single"/>
        </w:rPr>
        <w:lastRenderedPageBreak/>
        <w:t>Consideraciones de la Corte</w:t>
      </w:r>
      <w:bookmarkEnd w:id="281"/>
      <w:bookmarkEnd w:id="282"/>
      <w:bookmarkEnd w:id="283"/>
      <w:bookmarkEnd w:id="284"/>
    </w:p>
    <w:p w14:paraId="256C2697" w14:textId="77777777" w:rsidR="0056309D" w:rsidRPr="00710EAE" w:rsidRDefault="0056309D" w:rsidP="0056309D">
      <w:pPr>
        <w:pStyle w:val="Prrafodelista"/>
        <w:spacing w:line="240" w:lineRule="auto"/>
        <w:rPr>
          <w:rFonts w:ascii="Verdana" w:eastAsia="Times New Roman" w:hAnsi="Verdana" w:cs="Times New Roman"/>
          <w:sz w:val="20"/>
          <w:szCs w:val="24"/>
        </w:rPr>
      </w:pPr>
    </w:p>
    <w:p w14:paraId="41112B53" w14:textId="77777777" w:rsidR="0056309D" w:rsidRPr="00710EAE"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710EAE">
        <w:rPr>
          <w:rFonts w:ascii="Verdana" w:eastAsia="Times New Roman" w:hAnsi="Verdana" w:cs="Times New Roman"/>
          <w:sz w:val="20"/>
          <w:szCs w:val="24"/>
        </w:rPr>
        <w:t xml:space="preserve">En primer término, la Corte realizará consideraciones generales respecto de los artículos 8.1 y 25.1 de la Convención y seguidamente examinará el caso concreto. Luego expondrá su conclusión. </w:t>
      </w:r>
    </w:p>
    <w:p w14:paraId="5229E797" w14:textId="77777777" w:rsidR="009A7476" w:rsidRDefault="009A7476" w:rsidP="0056309D">
      <w:pPr>
        <w:pStyle w:val="Prrafodelista"/>
        <w:spacing w:after="0" w:line="240" w:lineRule="auto"/>
        <w:ind w:left="0" w:right="6"/>
        <w:jc w:val="both"/>
        <w:rPr>
          <w:rFonts w:ascii="Verdana" w:eastAsia="Times New Roman" w:hAnsi="Verdana" w:cs="Times New Roman"/>
          <w:sz w:val="20"/>
          <w:szCs w:val="24"/>
        </w:rPr>
      </w:pPr>
    </w:p>
    <w:p w14:paraId="675B4384" w14:textId="77777777" w:rsidR="00433F72" w:rsidRDefault="00433F72" w:rsidP="0056309D">
      <w:pPr>
        <w:pStyle w:val="Prrafodelista"/>
        <w:spacing w:after="0" w:line="240" w:lineRule="auto"/>
        <w:ind w:left="0" w:right="6"/>
        <w:jc w:val="both"/>
        <w:rPr>
          <w:rFonts w:ascii="Verdana" w:eastAsia="Times New Roman" w:hAnsi="Verdana" w:cs="Times New Roman"/>
          <w:sz w:val="20"/>
          <w:szCs w:val="24"/>
        </w:rPr>
      </w:pPr>
    </w:p>
    <w:p w14:paraId="2CA67D60" w14:textId="77777777" w:rsidR="0056309D" w:rsidRPr="00637AF2" w:rsidRDefault="0056309D" w:rsidP="0056309D">
      <w:pPr>
        <w:pStyle w:val="Prrafodelista"/>
        <w:autoSpaceDE w:val="0"/>
        <w:autoSpaceDN w:val="0"/>
        <w:adjustRightInd w:val="0"/>
        <w:spacing w:after="0" w:line="240" w:lineRule="auto"/>
        <w:ind w:left="567"/>
        <w:jc w:val="both"/>
        <w:outlineLvl w:val="2"/>
        <w:rPr>
          <w:rFonts w:ascii="Verdana" w:hAnsi="Verdana"/>
          <w:b/>
          <w:i/>
          <w:sz w:val="20"/>
          <w:szCs w:val="20"/>
          <w:lang w:val="es-ES"/>
        </w:rPr>
      </w:pPr>
      <w:bookmarkStart w:id="285" w:name="_Toc22224935"/>
      <w:bookmarkStart w:id="286" w:name="_Toc32218878"/>
      <w:bookmarkStart w:id="287" w:name="_Toc32227156"/>
      <w:bookmarkStart w:id="288" w:name="_Toc34337584"/>
      <w:r w:rsidRPr="00637AF2">
        <w:rPr>
          <w:rFonts w:ascii="Verdana" w:hAnsi="Verdana"/>
          <w:b/>
          <w:i/>
          <w:sz w:val="20"/>
          <w:szCs w:val="20"/>
          <w:lang w:val="es-ES"/>
        </w:rPr>
        <w:t>B.1. Consideraciones generales</w:t>
      </w:r>
      <w:bookmarkEnd w:id="285"/>
      <w:bookmarkEnd w:id="286"/>
      <w:bookmarkEnd w:id="287"/>
      <w:bookmarkEnd w:id="288"/>
    </w:p>
    <w:p w14:paraId="0A248679" w14:textId="77777777" w:rsidR="0056309D" w:rsidRDefault="0056309D" w:rsidP="0056309D">
      <w:pPr>
        <w:pStyle w:val="Prrafodelista"/>
        <w:spacing w:after="0" w:line="240" w:lineRule="auto"/>
        <w:ind w:left="0" w:right="6"/>
        <w:jc w:val="both"/>
        <w:rPr>
          <w:rFonts w:ascii="Verdana" w:eastAsia="Batang" w:hAnsi="Verdana" w:cs="Times"/>
          <w:sz w:val="20"/>
          <w:szCs w:val="20"/>
          <w:lang w:val="es-CR" w:eastAsia="es-CR"/>
        </w:rPr>
      </w:pPr>
    </w:p>
    <w:p w14:paraId="36478515" w14:textId="1665A263" w:rsidR="0056309D" w:rsidRPr="00710EAE"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710EAE">
        <w:rPr>
          <w:rFonts w:ascii="Verdana" w:eastAsia="Times New Roman" w:hAnsi="Verdana" w:cs="Times New Roman"/>
          <w:sz w:val="20"/>
          <w:szCs w:val="24"/>
        </w:rPr>
        <w:t>Respecto de las garantías judiciales comprendidas en el artículo 8.1 de la Convención, esta Corte ha entendido que el debido proceso legal “abarca las condiciones que deben cumplirse para asegurar la adecuada defensa de aquéllos cuyos derechos u obligaciones que están bajo consideración judicial”</w:t>
      </w:r>
      <w:r>
        <w:rPr>
          <w:rStyle w:val="Refdenotaalpie"/>
          <w:rFonts w:eastAsia="Times New Roman"/>
          <w:szCs w:val="24"/>
        </w:rPr>
        <w:footnoteReference w:id="296"/>
      </w:r>
      <w:r w:rsidRPr="00710EAE">
        <w:rPr>
          <w:rFonts w:ascii="Verdana" w:eastAsia="Times New Roman" w:hAnsi="Verdana" w:cs="Times New Roman"/>
          <w:sz w:val="20"/>
          <w:szCs w:val="24"/>
        </w:rPr>
        <w:t>. Por otro lado, el artículo 25 de la Convención contempla “la obligación de los Estados Partes de garantizar, a todas las personas bajo su jurisdicción, un recurso judicial sencillo, rápido y efectivo ante juez o tribunal competente"</w:t>
      </w:r>
      <w:r>
        <w:rPr>
          <w:rStyle w:val="Refdenotaalpie"/>
          <w:rFonts w:eastAsia="Times New Roman"/>
          <w:szCs w:val="24"/>
        </w:rPr>
        <w:footnoteReference w:id="297"/>
      </w:r>
      <w:r>
        <w:rPr>
          <w:rFonts w:ascii="Verdana" w:eastAsia="Times New Roman" w:hAnsi="Verdana" w:cs="Times New Roman"/>
          <w:sz w:val="20"/>
          <w:szCs w:val="24"/>
        </w:rPr>
        <w:t>.</w:t>
      </w:r>
      <w:r w:rsidRPr="00710EAE">
        <w:rPr>
          <w:rFonts w:ascii="Verdana" w:eastAsia="Times New Roman" w:hAnsi="Verdana" w:cs="Times New Roman"/>
          <w:sz w:val="20"/>
          <w:szCs w:val="24"/>
        </w:rPr>
        <w:t xml:space="preserve"> Los artículos 8, 25 y 1 se encuentran inte</w:t>
      </w:r>
      <w:r w:rsidR="002847D0">
        <w:rPr>
          <w:rFonts w:ascii="Verdana" w:eastAsia="Times New Roman" w:hAnsi="Verdana" w:cs="Times New Roman"/>
          <w:sz w:val="20"/>
          <w:szCs w:val="24"/>
        </w:rPr>
        <w:t>rrelacionados en la medida que “</w:t>
      </w:r>
      <w:r w:rsidRPr="00710EAE">
        <w:rPr>
          <w:rFonts w:ascii="Verdana" w:eastAsia="Times New Roman" w:hAnsi="Verdana" w:cs="Times New Roman"/>
          <w:sz w:val="20"/>
          <w:szCs w:val="24"/>
        </w:rPr>
        <w:t>[l]os […] recursos judiciales efectivos […] deben ser sustanciados de conformidad con las reglas del debido proceso legal, […] dentro de la obligación general a cargo de los […] Estados, de garantizar el libre y pleno ejercicio de los derechos reconocidos por la Convención a toda persona que se encuentre bajo su jurisdicción (art. 1)</w:t>
      </w:r>
      <w:r w:rsidR="002847D0">
        <w:rPr>
          <w:rFonts w:ascii="Verdana" w:eastAsia="Times New Roman" w:hAnsi="Verdana" w:cs="Times New Roman"/>
          <w:sz w:val="20"/>
          <w:szCs w:val="24"/>
        </w:rPr>
        <w:t>”</w:t>
      </w:r>
      <w:r>
        <w:rPr>
          <w:rStyle w:val="Refdenotaalpie"/>
          <w:rFonts w:eastAsia="Times New Roman"/>
          <w:szCs w:val="24"/>
        </w:rPr>
        <w:footnoteReference w:id="298"/>
      </w:r>
      <w:r w:rsidRPr="00710EAE">
        <w:rPr>
          <w:rFonts w:ascii="Verdana" w:eastAsia="Times New Roman" w:hAnsi="Verdana" w:cs="Times New Roman"/>
          <w:sz w:val="20"/>
          <w:szCs w:val="24"/>
        </w:rPr>
        <w:t xml:space="preserve">. </w:t>
      </w:r>
      <w:r>
        <w:rPr>
          <w:rFonts w:ascii="Verdana" w:eastAsia="Times New Roman" w:hAnsi="Verdana" w:cs="Times New Roman"/>
          <w:sz w:val="20"/>
          <w:szCs w:val="24"/>
        </w:rPr>
        <w:t>L</w:t>
      </w:r>
      <w:r w:rsidRPr="00710EAE">
        <w:rPr>
          <w:rFonts w:ascii="Verdana" w:eastAsia="Times New Roman" w:hAnsi="Verdana" w:cs="Times New Roman"/>
          <w:sz w:val="20"/>
          <w:szCs w:val="24"/>
        </w:rPr>
        <w:t>a efectividad de los recursos debe evaluarse en el caso particular teniendo en cuenta si “existieron vías internas que garantizaran un verdadero acceso a la justicia para reclamar la reparación de la violación”</w:t>
      </w:r>
      <w:r>
        <w:rPr>
          <w:rStyle w:val="Refdenotaalpie"/>
        </w:rPr>
        <w:footnoteReference w:id="299"/>
      </w:r>
      <w:r>
        <w:rPr>
          <w:rFonts w:ascii="Verdana" w:eastAsia="Times New Roman" w:hAnsi="Verdana" w:cs="Times New Roman"/>
          <w:sz w:val="20"/>
          <w:szCs w:val="24"/>
        </w:rPr>
        <w:t>.</w:t>
      </w:r>
    </w:p>
    <w:p w14:paraId="70C94826" w14:textId="77777777" w:rsidR="0056309D" w:rsidRDefault="0056309D" w:rsidP="0056309D">
      <w:pPr>
        <w:pStyle w:val="Prrafodelista"/>
        <w:spacing w:after="0" w:line="240" w:lineRule="auto"/>
        <w:ind w:left="0" w:right="6"/>
        <w:jc w:val="both"/>
        <w:rPr>
          <w:rFonts w:ascii="Verdana" w:eastAsia="Batang" w:hAnsi="Verdana" w:cs="Times"/>
          <w:sz w:val="20"/>
          <w:szCs w:val="20"/>
          <w:lang w:val="es-CR" w:eastAsia="es-CR"/>
        </w:rPr>
      </w:pPr>
    </w:p>
    <w:p w14:paraId="74E1CB9E" w14:textId="77777777" w:rsidR="0056309D"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Pr>
          <w:rFonts w:ascii="Verdana" w:eastAsia="Times New Roman" w:hAnsi="Verdana" w:cs="Times New Roman"/>
          <w:sz w:val="20"/>
          <w:szCs w:val="24"/>
        </w:rPr>
        <w:t>L</w:t>
      </w:r>
      <w:r w:rsidRPr="00710EAE">
        <w:rPr>
          <w:rFonts w:ascii="Verdana" w:eastAsia="Times New Roman" w:hAnsi="Verdana" w:cs="Times New Roman"/>
          <w:sz w:val="20"/>
          <w:szCs w:val="24"/>
        </w:rPr>
        <w:t>a Corte ha precisado que el Estado está obligado a proveer recursos efectivos que permitan a las personas impugnar aquellos actos de autoridades que consideren violatorios de sus derechos “independientemente de si la autoridad judicial declarare infundado el reclamo de la persona que interpone el recurso por no estar cubierto por la norma que invoca o no encontrare una violación del derecho que se alega vulnerado”</w:t>
      </w:r>
      <w:r>
        <w:rPr>
          <w:rStyle w:val="Refdenotaalpie"/>
          <w:rFonts w:eastAsia="Times New Roman"/>
          <w:szCs w:val="24"/>
        </w:rPr>
        <w:footnoteReference w:id="300"/>
      </w:r>
      <w:r>
        <w:rPr>
          <w:rFonts w:ascii="Verdana" w:eastAsia="Times New Roman" w:hAnsi="Verdana" w:cs="Times New Roman"/>
          <w:sz w:val="20"/>
          <w:szCs w:val="24"/>
        </w:rPr>
        <w:t>.</w:t>
      </w:r>
      <w:r w:rsidRPr="00710EAE">
        <w:rPr>
          <w:rFonts w:ascii="Verdana" w:eastAsia="Times New Roman" w:hAnsi="Verdana" w:cs="Times New Roman"/>
          <w:sz w:val="20"/>
          <w:szCs w:val="24"/>
        </w:rPr>
        <w:t xml:space="preserve"> En esta línea, el Tribunal advierte que los artículos 8</w:t>
      </w:r>
      <w:r>
        <w:rPr>
          <w:rFonts w:ascii="Verdana" w:eastAsia="Times New Roman" w:hAnsi="Verdana" w:cs="Times New Roman"/>
          <w:sz w:val="20"/>
          <w:szCs w:val="24"/>
        </w:rPr>
        <w:t xml:space="preserve"> y 25 de la Convención también </w:t>
      </w:r>
      <w:r w:rsidRPr="00710EAE">
        <w:rPr>
          <w:rFonts w:ascii="Verdana" w:eastAsia="Times New Roman" w:hAnsi="Verdana" w:cs="Times New Roman"/>
          <w:sz w:val="20"/>
          <w:szCs w:val="24"/>
        </w:rPr>
        <w:t>consagran</w:t>
      </w:r>
      <w:r>
        <w:rPr>
          <w:rFonts w:ascii="Verdana" w:eastAsia="Times New Roman" w:hAnsi="Verdana" w:cs="Times New Roman"/>
          <w:sz w:val="20"/>
          <w:szCs w:val="24"/>
        </w:rPr>
        <w:t xml:space="preserve"> </w:t>
      </w:r>
      <w:r w:rsidRPr="00710EAE">
        <w:rPr>
          <w:rFonts w:ascii="Verdana" w:eastAsia="Times New Roman" w:hAnsi="Verdana" w:cs="Times New Roman"/>
          <w:sz w:val="20"/>
          <w:szCs w:val="24"/>
        </w:rPr>
        <w:t>el derecho de obtener respuesta a las demandas y solicitudes planteadas a las autoridades judiciales</w:t>
      </w:r>
      <w:r>
        <w:rPr>
          <w:rFonts w:ascii="Verdana" w:eastAsia="Times New Roman" w:hAnsi="Verdana" w:cs="Times New Roman"/>
          <w:sz w:val="20"/>
          <w:szCs w:val="24"/>
        </w:rPr>
        <w:t>,</w:t>
      </w:r>
      <w:r w:rsidRPr="00710EAE">
        <w:rPr>
          <w:rFonts w:ascii="Verdana" w:eastAsia="Times New Roman" w:hAnsi="Verdana" w:cs="Times New Roman"/>
          <w:sz w:val="20"/>
          <w:szCs w:val="24"/>
        </w:rPr>
        <w:t xml:space="preserve"> ya que la eficacia del recurso implica una obligación positiva de proporcionar una respuesta en un plazo razonable</w:t>
      </w:r>
      <w:r>
        <w:rPr>
          <w:rStyle w:val="Refdenotaalpie"/>
          <w:rFonts w:eastAsia="Times New Roman"/>
          <w:szCs w:val="24"/>
        </w:rPr>
        <w:footnoteReference w:id="301"/>
      </w:r>
      <w:r w:rsidRPr="00710EAE">
        <w:rPr>
          <w:rFonts w:ascii="Verdana" w:eastAsia="Times New Roman" w:hAnsi="Verdana" w:cs="Times New Roman"/>
          <w:sz w:val="20"/>
          <w:szCs w:val="24"/>
        </w:rPr>
        <w:t>.</w:t>
      </w:r>
    </w:p>
    <w:p w14:paraId="154D694F" w14:textId="77777777" w:rsidR="0056309D" w:rsidRPr="00710EAE" w:rsidRDefault="0056309D" w:rsidP="0056309D">
      <w:pPr>
        <w:pStyle w:val="Prrafodelista"/>
        <w:spacing w:line="240" w:lineRule="auto"/>
        <w:rPr>
          <w:rFonts w:ascii="Verdana" w:hAnsi="Verdana"/>
          <w:sz w:val="20"/>
          <w:szCs w:val="20"/>
          <w:lang w:val="es-ES"/>
        </w:rPr>
      </w:pPr>
    </w:p>
    <w:p w14:paraId="55CDA762" w14:textId="77777777" w:rsidR="0056309D"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710EAE">
        <w:rPr>
          <w:rFonts w:ascii="Verdana" w:hAnsi="Verdana"/>
          <w:sz w:val="20"/>
          <w:szCs w:val="20"/>
          <w:lang w:val="es-ES"/>
        </w:rPr>
        <w:t xml:space="preserve">Con base en lo dicho, este Tribunal analizará los distintos recursos judiciales indicados por los representantes. </w:t>
      </w:r>
    </w:p>
    <w:p w14:paraId="032E221D" w14:textId="77777777" w:rsidR="00433F72" w:rsidRPr="00197653" w:rsidRDefault="00433F72" w:rsidP="00197653">
      <w:pPr>
        <w:spacing w:after="0" w:line="240" w:lineRule="auto"/>
        <w:rPr>
          <w:rFonts w:ascii="Verdana" w:hAnsi="Verdana"/>
          <w:i/>
          <w:sz w:val="20"/>
          <w:szCs w:val="20"/>
          <w:lang w:val="es-ES"/>
        </w:rPr>
      </w:pPr>
    </w:p>
    <w:p w14:paraId="5B233A64" w14:textId="77777777" w:rsidR="0056309D" w:rsidRPr="00637AF2" w:rsidRDefault="0056309D" w:rsidP="0056309D">
      <w:pPr>
        <w:pStyle w:val="Prrafodelista"/>
        <w:autoSpaceDE w:val="0"/>
        <w:autoSpaceDN w:val="0"/>
        <w:adjustRightInd w:val="0"/>
        <w:spacing w:after="0" w:line="240" w:lineRule="auto"/>
        <w:ind w:left="567"/>
        <w:jc w:val="both"/>
        <w:outlineLvl w:val="2"/>
        <w:rPr>
          <w:rFonts w:ascii="Verdana" w:hAnsi="Verdana"/>
          <w:b/>
          <w:i/>
          <w:sz w:val="20"/>
          <w:szCs w:val="20"/>
          <w:lang w:val="es-ES"/>
        </w:rPr>
      </w:pPr>
      <w:bookmarkStart w:id="289" w:name="_Toc32218879"/>
      <w:bookmarkStart w:id="290" w:name="_Toc32227157"/>
      <w:bookmarkStart w:id="291" w:name="_Toc34337585"/>
      <w:bookmarkStart w:id="292" w:name="_Toc22224936"/>
      <w:r w:rsidRPr="00637AF2">
        <w:rPr>
          <w:rFonts w:ascii="Verdana" w:hAnsi="Verdana"/>
          <w:b/>
          <w:i/>
          <w:sz w:val="20"/>
          <w:szCs w:val="20"/>
          <w:lang w:val="es-ES"/>
        </w:rPr>
        <w:t>B.2 Examen de las circunstancias del caso</w:t>
      </w:r>
      <w:bookmarkEnd w:id="289"/>
      <w:bookmarkEnd w:id="290"/>
      <w:bookmarkEnd w:id="291"/>
    </w:p>
    <w:p w14:paraId="7183EF0F" w14:textId="77777777" w:rsidR="0056309D" w:rsidRDefault="0056309D" w:rsidP="0056309D">
      <w:pPr>
        <w:pStyle w:val="Prrafodelista"/>
        <w:autoSpaceDE w:val="0"/>
        <w:autoSpaceDN w:val="0"/>
        <w:adjustRightInd w:val="0"/>
        <w:spacing w:after="0" w:line="240" w:lineRule="auto"/>
        <w:ind w:left="851"/>
        <w:jc w:val="both"/>
        <w:outlineLvl w:val="3"/>
        <w:rPr>
          <w:rFonts w:ascii="Verdana" w:hAnsi="Verdana"/>
          <w:i/>
          <w:sz w:val="20"/>
          <w:szCs w:val="20"/>
          <w:lang w:val="es-ES"/>
        </w:rPr>
      </w:pPr>
    </w:p>
    <w:p w14:paraId="6D76FF64" w14:textId="77777777" w:rsidR="0056309D" w:rsidRPr="00152231" w:rsidRDefault="0056309D" w:rsidP="0056309D">
      <w:pPr>
        <w:pStyle w:val="Prrafodelista"/>
        <w:autoSpaceDE w:val="0"/>
        <w:autoSpaceDN w:val="0"/>
        <w:adjustRightInd w:val="0"/>
        <w:spacing w:after="0" w:line="240" w:lineRule="auto"/>
        <w:ind w:left="851"/>
        <w:jc w:val="both"/>
        <w:outlineLvl w:val="3"/>
        <w:rPr>
          <w:rFonts w:ascii="Verdana" w:hAnsi="Verdana"/>
          <w:i/>
          <w:sz w:val="20"/>
          <w:szCs w:val="20"/>
          <w:lang w:val="es-ES"/>
        </w:rPr>
      </w:pPr>
      <w:bookmarkStart w:id="293" w:name="_Toc32218880"/>
      <w:bookmarkStart w:id="294" w:name="_Toc32227158"/>
      <w:bookmarkStart w:id="295" w:name="_Toc34337586"/>
      <w:r w:rsidRPr="00152231">
        <w:rPr>
          <w:rFonts w:ascii="Verdana" w:hAnsi="Verdana"/>
          <w:i/>
          <w:sz w:val="20"/>
          <w:szCs w:val="20"/>
          <w:lang w:val="es-ES"/>
        </w:rPr>
        <w:t xml:space="preserve">B.2.1 </w:t>
      </w:r>
      <w:r w:rsidRPr="00637AF2">
        <w:rPr>
          <w:rFonts w:ascii="Verdana" w:hAnsi="Verdana"/>
          <w:i/>
          <w:sz w:val="20"/>
          <w:szCs w:val="20"/>
          <w:u w:val="single"/>
          <w:lang w:val="es-ES"/>
        </w:rPr>
        <w:t>Acción de amparo respecto a la construcción del puente internacional</w:t>
      </w:r>
      <w:bookmarkEnd w:id="292"/>
      <w:bookmarkEnd w:id="293"/>
      <w:bookmarkEnd w:id="294"/>
      <w:bookmarkEnd w:id="295"/>
    </w:p>
    <w:p w14:paraId="0930A3BB" w14:textId="77777777" w:rsidR="0056309D" w:rsidRPr="00710EAE" w:rsidRDefault="0056309D" w:rsidP="0056309D">
      <w:pPr>
        <w:pStyle w:val="Prrafodelista"/>
        <w:spacing w:line="240" w:lineRule="auto"/>
        <w:rPr>
          <w:rFonts w:ascii="Verdana" w:hAnsi="Verdana"/>
          <w:i/>
          <w:sz w:val="20"/>
          <w:szCs w:val="20"/>
          <w:lang w:val="es-ES"/>
        </w:rPr>
      </w:pPr>
    </w:p>
    <w:p w14:paraId="2A05EEEA" w14:textId="0C324F29" w:rsidR="0056309D" w:rsidRPr="004670B8"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4670B8">
        <w:rPr>
          <w:rFonts w:ascii="Verdana" w:hAnsi="Verdana"/>
          <w:i/>
          <w:sz w:val="20"/>
          <w:szCs w:val="20"/>
          <w:lang w:val="es-ES"/>
        </w:rPr>
        <w:t xml:space="preserve">Hechos.- </w:t>
      </w:r>
      <w:r w:rsidRPr="004670B8">
        <w:rPr>
          <w:rFonts w:ascii="Verdana" w:hAnsi="Verdana"/>
          <w:sz w:val="20"/>
          <w:szCs w:val="20"/>
          <w:lang w:val="es-ES"/>
        </w:rPr>
        <w:t>La construcción del puente internacional</w:t>
      </w:r>
      <w:r w:rsidR="00DE5A24">
        <w:rPr>
          <w:rFonts w:ascii="Verdana" w:hAnsi="Verdana"/>
          <w:sz w:val="20"/>
          <w:szCs w:val="20"/>
          <w:lang w:val="es-ES"/>
        </w:rPr>
        <w:t xml:space="preserve"> se</w:t>
      </w:r>
      <w:r w:rsidRPr="004670B8">
        <w:rPr>
          <w:rFonts w:ascii="Verdana" w:hAnsi="Verdana"/>
          <w:sz w:val="20"/>
          <w:szCs w:val="20"/>
          <w:lang w:val="es-ES"/>
        </w:rPr>
        <w:t xml:space="preserve"> inició en 1995 (</w:t>
      </w:r>
      <w:r w:rsidRPr="004670B8">
        <w:rPr>
          <w:rFonts w:ascii="Verdana" w:hAnsi="Verdana"/>
          <w:i/>
          <w:sz w:val="20"/>
          <w:szCs w:val="20"/>
          <w:lang w:val="es-ES"/>
        </w:rPr>
        <w:t xml:space="preserve">supra </w:t>
      </w:r>
      <w:r w:rsidRPr="004670B8">
        <w:rPr>
          <w:rFonts w:ascii="Verdana" w:hAnsi="Verdana"/>
          <w:sz w:val="20"/>
          <w:szCs w:val="20"/>
          <w:lang w:val="es-ES"/>
        </w:rPr>
        <w:t xml:space="preserve">párr. 63). </w:t>
      </w:r>
      <w:r w:rsidRPr="004670B8">
        <w:rPr>
          <w:rFonts w:ascii="Verdana" w:hAnsi="Verdana"/>
          <w:sz w:val="20"/>
          <w:szCs w:val="20"/>
        </w:rPr>
        <w:t>El 11 de septiembre de 1995, un representante legal de Lhaka Honhat presentó una acción de amparo ante la Corte de Justicia de Salta (CJS) solicitando que se ordenara la suspensión inmediata de las obras</w:t>
      </w:r>
      <w:r w:rsidRPr="00B15F5F">
        <w:rPr>
          <w:rStyle w:val="Refdenotaalpie"/>
        </w:rPr>
        <w:footnoteReference w:id="302"/>
      </w:r>
      <w:r w:rsidRPr="004670B8">
        <w:rPr>
          <w:rFonts w:ascii="Verdana" w:hAnsi="Verdana"/>
          <w:sz w:val="20"/>
          <w:szCs w:val="20"/>
        </w:rPr>
        <w:t>. La solicitud de medida cautelar de “no innovar” y la acción de ampar</w:t>
      </w:r>
      <w:r w:rsidRPr="00917866">
        <w:rPr>
          <w:rFonts w:ascii="Verdana" w:hAnsi="Verdana"/>
          <w:sz w:val="20"/>
          <w:szCs w:val="20"/>
        </w:rPr>
        <w:t xml:space="preserve">o </w:t>
      </w:r>
      <w:r w:rsidRPr="004670B8">
        <w:rPr>
          <w:rFonts w:ascii="Verdana" w:hAnsi="Verdana"/>
          <w:sz w:val="20"/>
          <w:szCs w:val="20"/>
        </w:rPr>
        <w:t xml:space="preserve">fueron rechazadas el 8 de noviembre de 1995 y el 29 de abril de 1996, respectivamente. La CJS entendió que el acto reclamado carecía de “ilegitimidad o arbitrariedad manifiesta” y requería “mayor debate y prueba” que lo que permitía la vía judicial intentada. </w:t>
      </w:r>
      <w:r w:rsidRPr="004670B8">
        <w:rPr>
          <w:rFonts w:ascii="Verdana" w:hAnsi="Verdana"/>
          <w:sz w:val="20"/>
          <w:szCs w:val="20"/>
          <w:lang w:val="es-CR"/>
        </w:rPr>
        <w:t xml:space="preserve">El 14 de mayo de 1996, Lhaka Honhat interpuso un recurso extraordinario federal, que fue rechazado. </w:t>
      </w:r>
      <w:r w:rsidRPr="004670B8">
        <w:rPr>
          <w:rFonts w:ascii="Verdana" w:hAnsi="Verdana"/>
          <w:sz w:val="20"/>
          <w:szCs w:val="20"/>
        </w:rPr>
        <w:t xml:space="preserve">El 27 de febrero de 1997, los representantes de la Asociación interpusieron un recurso de queja en contra de la denegación del recurso extraordinario federal. El recurso fue desestimado por la Corte Suprema de Justicia de la Nación (CSJN) mediante resolución de 10 de diciembre de 1997, notificada el 5 de febrero de 1998, porque el recurso no </w:t>
      </w:r>
      <w:r w:rsidR="00DE5A24">
        <w:rPr>
          <w:rFonts w:ascii="Verdana" w:hAnsi="Verdana"/>
          <w:sz w:val="20"/>
          <w:szCs w:val="20"/>
        </w:rPr>
        <w:t xml:space="preserve">había sido interpuesto </w:t>
      </w:r>
      <w:r w:rsidRPr="004670B8">
        <w:rPr>
          <w:rFonts w:ascii="Verdana" w:hAnsi="Verdana"/>
          <w:sz w:val="20"/>
          <w:szCs w:val="20"/>
        </w:rPr>
        <w:t>contra una sentencia definitiva</w:t>
      </w:r>
      <w:r w:rsidRPr="00B15F5F">
        <w:rPr>
          <w:rStyle w:val="Refdenotaalpie"/>
        </w:rPr>
        <w:footnoteReference w:id="303"/>
      </w:r>
      <w:r w:rsidRPr="004670B8">
        <w:rPr>
          <w:rFonts w:ascii="Verdana" w:hAnsi="Verdana"/>
          <w:sz w:val="20"/>
          <w:szCs w:val="20"/>
        </w:rPr>
        <w:t>. Para e</w:t>
      </w:r>
      <w:r w:rsidR="00DE5A24">
        <w:rPr>
          <w:rFonts w:ascii="Verdana" w:hAnsi="Verdana"/>
          <w:sz w:val="20"/>
          <w:szCs w:val="20"/>
        </w:rPr>
        <w:t>ntonces</w:t>
      </w:r>
      <w:r w:rsidRPr="004670B8">
        <w:rPr>
          <w:rFonts w:ascii="Verdana" w:hAnsi="Verdana"/>
          <w:sz w:val="20"/>
          <w:szCs w:val="20"/>
        </w:rPr>
        <w:t xml:space="preserve">, el puente ya había sido construido. </w:t>
      </w:r>
    </w:p>
    <w:p w14:paraId="40AB4067" w14:textId="77777777" w:rsidR="0056309D" w:rsidRPr="004670B8" w:rsidRDefault="0056309D" w:rsidP="0056309D">
      <w:pPr>
        <w:pStyle w:val="Prrafodelista"/>
        <w:spacing w:after="0" w:line="240" w:lineRule="auto"/>
        <w:ind w:left="0" w:right="6"/>
        <w:jc w:val="both"/>
        <w:rPr>
          <w:rFonts w:ascii="Verdana" w:eastAsia="Batang" w:hAnsi="Verdana" w:cs="Times"/>
          <w:sz w:val="20"/>
          <w:szCs w:val="20"/>
          <w:lang w:val="es-CR" w:eastAsia="es-CR"/>
        </w:rPr>
      </w:pPr>
    </w:p>
    <w:p w14:paraId="04D28E82" w14:textId="77777777" w:rsidR="0056309D"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710EAE">
        <w:rPr>
          <w:rFonts w:ascii="Verdana" w:hAnsi="Verdana"/>
          <w:i/>
          <w:sz w:val="20"/>
          <w:szCs w:val="20"/>
          <w:lang w:val="es-ES"/>
        </w:rPr>
        <w:t xml:space="preserve">Consideraciones.- </w:t>
      </w:r>
      <w:r w:rsidRPr="00710EAE">
        <w:rPr>
          <w:rFonts w:ascii="Verdana" w:eastAsia="Times New Roman" w:hAnsi="Verdana" w:cs="Times New Roman"/>
          <w:sz w:val="20"/>
          <w:szCs w:val="24"/>
        </w:rPr>
        <w:t xml:space="preserve">Como ya se ha señalado, los derechos receptados en los artículos 25 y 8 de la Convención deben examinarse conforme a si existió, en el caso concreto, una posibilidad real de acceso a la justicia y a si se han respetado las garantías del debido proceso. </w:t>
      </w:r>
      <w:r w:rsidRPr="00710EAE">
        <w:rPr>
          <w:rFonts w:ascii="Verdana" w:hAnsi="Verdana"/>
          <w:sz w:val="20"/>
          <w:szCs w:val="20"/>
          <w:lang w:val="es-ES"/>
        </w:rPr>
        <w:t>L</w:t>
      </w:r>
      <w:r w:rsidRPr="00710EAE">
        <w:rPr>
          <w:rFonts w:ascii="Verdana" w:eastAsia="Times New Roman" w:hAnsi="Verdana" w:cs="Times New Roman"/>
          <w:sz w:val="20"/>
          <w:szCs w:val="24"/>
        </w:rPr>
        <w:t xml:space="preserve">a Corte observa que el amparo intentado no causó el resultado esperado por Lhaka Honhat, pero eso no demuestra por sí </w:t>
      </w:r>
      <w:r>
        <w:rPr>
          <w:rFonts w:ascii="Verdana" w:eastAsia="Times New Roman" w:hAnsi="Verdana" w:cs="Times New Roman"/>
          <w:sz w:val="20"/>
          <w:szCs w:val="24"/>
        </w:rPr>
        <w:t>solo</w:t>
      </w:r>
      <w:r w:rsidRPr="00710EAE">
        <w:rPr>
          <w:rFonts w:ascii="Verdana" w:eastAsia="Times New Roman" w:hAnsi="Verdana" w:cs="Times New Roman"/>
          <w:sz w:val="20"/>
          <w:szCs w:val="24"/>
        </w:rPr>
        <w:t xml:space="preserve"> que el Estado no haya proveído acciones judiciales adecuadas y efectivas. </w:t>
      </w:r>
    </w:p>
    <w:p w14:paraId="1CB1B199" w14:textId="77777777" w:rsidR="0056309D" w:rsidRPr="00710EAE" w:rsidRDefault="0056309D" w:rsidP="0056309D">
      <w:pPr>
        <w:pStyle w:val="Prrafodelista"/>
        <w:spacing w:line="240" w:lineRule="auto"/>
        <w:rPr>
          <w:rFonts w:ascii="Verdana" w:eastAsia="Times New Roman" w:hAnsi="Verdana" w:cs="Times New Roman"/>
          <w:sz w:val="20"/>
          <w:szCs w:val="24"/>
        </w:rPr>
      </w:pPr>
    </w:p>
    <w:p w14:paraId="67F7000A" w14:textId="54136649" w:rsidR="0056309D" w:rsidRPr="00710EAE"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710EAE">
        <w:rPr>
          <w:rFonts w:ascii="Verdana" w:eastAsia="Times New Roman" w:hAnsi="Verdana" w:cs="Times New Roman"/>
          <w:sz w:val="20"/>
          <w:szCs w:val="24"/>
        </w:rPr>
        <w:t>En este sentido, la CJS entendió que la acción no era procedente, y que la pretensión planteada requería otra vía judicial. Luego la CSJN entendió que</w:t>
      </w:r>
      <w:r w:rsidR="002847D0">
        <w:rPr>
          <w:rFonts w:ascii="Verdana" w:eastAsia="Times New Roman" w:hAnsi="Verdana" w:cs="Times New Roman"/>
          <w:sz w:val="20"/>
          <w:szCs w:val="24"/>
        </w:rPr>
        <w:t>,</w:t>
      </w:r>
      <w:r w:rsidRPr="00710EAE">
        <w:rPr>
          <w:rFonts w:ascii="Verdana" w:eastAsia="Times New Roman" w:hAnsi="Verdana" w:cs="Times New Roman"/>
          <w:sz w:val="20"/>
          <w:szCs w:val="24"/>
        </w:rPr>
        <w:t xml:space="preserve"> al no cuestionarse una sentencia definitiva, no procedía el recurso intentado ante ella. La decisión de la CJS indicó que la vía procesal intentada por Lhaka Honhat no era la correspondiente. No han sido </w:t>
      </w:r>
      <w:r>
        <w:rPr>
          <w:rFonts w:ascii="Verdana" w:eastAsia="Times New Roman" w:hAnsi="Verdana" w:cs="Times New Roman"/>
          <w:sz w:val="20"/>
          <w:szCs w:val="24"/>
        </w:rPr>
        <w:t>presentados</w:t>
      </w:r>
      <w:r w:rsidRPr="00710EAE">
        <w:rPr>
          <w:rFonts w:ascii="Verdana" w:eastAsia="Times New Roman" w:hAnsi="Verdana" w:cs="Times New Roman"/>
          <w:sz w:val="20"/>
          <w:szCs w:val="24"/>
        </w:rPr>
        <w:t xml:space="preserve"> a la Corte Interamericana argumentos sobre la inexistencia de otras vías judiciales o sobre su inefectividad. Por eso, este Tribunal no puede entender que el rechazo del amparo implicara la negación del derecho a la protección judicial. Además, la decisión de la CSJN se basó en aspectos procesales de admisibilidad del recurso extraordinario, propios del sistema jurídico argentino, y la Corte Interamericana no tiene elementos para considerar que ello sea contrario a la Convención. En definitiva, la Corte no cuenta con los argumentos necesarios para determinar que haya existido violación a la protección judicial o a las garantías judiciales. </w:t>
      </w:r>
    </w:p>
    <w:p w14:paraId="5759525A" w14:textId="77777777" w:rsidR="00197653" w:rsidRDefault="00197653" w:rsidP="00D1698B">
      <w:pPr>
        <w:spacing w:after="0" w:line="240" w:lineRule="auto"/>
        <w:rPr>
          <w:rFonts w:ascii="Verdana" w:hAnsi="Verdana"/>
          <w:i/>
          <w:sz w:val="20"/>
          <w:szCs w:val="20"/>
          <w:lang w:val="es-ES"/>
        </w:rPr>
      </w:pPr>
    </w:p>
    <w:p w14:paraId="5310B814" w14:textId="77777777" w:rsidR="00D1698B" w:rsidRDefault="00D1698B" w:rsidP="00D1698B">
      <w:pPr>
        <w:spacing w:after="0" w:line="240" w:lineRule="auto"/>
        <w:rPr>
          <w:rFonts w:ascii="Verdana" w:hAnsi="Verdana"/>
          <w:i/>
          <w:sz w:val="20"/>
          <w:szCs w:val="20"/>
          <w:lang w:val="es-ES"/>
        </w:rPr>
      </w:pPr>
    </w:p>
    <w:p w14:paraId="4372CAF4" w14:textId="77777777" w:rsidR="00D1698B" w:rsidRDefault="00D1698B" w:rsidP="00D1698B">
      <w:pPr>
        <w:spacing w:after="0" w:line="240" w:lineRule="auto"/>
        <w:rPr>
          <w:rFonts w:ascii="Verdana" w:hAnsi="Verdana"/>
          <w:i/>
          <w:sz w:val="20"/>
          <w:szCs w:val="20"/>
          <w:lang w:val="es-ES"/>
        </w:rPr>
      </w:pPr>
    </w:p>
    <w:p w14:paraId="25E0DDDD" w14:textId="77777777" w:rsidR="00D1698B" w:rsidRPr="00197653" w:rsidRDefault="00D1698B" w:rsidP="00D1698B">
      <w:pPr>
        <w:spacing w:after="0" w:line="240" w:lineRule="auto"/>
        <w:rPr>
          <w:rFonts w:ascii="Verdana" w:hAnsi="Verdana"/>
          <w:i/>
          <w:sz w:val="20"/>
          <w:szCs w:val="20"/>
          <w:lang w:val="es-ES"/>
        </w:rPr>
      </w:pPr>
    </w:p>
    <w:p w14:paraId="0EAACF6A" w14:textId="77777777" w:rsidR="0056309D" w:rsidRPr="00152231" w:rsidRDefault="0056309D" w:rsidP="00D1698B">
      <w:pPr>
        <w:pStyle w:val="Prrafodelista"/>
        <w:autoSpaceDE w:val="0"/>
        <w:autoSpaceDN w:val="0"/>
        <w:adjustRightInd w:val="0"/>
        <w:spacing w:after="0" w:line="240" w:lineRule="auto"/>
        <w:ind w:left="851"/>
        <w:jc w:val="both"/>
        <w:outlineLvl w:val="3"/>
        <w:rPr>
          <w:rFonts w:ascii="Verdana" w:hAnsi="Verdana"/>
          <w:i/>
          <w:sz w:val="20"/>
          <w:szCs w:val="20"/>
          <w:lang w:val="es-ES"/>
        </w:rPr>
      </w:pPr>
      <w:bookmarkStart w:id="296" w:name="_Toc22224937"/>
      <w:bookmarkStart w:id="297" w:name="_Toc32218881"/>
      <w:bookmarkStart w:id="298" w:name="_Toc32227159"/>
      <w:bookmarkStart w:id="299" w:name="_Toc34337587"/>
      <w:r w:rsidRPr="00152231">
        <w:rPr>
          <w:rFonts w:ascii="Verdana" w:hAnsi="Verdana"/>
          <w:i/>
          <w:sz w:val="20"/>
          <w:szCs w:val="20"/>
          <w:lang w:val="es-ES"/>
        </w:rPr>
        <w:lastRenderedPageBreak/>
        <w:t>B.2.</w:t>
      </w:r>
      <w:r>
        <w:rPr>
          <w:rFonts w:ascii="Verdana" w:hAnsi="Verdana"/>
          <w:i/>
          <w:sz w:val="20"/>
          <w:szCs w:val="20"/>
          <w:lang w:val="es-ES"/>
        </w:rPr>
        <w:t xml:space="preserve">2 </w:t>
      </w:r>
      <w:r w:rsidRPr="00637AF2">
        <w:rPr>
          <w:rFonts w:ascii="Verdana" w:hAnsi="Verdana"/>
          <w:i/>
          <w:sz w:val="20"/>
          <w:szCs w:val="20"/>
          <w:u w:val="single"/>
          <w:lang w:val="es-ES"/>
        </w:rPr>
        <w:t>Acciones sobre el Decreto 461/99 y la Resolución 423/99</w:t>
      </w:r>
      <w:bookmarkEnd w:id="296"/>
      <w:bookmarkEnd w:id="297"/>
      <w:bookmarkEnd w:id="298"/>
      <w:bookmarkEnd w:id="299"/>
      <w:r w:rsidRPr="00152231">
        <w:rPr>
          <w:rFonts w:ascii="Verdana" w:hAnsi="Verdana"/>
          <w:i/>
          <w:sz w:val="20"/>
          <w:szCs w:val="20"/>
          <w:lang w:val="es-ES"/>
        </w:rPr>
        <w:t xml:space="preserve"> </w:t>
      </w:r>
    </w:p>
    <w:p w14:paraId="49E3CA8F" w14:textId="77777777" w:rsidR="0056309D" w:rsidRPr="00710EAE" w:rsidRDefault="0056309D" w:rsidP="0056309D">
      <w:pPr>
        <w:pStyle w:val="Prrafodelista"/>
        <w:spacing w:line="240" w:lineRule="auto"/>
        <w:rPr>
          <w:rFonts w:ascii="Verdana" w:hAnsi="Verdana"/>
          <w:i/>
          <w:sz w:val="20"/>
          <w:szCs w:val="20"/>
          <w:lang w:val="es-ES"/>
        </w:rPr>
      </w:pPr>
    </w:p>
    <w:p w14:paraId="42DE9A81" w14:textId="77777777" w:rsidR="0056309D" w:rsidRPr="00710EAE"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710EAE">
        <w:rPr>
          <w:rFonts w:ascii="Verdana" w:hAnsi="Verdana"/>
          <w:i/>
          <w:sz w:val="20"/>
          <w:szCs w:val="20"/>
          <w:lang w:val="es-ES"/>
        </w:rPr>
        <w:t xml:space="preserve">Hechos.- </w:t>
      </w:r>
      <w:r w:rsidRPr="00710EAE">
        <w:rPr>
          <w:rFonts w:ascii="Verdana" w:hAnsi="Verdana"/>
          <w:sz w:val="20"/>
          <w:szCs w:val="20"/>
          <w:lang w:val="es-ES"/>
        </w:rPr>
        <w:t>Como se ha indicado, en 1999 Salta dictó el Decreto 461/99 y la Resolución 423/99, relacionados con la adjudicación de parcelas (</w:t>
      </w:r>
      <w:r w:rsidRPr="00710EAE">
        <w:rPr>
          <w:rFonts w:ascii="Verdana" w:hAnsi="Verdana"/>
          <w:i/>
          <w:sz w:val="20"/>
          <w:szCs w:val="20"/>
          <w:lang w:val="es-ES"/>
        </w:rPr>
        <w:t xml:space="preserve">supra </w:t>
      </w:r>
      <w:r w:rsidRPr="00710EAE">
        <w:rPr>
          <w:rFonts w:ascii="Verdana" w:hAnsi="Verdana"/>
          <w:sz w:val="20"/>
          <w:szCs w:val="20"/>
          <w:lang w:val="es-ES"/>
        </w:rPr>
        <w:t xml:space="preserve">párr. </w:t>
      </w:r>
      <w:r>
        <w:rPr>
          <w:rFonts w:ascii="Verdana" w:hAnsi="Verdana"/>
          <w:sz w:val="20"/>
          <w:szCs w:val="20"/>
          <w:lang w:val="es-ES"/>
        </w:rPr>
        <w:t>6</w:t>
      </w:r>
      <w:r w:rsidRPr="00710EAE">
        <w:rPr>
          <w:rFonts w:ascii="Verdana" w:hAnsi="Verdana"/>
          <w:sz w:val="20"/>
          <w:szCs w:val="20"/>
          <w:lang w:val="es-ES"/>
        </w:rPr>
        <w:t>5). El 8 de marzo de 2000, Lhaka Honhat presentó una acción de amparo contra tales actos gubernamentales</w:t>
      </w:r>
      <w:r w:rsidRPr="002847D0">
        <w:rPr>
          <w:rStyle w:val="Refdenotaalpie"/>
          <w:rFonts w:ascii="Verdana" w:hAnsi="Verdana"/>
          <w:sz w:val="20"/>
          <w:lang w:val="es-ES"/>
        </w:rPr>
        <w:footnoteReference w:id="304"/>
      </w:r>
      <w:r w:rsidRPr="00710EAE">
        <w:rPr>
          <w:rFonts w:ascii="Verdana" w:hAnsi="Verdana"/>
          <w:sz w:val="20"/>
          <w:szCs w:val="20"/>
          <w:lang w:val="es-ES"/>
        </w:rPr>
        <w:t>. La acción fue rechazada en la justicia provincial. Luego de la presentación de un recurso extraordinario federal</w:t>
      </w:r>
      <w:r w:rsidRPr="002847D0">
        <w:rPr>
          <w:rStyle w:val="Refdenotaalpie"/>
          <w:rFonts w:ascii="Verdana" w:hAnsi="Verdana"/>
          <w:sz w:val="20"/>
          <w:lang w:val="es-ES"/>
        </w:rPr>
        <w:footnoteReference w:id="305"/>
      </w:r>
      <w:r w:rsidRPr="00710EAE">
        <w:rPr>
          <w:rFonts w:ascii="Verdana" w:hAnsi="Verdana"/>
          <w:sz w:val="20"/>
          <w:szCs w:val="20"/>
          <w:lang w:val="es-ES"/>
        </w:rPr>
        <w:t xml:space="preserve">, </w:t>
      </w:r>
      <w:r>
        <w:rPr>
          <w:rFonts w:ascii="Verdana" w:hAnsi="Verdana"/>
          <w:sz w:val="20"/>
          <w:szCs w:val="20"/>
          <w:lang w:val="es-ES"/>
        </w:rPr>
        <w:t xml:space="preserve">el </w:t>
      </w:r>
      <w:r w:rsidRPr="00710EAE">
        <w:rPr>
          <w:rFonts w:ascii="Verdana" w:hAnsi="Verdana"/>
          <w:sz w:val="20"/>
          <w:szCs w:val="20"/>
          <w:lang w:val="es-ES"/>
        </w:rPr>
        <w:t>15 de junio de 2004 la CSJN revocó ese rechazo, disponiendo que la justicia provincial adoptase una nueva decisión</w:t>
      </w:r>
      <w:r w:rsidRPr="002847D0">
        <w:rPr>
          <w:rStyle w:val="Refdenotaalpie"/>
          <w:rFonts w:ascii="Verdana" w:hAnsi="Verdana"/>
          <w:sz w:val="20"/>
          <w:lang w:val="es-ES"/>
        </w:rPr>
        <w:footnoteReference w:id="306"/>
      </w:r>
      <w:r w:rsidRPr="00710EAE">
        <w:rPr>
          <w:rFonts w:ascii="Verdana" w:hAnsi="Verdana"/>
          <w:sz w:val="20"/>
          <w:szCs w:val="20"/>
          <w:lang w:val="es-ES"/>
        </w:rPr>
        <w:t>. El 8 de mayo de 2007 la CJS dejó sin efectos la Resolución y el Decreto</w:t>
      </w:r>
      <w:r w:rsidRPr="002847D0">
        <w:rPr>
          <w:rStyle w:val="Refdenotaalpie"/>
          <w:rFonts w:ascii="Verdana" w:hAnsi="Verdana"/>
          <w:sz w:val="20"/>
          <w:lang w:val="es-ES"/>
        </w:rPr>
        <w:footnoteReference w:id="307"/>
      </w:r>
      <w:r w:rsidRPr="00710EAE">
        <w:rPr>
          <w:rFonts w:ascii="Verdana" w:hAnsi="Verdana"/>
          <w:sz w:val="20"/>
          <w:szCs w:val="20"/>
          <w:lang w:val="es-ES"/>
        </w:rPr>
        <w:t>.</w:t>
      </w:r>
    </w:p>
    <w:p w14:paraId="70DA166F" w14:textId="77777777" w:rsidR="0056309D" w:rsidRDefault="0056309D" w:rsidP="0056309D">
      <w:pPr>
        <w:pStyle w:val="Prrafodelista"/>
        <w:spacing w:after="0" w:line="240" w:lineRule="auto"/>
        <w:ind w:left="0" w:right="6"/>
        <w:jc w:val="both"/>
        <w:rPr>
          <w:rFonts w:ascii="Verdana" w:eastAsia="Batang" w:hAnsi="Verdana" w:cs="Times"/>
          <w:sz w:val="20"/>
          <w:szCs w:val="20"/>
          <w:lang w:val="es-CR" w:eastAsia="es-CR"/>
        </w:rPr>
      </w:pPr>
    </w:p>
    <w:p w14:paraId="799B9CC7" w14:textId="4874C2D1" w:rsidR="0056309D"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710EAE">
        <w:rPr>
          <w:rFonts w:ascii="Verdana" w:eastAsia="Times New Roman" w:hAnsi="Verdana" w:cs="Times New Roman"/>
          <w:i/>
          <w:sz w:val="20"/>
          <w:szCs w:val="24"/>
        </w:rPr>
        <w:t xml:space="preserve">Consideraciones.- </w:t>
      </w:r>
      <w:r w:rsidRPr="00710EAE">
        <w:rPr>
          <w:rFonts w:ascii="Verdana" w:eastAsia="Times New Roman" w:hAnsi="Verdana" w:cs="Times New Roman"/>
          <w:sz w:val="20"/>
          <w:szCs w:val="24"/>
        </w:rPr>
        <w:t>La jurisprudencia de este Tribunal ya ha señalado que “la obligación de proveer recursos judiciales adecuados y efectivos implica que los procesos se realicen en un plazo razonable</w:t>
      </w:r>
      <w:r w:rsidR="002847D0">
        <w:rPr>
          <w:rFonts w:ascii="Verdana" w:eastAsia="Times New Roman" w:hAnsi="Verdana" w:cs="Times New Roman"/>
          <w:sz w:val="20"/>
          <w:szCs w:val="24"/>
        </w:rPr>
        <w:t>”</w:t>
      </w:r>
      <w:r w:rsidRPr="002847D0">
        <w:rPr>
          <w:rStyle w:val="Refdenotaalpie"/>
          <w:rFonts w:ascii="Verdana" w:eastAsia="Times New Roman" w:hAnsi="Verdana"/>
          <w:sz w:val="20"/>
        </w:rPr>
        <w:footnoteReference w:id="308"/>
      </w:r>
      <w:r w:rsidRPr="00710EAE">
        <w:rPr>
          <w:rFonts w:ascii="Verdana" w:eastAsia="Times New Roman" w:hAnsi="Verdana" w:cs="Times New Roman"/>
          <w:sz w:val="20"/>
          <w:szCs w:val="24"/>
        </w:rPr>
        <w:t>. La Corte ha considerado que</w:t>
      </w:r>
      <w:r w:rsidR="002847D0">
        <w:rPr>
          <w:rFonts w:ascii="Verdana" w:eastAsia="Times New Roman" w:hAnsi="Verdana" w:cs="Times New Roman"/>
          <w:sz w:val="20"/>
          <w:szCs w:val="24"/>
        </w:rPr>
        <w:t>,</w:t>
      </w:r>
      <w:r w:rsidRPr="00710EAE">
        <w:rPr>
          <w:rFonts w:ascii="Verdana" w:eastAsia="Times New Roman" w:hAnsi="Verdana" w:cs="Times New Roman"/>
          <w:sz w:val="20"/>
          <w:szCs w:val="24"/>
        </w:rPr>
        <w:t xml:space="preserve"> en vista de “un retardo notorio del proceso […] carente de explicación razonada”, no se hace “necesario realizar el análisis de los [distintos] criterios [de evaluación del tiempo insumido]”</w:t>
      </w:r>
      <w:r>
        <w:rPr>
          <w:rStyle w:val="Refdenotaalpie"/>
          <w:rFonts w:eastAsia="Times New Roman"/>
          <w:szCs w:val="24"/>
        </w:rPr>
        <w:footnoteReference w:id="309"/>
      </w:r>
      <w:r w:rsidRPr="00710EAE">
        <w:rPr>
          <w:rFonts w:ascii="Verdana" w:eastAsia="Times New Roman" w:hAnsi="Verdana" w:cs="Times New Roman"/>
          <w:sz w:val="20"/>
          <w:szCs w:val="24"/>
        </w:rPr>
        <w:t>.</w:t>
      </w:r>
    </w:p>
    <w:p w14:paraId="61DA7341" w14:textId="77777777" w:rsidR="0056309D" w:rsidRPr="00710EAE" w:rsidRDefault="0056309D" w:rsidP="0056309D">
      <w:pPr>
        <w:pStyle w:val="Prrafodelista"/>
        <w:spacing w:line="240" w:lineRule="auto"/>
        <w:rPr>
          <w:rFonts w:ascii="Verdana" w:eastAsia="Times New Roman" w:hAnsi="Verdana" w:cs="Times New Roman"/>
          <w:sz w:val="20"/>
          <w:szCs w:val="24"/>
        </w:rPr>
      </w:pPr>
    </w:p>
    <w:p w14:paraId="14847349" w14:textId="65C54DF5" w:rsidR="0056309D"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710EAE">
        <w:rPr>
          <w:rFonts w:ascii="Verdana" w:eastAsia="Times New Roman" w:hAnsi="Verdana" w:cs="Times New Roman"/>
          <w:sz w:val="20"/>
          <w:szCs w:val="24"/>
        </w:rPr>
        <w:t xml:space="preserve">Respecto del caso bajo examen, </w:t>
      </w:r>
      <w:r>
        <w:rPr>
          <w:rFonts w:ascii="Verdana" w:eastAsia="Times New Roman" w:hAnsi="Verdana" w:cs="Times New Roman"/>
          <w:sz w:val="20"/>
          <w:szCs w:val="24"/>
        </w:rPr>
        <w:t>este Tribunal</w:t>
      </w:r>
      <w:r w:rsidRPr="00710EAE">
        <w:rPr>
          <w:rFonts w:ascii="Verdana" w:eastAsia="Times New Roman" w:hAnsi="Verdana" w:cs="Times New Roman"/>
          <w:sz w:val="20"/>
          <w:szCs w:val="24"/>
        </w:rPr>
        <w:t xml:space="preserve"> nota que en total el proceso judicial demoró cerca de siete años. En particular, desde que la CSJN ordenó dictar a la justicia provincial una sentencia</w:t>
      </w:r>
      <w:r>
        <w:rPr>
          <w:rFonts w:ascii="Verdana" w:eastAsia="Times New Roman" w:hAnsi="Verdana" w:cs="Times New Roman"/>
          <w:sz w:val="20"/>
          <w:szCs w:val="24"/>
        </w:rPr>
        <w:t>,</w:t>
      </w:r>
      <w:r w:rsidRPr="00710EAE">
        <w:rPr>
          <w:rFonts w:ascii="Verdana" w:eastAsia="Times New Roman" w:hAnsi="Verdana" w:cs="Times New Roman"/>
          <w:sz w:val="20"/>
          <w:szCs w:val="24"/>
        </w:rPr>
        <w:t xml:space="preserve"> </w:t>
      </w:r>
      <w:r w:rsidR="00DE5A24">
        <w:rPr>
          <w:rFonts w:ascii="Verdana" w:eastAsia="Times New Roman" w:hAnsi="Verdana" w:cs="Times New Roman"/>
          <w:sz w:val="20"/>
          <w:szCs w:val="24"/>
        </w:rPr>
        <w:t>transcurrieron</w:t>
      </w:r>
      <w:r w:rsidRPr="00710EAE">
        <w:rPr>
          <w:rFonts w:ascii="Verdana" w:eastAsia="Times New Roman" w:hAnsi="Verdana" w:cs="Times New Roman"/>
          <w:sz w:val="20"/>
          <w:szCs w:val="24"/>
        </w:rPr>
        <w:t xml:space="preserve"> alrededor de 3 años. La Corte </w:t>
      </w:r>
      <w:r>
        <w:rPr>
          <w:rFonts w:ascii="Verdana" w:eastAsia="Times New Roman" w:hAnsi="Verdana" w:cs="Times New Roman"/>
          <w:sz w:val="20"/>
          <w:szCs w:val="24"/>
        </w:rPr>
        <w:t xml:space="preserve">Interamericana </w:t>
      </w:r>
      <w:r w:rsidRPr="00710EAE">
        <w:rPr>
          <w:rFonts w:ascii="Verdana" w:eastAsia="Times New Roman" w:hAnsi="Verdana" w:cs="Times New Roman"/>
          <w:sz w:val="20"/>
          <w:szCs w:val="24"/>
        </w:rPr>
        <w:t>no advierte justificación para esta demora de tres años y el Estado no ha presentado explicaciones al respecto</w:t>
      </w:r>
      <w:r w:rsidRPr="002847D0">
        <w:rPr>
          <w:rStyle w:val="Refdenotaalpie"/>
          <w:rFonts w:ascii="Verdana" w:eastAsia="Times New Roman" w:hAnsi="Verdana"/>
          <w:sz w:val="20"/>
        </w:rPr>
        <w:footnoteReference w:id="310"/>
      </w:r>
      <w:r w:rsidRPr="00710EAE">
        <w:rPr>
          <w:rFonts w:ascii="Verdana" w:eastAsia="Times New Roman" w:hAnsi="Verdana" w:cs="Times New Roman"/>
          <w:sz w:val="20"/>
          <w:szCs w:val="24"/>
        </w:rPr>
        <w:t xml:space="preserve">. En consecuencia, </w:t>
      </w:r>
      <w:r>
        <w:rPr>
          <w:rFonts w:ascii="Verdana" w:eastAsia="Times New Roman" w:hAnsi="Verdana" w:cs="Times New Roman"/>
          <w:sz w:val="20"/>
          <w:szCs w:val="24"/>
        </w:rPr>
        <w:t xml:space="preserve">este Tribunal </w:t>
      </w:r>
      <w:r w:rsidRPr="00710EAE">
        <w:rPr>
          <w:rFonts w:ascii="Verdana" w:eastAsia="Times New Roman" w:hAnsi="Verdana" w:cs="Times New Roman"/>
          <w:sz w:val="20"/>
          <w:szCs w:val="24"/>
        </w:rPr>
        <w:t>observa que hay motivos suficientes para entender que el plazo mencionado ha sido excesivo e injustificado y</w:t>
      </w:r>
      <w:r w:rsidR="002847D0">
        <w:rPr>
          <w:rFonts w:ascii="Verdana" w:eastAsia="Times New Roman" w:hAnsi="Verdana" w:cs="Times New Roman"/>
          <w:sz w:val="20"/>
          <w:szCs w:val="24"/>
        </w:rPr>
        <w:t>,</w:t>
      </w:r>
      <w:r w:rsidRPr="00710EAE">
        <w:rPr>
          <w:rFonts w:ascii="Verdana" w:eastAsia="Times New Roman" w:hAnsi="Verdana" w:cs="Times New Roman"/>
          <w:sz w:val="20"/>
          <w:szCs w:val="24"/>
        </w:rPr>
        <w:t xml:space="preserve"> por lo tanto</w:t>
      </w:r>
      <w:r w:rsidR="002847D0">
        <w:rPr>
          <w:rFonts w:ascii="Verdana" w:eastAsia="Times New Roman" w:hAnsi="Verdana" w:cs="Times New Roman"/>
          <w:sz w:val="20"/>
          <w:szCs w:val="24"/>
        </w:rPr>
        <w:t>,</w:t>
      </w:r>
      <w:r w:rsidRPr="00710EAE">
        <w:rPr>
          <w:rFonts w:ascii="Verdana" w:eastAsia="Times New Roman" w:hAnsi="Verdana" w:cs="Times New Roman"/>
          <w:sz w:val="20"/>
          <w:szCs w:val="24"/>
        </w:rPr>
        <w:t xml:space="preserve"> no puede considerarse razonable en los términos del artículo 8.1 de la Convención. </w:t>
      </w:r>
    </w:p>
    <w:p w14:paraId="407C78A1" w14:textId="77777777" w:rsidR="00433F72" w:rsidRPr="00197653" w:rsidRDefault="00433F72" w:rsidP="00197653">
      <w:pPr>
        <w:spacing w:line="240" w:lineRule="auto"/>
        <w:rPr>
          <w:rFonts w:ascii="Verdana" w:hAnsi="Verdana"/>
          <w:i/>
          <w:sz w:val="20"/>
          <w:szCs w:val="20"/>
          <w:lang w:val="es-ES"/>
        </w:rPr>
      </w:pPr>
    </w:p>
    <w:p w14:paraId="3D8FF7FB" w14:textId="77777777" w:rsidR="0056309D" w:rsidRPr="00152231" w:rsidRDefault="0056309D" w:rsidP="0056309D">
      <w:pPr>
        <w:pStyle w:val="Prrafodelista"/>
        <w:autoSpaceDE w:val="0"/>
        <w:autoSpaceDN w:val="0"/>
        <w:adjustRightInd w:val="0"/>
        <w:spacing w:after="0" w:line="240" w:lineRule="auto"/>
        <w:ind w:left="851"/>
        <w:jc w:val="both"/>
        <w:outlineLvl w:val="3"/>
        <w:rPr>
          <w:rFonts w:ascii="Verdana" w:hAnsi="Verdana"/>
          <w:i/>
          <w:sz w:val="20"/>
          <w:szCs w:val="20"/>
          <w:lang w:val="es-ES"/>
        </w:rPr>
      </w:pPr>
      <w:bookmarkStart w:id="300" w:name="_Toc22224938"/>
      <w:bookmarkStart w:id="301" w:name="_Toc32218882"/>
      <w:bookmarkStart w:id="302" w:name="_Toc32227160"/>
      <w:bookmarkStart w:id="303" w:name="_Toc34337588"/>
      <w:r w:rsidRPr="00152231">
        <w:rPr>
          <w:rFonts w:ascii="Verdana" w:hAnsi="Verdana"/>
          <w:i/>
          <w:sz w:val="20"/>
          <w:szCs w:val="20"/>
          <w:lang w:val="es-ES"/>
        </w:rPr>
        <w:lastRenderedPageBreak/>
        <w:t>B.2.</w:t>
      </w:r>
      <w:r>
        <w:rPr>
          <w:rFonts w:ascii="Verdana" w:hAnsi="Verdana"/>
          <w:i/>
          <w:sz w:val="20"/>
          <w:szCs w:val="20"/>
          <w:lang w:val="es-ES"/>
        </w:rPr>
        <w:t xml:space="preserve">3. </w:t>
      </w:r>
      <w:r w:rsidRPr="00637AF2">
        <w:rPr>
          <w:rFonts w:ascii="Verdana" w:hAnsi="Verdana"/>
          <w:i/>
          <w:sz w:val="20"/>
          <w:szCs w:val="20"/>
          <w:u w:val="single"/>
          <w:lang w:val="es-ES"/>
        </w:rPr>
        <w:t>Acción judicial contra el referéndum de 2005</w:t>
      </w:r>
      <w:r>
        <w:rPr>
          <w:rStyle w:val="Refdenotaalpie"/>
          <w:i/>
          <w:lang w:val="es-ES"/>
        </w:rPr>
        <w:footnoteReference w:id="311"/>
      </w:r>
      <w:bookmarkEnd w:id="300"/>
      <w:bookmarkEnd w:id="301"/>
      <w:bookmarkEnd w:id="302"/>
      <w:bookmarkEnd w:id="303"/>
      <w:r w:rsidRPr="00152231">
        <w:rPr>
          <w:rFonts w:ascii="Verdana" w:hAnsi="Verdana"/>
          <w:i/>
          <w:sz w:val="20"/>
          <w:szCs w:val="20"/>
          <w:lang w:val="es-ES"/>
        </w:rPr>
        <w:t xml:space="preserve"> </w:t>
      </w:r>
    </w:p>
    <w:p w14:paraId="57293E62" w14:textId="77777777" w:rsidR="0056309D" w:rsidRPr="00710EAE" w:rsidRDefault="0056309D" w:rsidP="0056309D">
      <w:pPr>
        <w:pStyle w:val="Prrafodelista"/>
        <w:spacing w:line="240" w:lineRule="auto"/>
        <w:rPr>
          <w:rFonts w:ascii="Verdana" w:hAnsi="Verdana"/>
          <w:i/>
          <w:sz w:val="20"/>
          <w:szCs w:val="20"/>
          <w:lang w:val="es-ES"/>
        </w:rPr>
      </w:pPr>
    </w:p>
    <w:p w14:paraId="644B2C83" w14:textId="77777777" w:rsidR="0056309D" w:rsidRPr="00710EAE"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710EAE">
        <w:rPr>
          <w:rFonts w:ascii="Verdana" w:hAnsi="Verdana"/>
          <w:i/>
          <w:sz w:val="20"/>
          <w:szCs w:val="20"/>
          <w:lang w:val="es-ES"/>
        </w:rPr>
        <w:t>Hechos.</w:t>
      </w:r>
      <w:r w:rsidRPr="00710EAE">
        <w:rPr>
          <w:rFonts w:ascii="Verdana" w:hAnsi="Verdana"/>
          <w:sz w:val="20"/>
          <w:szCs w:val="20"/>
          <w:lang w:val="es-ES"/>
        </w:rPr>
        <w:t>- El 11 de agosto de 2005, Lhaka Honhat interpuso una acción declarativa de certeza ante la CSJN en contra de la ley de referéndum, buscando que se declarara su inconstitucionalidad. Mediante sentencia del 27 de septiembre de 2005</w:t>
      </w:r>
      <w:r w:rsidRPr="002847D0">
        <w:rPr>
          <w:rStyle w:val="Refdenotaalpie"/>
          <w:rFonts w:ascii="Verdana" w:hAnsi="Verdana"/>
          <w:sz w:val="20"/>
          <w:lang w:val="es-ES"/>
        </w:rPr>
        <w:footnoteReference w:id="312"/>
      </w:r>
      <w:r w:rsidRPr="00710EAE">
        <w:rPr>
          <w:rFonts w:ascii="Verdana" w:hAnsi="Verdana"/>
          <w:sz w:val="20"/>
          <w:szCs w:val="20"/>
          <w:lang w:val="es-ES"/>
        </w:rPr>
        <w:t xml:space="preserve">, la CSJN rechazó el recurso interpuesto, al considerar que no tenía competencia para pronunciarse sobre actos del ordenamiento jurídico provincial. </w:t>
      </w:r>
    </w:p>
    <w:p w14:paraId="32F7818C" w14:textId="77777777" w:rsidR="0056309D" w:rsidRDefault="0056309D" w:rsidP="0056309D">
      <w:pPr>
        <w:pStyle w:val="Prrafodelista"/>
        <w:spacing w:after="0" w:line="240" w:lineRule="auto"/>
        <w:ind w:left="0" w:right="6"/>
        <w:jc w:val="both"/>
        <w:rPr>
          <w:rFonts w:ascii="Verdana" w:eastAsia="Batang" w:hAnsi="Verdana" w:cs="Times"/>
          <w:sz w:val="20"/>
          <w:szCs w:val="20"/>
          <w:lang w:val="es-CR" w:eastAsia="es-CR"/>
        </w:rPr>
      </w:pPr>
    </w:p>
    <w:p w14:paraId="5C31972C" w14:textId="25DEB585" w:rsidR="0056309D"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710EAE">
        <w:rPr>
          <w:rFonts w:ascii="Verdana" w:eastAsia="Times New Roman" w:hAnsi="Verdana" w:cs="Times New Roman"/>
          <w:i/>
          <w:sz w:val="20"/>
          <w:szCs w:val="24"/>
        </w:rPr>
        <w:t>Consideraciones.</w:t>
      </w:r>
      <w:r w:rsidRPr="00710EAE">
        <w:rPr>
          <w:rFonts w:ascii="Verdana" w:eastAsia="Times New Roman" w:hAnsi="Verdana" w:cs="Times New Roman"/>
          <w:sz w:val="20"/>
          <w:szCs w:val="24"/>
        </w:rPr>
        <w:t>- Como se ha mencionado anteriormente</w:t>
      </w:r>
      <w:r w:rsidR="00B811CB">
        <w:rPr>
          <w:rFonts w:ascii="Verdana" w:eastAsia="Times New Roman" w:hAnsi="Verdana" w:cs="Times New Roman"/>
          <w:sz w:val="20"/>
          <w:szCs w:val="24"/>
        </w:rPr>
        <w:t xml:space="preserve"> (</w:t>
      </w:r>
      <w:r w:rsidR="00B811CB">
        <w:rPr>
          <w:rFonts w:ascii="Verdana" w:eastAsia="Times New Roman" w:hAnsi="Verdana" w:cs="Times New Roman"/>
          <w:i/>
          <w:sz w:val="20"/>
          <w:szCs w:val="24"/>
        </w:rPr>
        <w:t xml:space="preserve">supra </w:t>
      </w:r>
      <w:r w:rsidR="00B811CB">
        <w:rPr>
          <w:rFonts w:ascii="Verdana" w:eastAsia="Times New Roman" w:hAnsi="Verdana" w:cs="Times New Roman"/>
          <w:sz w:val="20"/>
          <w:szCs w:val="24"/>
        </w:rPr>
        <w:t>párrs. 295 y 298)</w:t>
      </w:r>
      <w:r w:rsidRPr="00710EAE">
        <w:rPr>
          <w:rFonts w:ascii="Verdana" w:eastAsia="Times New Roman" w:hAnsi="Verdana" w:cs="Times New Roman"/>
          <w:sz w:val="20"/>
          <w:szCs w:val="24"/>
        </w:rPr>
        <w:t xml:space="preserve">, la respuesta, por parte de un tribunal interno, no favorable a las pretensiones de los solicitantes, no es necesariamente violatoria de los artículos 8 y 25 de la Convención. En este caso, el rechazo de la acción declarativa de certeza fue por un motivo procesal, la falta de competencia. Los supuestos en </w:t>
      </w:r>
      <w:r>
        <w:rPr>
          <w:rFonts w:ascii="Verdana" w:eastAsia="Times New Roman" w:hAnsi="Verdana" w:cs="Times New Roman"/>
          <w:sz w:val="20"/>
          <w:szCs w:val="24"/>
        </w:rPr>
        <w:t xml:space="preserve">los </w:t>
      </w:r>
      <w:r w:rsidRPr="00710EAE">
        <w:rPr>
          <w:rFonts w:ascii="Verdana" w:eastAsia="Times New Roman" w:hAnsi="Verdana" w:cs="Times New Roman"/>
          <w:sz w:val="20"/>
          <w:szCs w:val="24"/>
        </w:rPr>
        <w:t xml:space="preserve">que la CSJN sea competente refieren a cuestiones de orden procesal interno, que no corresponde a la Corte Interamericana dirimir. Sentado lo anterior, debe aclararse que el hecho de que la CSJN se declarase incompetente, no muestra, por sí mismo, que no hubiera otros medios judiciales idóneos. Por ende, la Corte Interamericana no puede determinar la responsabilidad del Estado. </w:t>
      </w:r>
    </w:p>
    <w:p w14:paraId="75815F7A" w14:textId="77777777" w:rsidR="0056309D" w:rsidRDefault="0056309D" w:rsidP="0056309D">
      <w:pPr>
        <w:pStyle w:val="Prrafodelista"/>
        <w:spacing w:line="240" w:lineRule="auto"/>
        <w:ind w:left="567"/>
        <w:rPr>
          <w:rFonts w:ascii="Verdana" w:hAnsi="Verdana"/>
          <w:sz w:val="20"/>
          <w:szCs w:val="20"/>
          <w:lang w:val="es-ES"/>
        </w:rPr>
      </w:pPr>
      <w:bookmarkStart w:id="304" w:name="_Toc22224940"/>
      <w:bookmarkStart w:id="305" w:name="_Toc32218883"/>
    </w:p>
    <w:p w14:paraId="7F38CC1E" w14:textId="77777777" w:rsidR="0056309D" w:rsidRPr="00637AF2" w:rsidRDefault="0056309D" w:rsidP="0056309D">
      <w:pPr>
        <w:pStyle w:val="Prrafodelista"/>
        <w:spacing w:line="240" w:lineRule="auto"/>
        <w:ind w:left="567"/>
        <w:outlineLvl w:val="2"/>
        <w:rPr>
          <w:rFonts w:ascii="Verdana" w:hAnsi="Verdana"/>
          <w:b/>
          <w:i/>
          <w:sz w:val="20"/>
          <w:szCs w:val="20"/>
          <w:lang w:val="es-ES"/>
        </w:rPr>
      </w:pPr>
      <w:bookmarkStart w:id="306" w:name="_Toc32227161"/>
      <w:bookmarkStart w:id="307" w:name="_Toc34337589"/>
      <w:r w:rsidRPr="00637AF2">
        <w:rPr>
          <w:rFonts w:ascii="Verdana" w:hAnsi="Verdana"/>
          <w:b/>
          <w:i/>
          <w:sz w:val="20"/>
          <w:szCs w:val="20"/>
          <w:lang w:val="es-ES"/>
        </w:rPr>
        <w:t>B.3. Conclusión</w:t>
      </w:r>
      <w:bookmarkEnd w:id="304"/>
      <w:bookmarkEnd w:id="305"/>
      <w:bookmarkEnd w:id="306"/>
      <w:bookmarkEnd w:id="307"/>
    </w:p>
    <w:p w14:paraId="40FBA464" w14:textId="77777777" w:rsidR="0056309D" w:rsidRPr="00710EAE" w:rsidRDefault="0056309D" w:rsidP="0056309D">
      <w:pPr>
        <w:pStyle w:val="Prrafodelista"/>
        <w:spacing w:line="240" w:lineRule="auto"/>
        <w:rPr>
          <w:rFonts w:ascii="Verdana" w:hAnsi="Verdana"/>
          <w:sz w:val="20"/>
          <w:szCs w:val="20"/>
          <w:lang w:val="es-ES"/>
        </w:rPr>
      </w:pPr>
    </w:p>
    <w:p w14:paraId="10DE7629" w14:textId="77777777" w:rsidR="0056309D" w:rsidRPr="00710EAE"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710EAE">
        <w:rPr>
          <w:rFonts w:ascii="Verdana" w:hAnsi="Verdana"/>
          <w:sz w:val="20"/>
          <w:szCs w:val="20"/>
          <w:lang w:val="es-ES"/>
        </w:rPr>
        <w:t>De acuerdo a lo expuesto sobre las acciones contra el Decreto 461/99 y la Resolución 423/99, la Corte determina que el Estado violó la garantía del plazo razonable. Por consiguiente violó, en perjuicio de las comunidades indígenas habitantes de los lotes 14 y 55</w:t>
      </w:r>
      <w:r>
        <w:rPr>
          <w:rStyle w:val="Refdenotaalpie"/>
          <w:lang w:val="es-ES"/>
        </w:rPr>
        <w:footnoteReference w:id="313"/>
      </w:r>
      <w:r w:rsidRPr="00710EAE">
        <w:rPr>
          <w:rFonts w:ascii="Verdana" w:hAnsi="Verdana"/>
          <w:sz w:val="20"/>
          <w:szCs w:val="20"/>
          <w:lang w:val="es-ES"/>
        </w:rPr>
        <w:t>, el artículo 8.1 de la Convención, en relación con su artículo 1.1.</w:t>
      </w:r>
    </w:p>
    <w:p w14:paraId="4167B09A" w14:textId="77777777" w:rsidR="0056309D" w:rsidRDefault="0056309D" w:rsidP="0056309D">
      <w:pPr>
        <w:pStyle w:val="Prrafodelista"/>
        <w:spacing w:after="0" w:line="240" w:lineRule="auto"/>
        <w:ind w:left="0" w:right="6"/>
        <w:jc w:val="both"/>
        <w:rPr>
          <w:rFonts w:ascii="Verdana" w:hAnsi="Verdana"/>
          <w:sz w:val="20"/>
          <w:szCs w:val="20"/>
          <w:lang w:val="es-ES"/>
        </w:rPr>
      </w:pPr>
    </w:p>
    <w:p w14:paraId="41EED624" w14:textId="77777777" w:rsidR="0056309D" w:rsidRPr="00F90923" w:rsidRDefault="0056309D" w:rsidP="0056309D">
      <w:pPr>
        <w:pStyle w:val="Prrafodelista"/>
        <w:tabs>
          <w:tab w:val="center" w:pos="4416"/>
          <w:tab w:val="left" w:pos="4980"/>
        </w:tabs>
        <w:spacing w:after="0" w:line="240" w:lineRule="auto"/>
        <w:ind w:left="0" w:right="6"/>
        <w:outlineLvl w:val="0"/>
        <w:rPr>
          <w:rFonts w:ascii="Verdana" w:hAnsi="Verdana"/>
          <w:b/>
          <w:sz w:val="20"/>
          <w:szCs w:val="20"/>
          <w:lang w:val="es-ES"/>
        </w:rPr>
      </w:pPr>
      <w:bookmarkStart w:id="308" w:name="_Toc22224941"/>
      <w:bookmarkStart w:id="309" w:name="_Toc32218884"/>
      <w:r>
        <w:rPr>
          <w:rFonts w:ascii="Verdana" w:hAnsi="Verdana"/>
          <w:b/>
          <w:sz w:val="20"/>
          <w:szCs w:val="20"/>
          <w:lang w:val="es-ES"/>
        </w:rPr>
        <w:tab/>
      </w:r>
      <w:bookmarkStart w:id="310" w:name="_Toc32227162"/>
      <w:bookmarkStart w:id="311" w:name="_Toc34337590"/>
      <w:r>
        <w:rPr>
          <w:rFonts w:ascii="Verdana" w:hAnsi="Verdana"/>
          <w:b/>
          <w:sz w:val="20"/>
          <w:szCs w:val="20"/>
          <w:lang w:val="es-ES"/>
        </w:rPr>
        <w:t>VII</w:t>
      </w:r>
      <w:r w:rsidRPr="00F90923">
        <w:rPr>
          <w:rFonts w:ascii="Verdana" w:hAnsi="Verdana"/>
          <w:b/>
          <w:sz w:val="20"/>
          <w:szCs w:val="20"/>
          <w:lang w:val="es-ES"/>
        </w:rPr>
        <w:t>I</w:t>
      </w:r>
      <w:bookmarkEnd w:id="308"/>
      <w:bookmarkEnd w:id="309"/>
      <w:bookmarkEnd w:id="310"/>
      <w:bookmarkEnd w:id="311"/>
      <w:r>
        <w:rPr>
          <w:rFonts w:ascii="Verdana" w:hAnsi="Verdana"/>
          <w:b/>
          <w:sz w:val="20"/>
          <w:szCs w:val="20"/>
          <w:lang w:val="es-ES"/>
        </w:rPr>
        <w:tab/>
      </w:r>
    </w:p>
    <w:p w14:paraId="029A06E3" w14:textId="77777777" w:rsidR="0056309D" w:rsidRPr="00F90923" w:rsidRDefault="0056309D" w:rsidP="0056309D">
      <w:pPr>
        <w:pStyle w:val="Prrafodelista"/>
        <w:spacing w:after="0" w:line="240" w:lineRule="auto"/>
        <w:ind w:left="0" w:right="6"/>
        <w:jc w:val="center"/>
        <w:outlineLvl w:val="0"/>
        <w:rPr>
          <w:rFonts w:ascii="Verdana" w:hAnsi="Verdana"/>
          <w:b/>
          <w:sz w:val="20"/>
          <w:szCs w:val="20"/>
          <w:lang w:val="es-ES"/>
        </w:rPr>
      </w:pPr>
      <w:bookmarkStart w:id="312" w:name="_Toc22224942"/>
      <w:bookmarkStart w:id="313" w:name="_Toc32218885"/>
      <w:bookmarkStart w:id="314" w:name="_Toc32227163"/>
      <w:bookmarkStart w:id="315" w:name="_Toc34337591"/>
      <w:r w:rsidRPr="00F90923">
        <w:rPr>
          <w:rFonts w:ascii="Verdana" w:hAnsi="Verdana"/>
          <w:b/>
          <w:sz w:val="20"/>
          <w:szCs w:val="20"/>
          <w:lang w:val="es-ES"/>
        </w:rPr>
        <w:t>REPARACIONES</w:t>
      </w:r>
      <w:bookmarkEnd w:id="312"/>
      <w:bookmarkEnd w:id="313"/>
      <w:bookmarkEnd w:id="314"/>
      <w:bookmarkEnd w:id="315"/>
    </w:p>
    <w:p w14:paraId="6A06E3D7" w14:textId="77777777" w:rsidR="0056309D" w:rsidRDefault="0056309D" w:rsidP="0056309D">
      <w:pPr>
        <w:pStyle w:val="Prrafodelista"/>
        <w:spacing w:after="0" w:line="240" w:lineRule="auto"/>
        <w:ind w:left="0" w:right="6"/>
        <w:jc w:val="both"/>
        <w:rPr>
          <w:rFonts w:ascii="Verdana" w:eastAsia="Batang" w:hAnsi="Verdana" w:cs="Times"/>
          <w:sz w:val="20"/>
          <w:szCs w:val="20"/>
          <w:lang w:val="es-CR" w:eastAsia="es-CR"/>
        </w:rPr>
      </w:pPr>
    </w:p>
    <w:p w14:paraId="255FA3D9" w14:textId="77777777" w:rsidR="0056309D" w:rsidRPr="00710EAE"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710EAE">
        <w:rPr>
          <w:rFonts w:ascii="Verdana" w:hAnsi="Verdana"/>
          <w:sz w:val="20"/>
        </w:rPr>
        <w:t>Sobre la base de lo dispuesto en el artículo 63.1 de la Convención Americana, la Corte ha indicado que toda violación de una obligación internacional que haya producido daño comporta el deber de repararlo adecuadamente, y que esa disposición recoge una norma consuetudinaria que constituye uno de los principios fundamentales del derecho internacional contemporáneo sobre responsabilidad de un Estado</w:t>
      </w:r>
      <w:r w:rsidRPr="00B26CD7">
        <w:rPr>
          <w:rStyle w:val="Refdenotaalpie"/>
          <w:rFonts w:ascii="Verdana" w:hAnsi="Verdana"/>
          <w:sz w:val="20"/>
        </w:rPr>
        <w:footnoteReference w:id="314"/>
      </w:r>
      <w:r w:rsidRPr="00710EAE">
        <w:rPr>
          <w:rFonts w:ascii="Verdana" w:hAnsi="Verdana"/>
          <w:sz w:val="20"/>
        </w:rPr>
        <w:t xml:space="preserve">. </w:t>
      </w:r>
    </w:p>
    <w:p w14:paraId="611D8629" w14:textId="77777777" w:rsidR="0056309D" w:rsidRDefault="0056309D" w:rsidP="0056309D">
      <w:pPr>
        <w:pStyle w:val="Prrafodelista"/>
        <w:spacing w:after="0" w:line="240" w:lineRule="auto"/>
        <w:ind w:left="0" w:right="6"/>
        <w:jc w:val="both"/>
        <w:rPr>
          <w:rFonts w:ascii="Verdana" w:eastAsia="Batang" w:hAnsi="Verdana" w:cs="Times"/>
          <w:sz w:val="20"/>
          <w:szCs w:val="20"/>
          <w:lang w:val="es-CR" w:eastAsia="es-CR"/>
        </w:rPr>
      </w:pPr>
    </w:p>
    <w:p w14:paraId="44B0B3ED" w14:textId="780E0594" w:rsidR="0056309D"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710EAE">
        <w:rPr>
          <w:rFonts w:ascii="Verdana" w:hAnsi="Verdana"/>
          <w:sz w:val="20"/>
        </w:rPr>
        <w:lastRenderedPageBreak/>
        <w:t>La reparación del daño ocasionado por la infracción de una obligación internacional requiere, siempre que sea posible, la plena restitución (</w:t>
      </w:r>
      <w:r w:rsidRPr="00710EAE">
        <w:rPr>
          <w:rFonts w:ascii="Verdana" w:hAnsi="Verdana"/>
          <w:i/>
          <w:sz w:val="20"/>
        </w:rPr>
        <w:t>restitutio in integrum</w:t>
      </w:r>
      <w:r w:rsidRPr="00710EAE">
        <w:rPr>
          <w:rFonts w:ascii="Verdana" w:hAnsi="Verdana"/>
          <w:sz w:val="20"/>
        </w:rPr>
        <w:t xml:space="preserve">), que consiste en el restablecimiento de la situación anterior. De no ser esto factible, como ocurre en la mayoría de los casos de violaciones a derechos humanos, el Tribunal determinará medidas para garantizar los derechos conculcados y reparar las consecuencias que las infracciones produjeron. De acuerdo al caso, </w:t>
      </w:r>
      <w:r w:rsidRPr="00710EAE">
        <w:rPr>
          <w:rFonts w:ascii="Verdana" w:hAnsi="Verdana"/>
          <w:sz w:val="20"/>
          <w:szCs w:val="20"/>
        </w:rPr>
        <w:t>la Corte ha considerado la necesidad de otorgar diversas medidas de reparación; las medidas pecuniarias, de restitución, rehabilitación, satisfacción y garantías de no repetición pueden tener especial relevancia</w:t>
      </w:r>
      <w:r>
        <w:rPr>
          <w:rFonts w:ascii="Verdana" w:hAnsi="Verdana"/>
          <w:sz w:val="20"/>
          <w:szCs w:val="20"/>
        </w:rPr>
        <w:t xml:space="preserve"> por </w:t>
      </w:r>
      <w:r w:rsidRPr="00710EAE">
        <w:rPr>
          <w:rFonts w:ascii="Verdana" w:hAnsi="Verdana"/>
          <w:sz w:val="20"/>
          <w:szCs w:val="20"/>
        </w:rPr>
        <w:t xml:space="preserve">los daños ocasionados. </w:t>
      </w:r>
      <w:r w:rsidRPr="00710EAE">
        <w:rPr>
          <w:rFonts w:ascii="Verdana" w:hAnsi="Verdana"/>
          <w:sz w:val="20"/>
        </w:rPr>
        <w:t>Las reparaciones deben tener un nexo causal con los hechos del caso, las violaciones declaradas, los daños acreditados, así como relación con las medidas solicitadas</w:t>
      </w:r>
      <w:r w:rsidRPr="00B26CD7">
        <w:rPr>
          <w:rStyle w:val="Refdenotaalpie"/>
          <w:rFonts w:ascii="Verdana" w:hAnsi="Verdana"/>
          <w:sz w:val="20"/>
        </w:rPr>
        <w:footnoteReference w:id="315"/>
      </w:r>
      <w:r w:rsidR="00DA267D">
        <w:rPr>
          <w:rFonts w:ascii="Verdana" w:hAnsi="Verdana"/>
          <w:sz w:val="20"/>
        </w:rPr>
        <w:t>.</w:t>
      </w:r>
      <w:r w:rsidRPr="00710EAE">
        <w:rPr>
          <w:rFonts w:ascii="Verdana" w:hAnsi="Verdana"/>
          <w:sz w:val="20"/>
        </w:rPr>
        <w:t xml:space="preserve"> </w:t>
      </w:r>
    </w:p>
    <w:p w14:paraId="49F36D8E" w14:textId="77777777" w:rsidR="0056309D" w:rsidRPr="00710EAE" w:rsidRDefault="0056309D" w:rsidP="0056309D">
      <w:pPr>
        <w:pStyle w:val="Prrafodelista"/>
        <w:spacing w:line="240" w:lineRule="auto"/>
        <w:rPr>
          <w:rFonts w:ascii="Verdana" w:hAnsi="Verdana"/>
          <w:sz w:val="20"/>
        </w:rPr>
      </w:pPr>
    </w:p>
    <w:p w14:paraId="1ABEADFD" w14:textId="77777777" w:rsidR="0056309D"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710EAE">
        <w:rPr>
          <w:rFonts w:ascii="Verdana" w:hAnsi="Verdana"/>
          <w:sz w:val="20"/>
        </w:rPr>
        <w:t xml:space="preserve">En consideración de las violaciones declaradas en el capítulo anterior, el Tribunal procederá a analizar las pretensiones presentadas por la Comisión y los representantes de las víctimas, así como los argumentos del Estado. </w:t>
      </w:r>
    </w:p>
    <w:p w14:paraId="5B9F9C56" w14:textId="77777777" w:rsidR="0011221D" w:rsidRDefault="0011221D" w:rsidP="0056309D">
      <w:pPr>
        <w:pStyle w:val="Prrafodelista"/>
        <w:spacing w:line="240" w:lineRule="auto"/>
        <w:rPr>
          <w:rFonts w:ascii="Verdana" w:hAnsi="Verdana"/>
          <w:sz w:val="20"/>
        </w:rPr>
      </w:pPr>
    </w:p>
    <w:p w14:paraId="5BE1BB9B" w14:textId="77777777" w:rsidR="0056309D" w:rsidRPr="00D21870" w:rsidRDefault="0056309D" w:rsidP="0056309D">
      <w:pPr>
        <w:pStyle w:val="Prrafodelista"/>
        <w:numPr>
          <w:ilvl w:val="0"/>
          <w:numId w:val="10"/>
        </w:numPr>
        <w:spacing w:after="0" w:line="240" w:lineRule="auto"/>
        <w:ind w:left="284" w:firstLine="0"/>
        <w:jc w:val="both"/>
        <w:outlineLvl w:val="1"/>
        <w:rPr>
          <w:rFonts w:ascii="Verdana" w:hAnsi="Verdana"/>
          <w:b/>
          <w:i/>
          <w:sz w:val="20"/>
          <w:u w:val="single"/>
        </w:rPr>
      </w:pPr>
      <w:bookmarkStart w:id="316" w:name="_Toc22224944"/>
      <w:bookmarkStart w:id="317" w:name="_Toc32218887"/>
      <w:bookmarkStart w:id="318" w:name="_Toc32227165"/>
      <w:bookmarkStart w:id="319" w:name="_Toc34337592"/>
      <w:r w:rsidRPr="00D21870">
        <w:rPr>
          <w:rFonts w:ascii="Verdana" w:hAnsi="Verdana"/>
          <w:b/>
          <w:i/>
          <w:sz w:val="20"/>
          <w:u w:val="single"/>
        </w:rPr>
        <w:t>Parte Lesionada</w:t>
      </w:r>
      <w:bookmarkEnd w:id="316"/>
      <w:bookmarkEnd w:id="317"/>
      <w:bookmarkEnd w:id="318"/>
      <w:bookmarkEnd w:id="319"/>
    </w:p>
    <w:p w14:paraId="7DE70611" w14:textId="77777777" w:rsidR="0056309D" w:rsidRPr="00710EAE" w:rsidRDefault="0056309D" w:rsidP="0056309D">
      <w:pPr>
        <w:pStyle w:val="Prrafodelista"/>
        <w:spacing w:line="240" w:lineRule="auto"/>
        <w:rPr>
          <w:rFonts w:ascii="Verdana" w:hAnsi="Verdana"/>
          <w:sz w:val="20"/>
        </w:rPr>
      </w:pPr>
    </w:p>
    <w:p w14:paraId="22E0B56F" w14:textId="077140CF" w:rsidR="0056309D" w:rsidRPr="00710EAE"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710EAE">
        <w:rPr>
          <w:rFonts w:ascii="Verdana" w:hAnsi="Verdana"/>
          <w:sz w:val="20"/>
        </w:rPr>
        <w:t>Se considera parte lesionada, en los términos del artículo 63.1 de la Convención, a quien ha sido declarado víctima de la violación de algún derecho reconocido en la misma</w:t>
      </w:r>
      <w:r w:rsidRPr="00B26CD7">
        <w:rPr>
          <w:rStyle w:val="Refdenotaalpie"/>
          <w:rFonts w:ascii="Verdana" w:hAnsi="Verdana"/>
          <w:sz w:val="20"/>
        </w:rPr>
        <w:footnoteReference w:id="316"/>
      </w:r>
      <w:r w:rsidRPr="00710EAE">
        <w:rPr>
          <w:rFonts w:ascii="Verdana" w:hAnsi="Verdana"/>
          <w:sz w:val="20"/>
        </w:rPr>
        <w:t>. Por lo tanto, de conformidad con lo ya expuesto, esta Corte considera como “parte lesionada” a las 132 comunidades indígenas qu</w:t>
      </w:r>
      <w:r w:rsidR="00DA267D">
        <w:rPr>
          <w:rFonts w:ascii="Verdana" w:hAnsi="Verdana"/>
          <w:sz w:val="20"/>
        </w:rPr>
        <w:t>e se identifican en el Anexo V de</w:t>
      </w:r>
      <w:r w:rsidRPr="00710EAE">
        <w:rPr>
          <w:rFonts w:ascii="Verdana" w:hAnsi="Verdana"/>
          <w:sz w:val="20"/>
        </w:rPr>
        <w:t xml:space="preserve"> esta Sentencia, asentadas en el territorio </w:t>
      </w:r>
      <w:r>
        <w:rPr>
          <w:rFonts w:ascii="Verdana" w:hAnsi="Verdana"/>
          <w:sz w:val="20"/>
        </w:rPr>
        <w:t>antes identificado como lotes fiscales</w:t>
      </w:r>
      <w:r w:rsidRPr="00710EAE">
        <w:rPr>
          <w:rFonts w:ascii="Verdana" w:hAnsi="Verdana"/>
          <w:sz w:val="20"/>
        </w:rPr>
        <w:t xml:space="preserve"> 14 y 55</w:t>
      </w:r>
      <w:r>
        <w:rPr>
          <w:rFonts w:ascii="Verdana" w:hAnsi="Verdana"/>
          <w:sz w:val="20"/>
        </w:rPr>
        <w:t xml:space="preserve"> e identificado actualmente como lotes con las matrículas catastrales 175 y 5557</w:t>
      </w:r>
      <w:r w:rsidRPr="00710EAE">
        <w:rPr>
          <w:rFonts w:ascii="Verdana" w:hAnsi="Verdana"/>
          <w:sz w:val="20"/>
        </w:rPr>
        <w:t xml:space="preserve"> del Departamento de Rivadavia, en la Provincia argentina de Salta, en el entendido de que ello abarca a las comunidades que, aumentando o disminuyendo el número total, puedan derivarse de esas 132 por acción del proceso de “fisión-fusión” referido en esta Sentencia (</w:t>
      </w:r>
      <w:r w:rsidRPr="00710EAE">
        <w:rPr>
          <w:rFonts w:ascii="Verdana" w:hAnsi="Verdana"/>
          <w:i/>
          <w:sz w:val="20"/>
        </w:rPr>
        <w:t xml:space="preserve">supra </w:t>
      </w:r>
      <w:r w:rsidRPr="00710EAE">
        <w:rPr>
          <w:rFonts w:ascii="Verdana" w:hAnsi="Verdana"/>
          <w:sz w:val="20"/>
        </w:rPr>
        <w:t>párr</w:t>
      </w:r>
      <w:r>
        <w:rPr>
          <w:rFonts w:ascii="Verdana" w:hAnsi="Verdana"/>
          <w:sz w:val="20"/>
        </w:rPr>
        <w:t>s</w:t>
      </w:r>
      <w:r w:rsidRPr="00710EAE">
        <w:rPr>
          <w:rFonts w:ascii="Verdana" w:hAnsi="Verdana"/>
          <w:sz w:val="20"/>
        </w:rPr>
        <w:t xml:space="preserve">. </w:t>
      </w:r>
      <w:r>
        <w:rPr>
          <w:rFonts w:ascii="Verdana" w:hAnsi="Verdana"/>
          <w:sz w:val="20"/>
        </w:rPr>
        <w:t>33, 35, 50 y 156 y notas a pie de página 2</w:t>
      </w:r>
      <w:r w:rsidR="00872B67">
        <w:rPr>
          <w:rFonts w:ascii="Verdana" w:hAnsi="Verdana"/>
          <w:sz w:val="20"/>
        </w:rPr>
        <w:t>2</w:t>
      </w:r>
      <w:r>
        <w:rPr>
          <w:rFonts w:ascii="Verdana" w:hAnsi="Verdana"/>
          <w:sz w:val="20"/>
        </w:rPr>
        <w:t xml:space="preserve"> y 2</w:t>
      </w:r>
      <w:r w:rsidR="00872B67">
        <w:rPr>
          <w:rFonts w:ascii="Verdana" w:hAnsi="Verdana"/>
          <w:sz w:val="20"/>
        </w:rPr>
        <w:t>3</w:t>
      </w:r>
      <w:r w:rsidRPr="00710EAE">
        <w:rPr>
          <w:rFonts w:ascii="Verdana" w:hAnsi="Verdana"/>
          <w:sz w:val="20"/>
        </w:rPr>
        <w:t>).</w:t>
      </w:r>
    </w:p>
    <w:p w14:paraId="219D3586" w14:textId="77777777" w:rsidR="0056309D" w:rsidRDefault="0056309D" w:rsidP="0056309D">
      <w:pPr>
        <w:pStyle w:val="Prrafodelista"/>
        <w:spacing w:after="0" w:line="240" w:lineRule="auto"/>
        <w:ind w:left="0" w:right="6"/>
        <w:jc w:val="both"/>
        <w:rPr>
          <w:rFonts w:ascii="Verdana" w:hAnsi="Verdana"/>
          <w:sz w:val="20"/>
        </w:rPr>
      </w:pPr>
    </w:p>
    <w:p w14:paraId="271B131F" w14:textId="77777777" w:rsidR="0056309D" w:rsidRPr="00D21870" w:rsidRDefault="0056309D" w:rsidP="0056309D">
      <w:pPr>
        <w:pStyle w:val="Ttulo2"/>
        <w:numPr>
          <w:ilvl w:val="0"/>
          <w:numId w:val="10"/>
        </w:numPr>
        <w:spacing w:before="0" w:line="240" w:lineRule="auto"/>
        <w:ind w:left="284" w:firstLine="0"/>
        <w:jc w:val="both"/>
        <w:rPr>
          <w:rFonts w:ascii="Verdana" w:hAnsi="Verdana"/>
          <w:i/>
          <w:color w:val="auto"/>
          <w:sz w:val="20"/>
          <w:u w:val="single"/>
        </w:rPr>
      </w:pPr>
      <w:bookmarkStart w:id="320" w:name="_Toc22224945"/>
      <w:bookmarkStart w:id="321" w:name="_Toc32218888"/>
      <w:bookmarkStart w:id="322" w:name="_Toc32227166"/>
      <w:bookmarkStart w:id="323" w:name="_Toc34337593"/>
      <w:r w:rsidRPr="00D21870">
        <w:rPr>
          <w:rFonts w:ascii="Verdana" w:hAnsi="Verdana"/>
          <w:i/>
          <w:color w:val="auto"/>
          <w:sz w:val="20"/>
          <w:u w:val="single"/>
        </w:rPr>
        <w:t>Medidas de restitución</w:t>
      </w:r>
      <w:bookmarkEnd w:id="320"/>
      <w:bookmarkEnd w:id="321"/>
      <w:bookmarkEnd w:id="322"/>
      <w:bookmarkEnd w:id="323"/>
      <w:r w:rsidRPr="00D21870">
        <w:rPr>
          <w:rFonts w:ascii="Verdana" w:hAnsi="Verdana"/>
          <w:i/>
          <w:color w:val="auto"/>
          <w:sz w:val="20"/>
          <w:u w:val="single"/>
        </w:rPr>
        <w:t xml:space="preserve"> </w:t>
      </w:r>
    </w:p>
    <w:p w14:paraId="54B96400" w14:textId="77777777" w:rsidR="0056309D" w:rsidRDefault="0056309D" w:rsidP="0056309D">
      <w:pPr>
        <w:pStyle w:val="Prrafodelista"/>
        <w:spacing w:after="0" w:line="240" w:lineRule="auto"/>
        <w:ind w:left="0" w:right="6"/>
        <w:jc w:val="both"/>
        <w:rPr>
          <w:rFonts w:ascii="Verdana" w:eastAsia="Batang" w:hAnsi="Verdana" w:cs="Times"/>
          <w:sz w:val="20"/>
          <w:szCs w:val="20"/>
          <w:lang w:val="es-CR" w:eastAsia="es-CR"/>
        </w:rPr>
      </w:pPr>
    </w:p>
    <w:p w14:paraId="673E48BC" w14:textId="08AB5E34" w:rsidR="0056309D" w:rsidRPr="00710EAE"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710EAE">
        <w:rPr>
          <w:rFonts w:ascii="Verdana" w:hAnsi="Verdana"/>
          <w:sz w:val="20"/>
        </w:rPr>
        <w:t xml:space="preserve">La </w:t>
      </w:r>
      <w:r w:rsidRPr="00710EAE">
        <w:rPr>
          <w:rFonts w:ascii="Verdana" w:hAnsi="Verdana"/>
          <w:b/>
          <w:i/>
          <w:sz w:val="20"/>
        </w:rPr>
        <w:t>Comisión</w:t>
      </w:r>
      <w:r w:rsidRPr="00710EAE">
        <w:rPr>
          <w:rFonts w:ascii="Verdana" w:hAnsi="Verdana"/>
          <w:sz w:val="20"/>
        </w:rPr>
        <w:t xml:space="preserve"> señaló</w:t>
      </w:r>
      <w:r w:rsidR="002847D0">
        <w:rPr>
          <w:rFonts w:ascii="Verdana" w:hAnsi="Verdana"/>
          <w:sz w:val="20"/>
        </w:rPr>
        <w:t>,</w:t>
      </w:r>
      <w:r w:rsidRPr="00710EAE">
        <w:rPr>
          <w:rFonts w:ascii="Verdana" w:hAnsi="Verdana"/>
          <w:sz w:val="20"/>
        </w:rPr>
        <w:t xml:space="preserve"> al someter el caso a la Corte, como medida de reparación pertinente “concluir el proceso</w:t>
      </w:r>
      <w:r w:rsidR="00972539">
        <w:rPr>
          <w:rFonts w:ascii="Verdana" w:hAnsi="Verdana"/>
          <w:sz w:val="20"/>
        </w:rPr>
        <w:t xml:space="preserve"> [que se ha]</w:t>
      </w:r>
      <w:r w:rsidRPr="00710EAE">
        <w:rPr>
          <w:rFonts w:ascii="Verdana" w:hAnsi="Verdana"/>
          <w:sz w:val="20"/>
        </w:rPr>
        <w:t xml:space="preserve"> llevado a cabo” en los lotes 14 y 55. Después especificó que entiende que corresponde que se ordene la </w:t>
      </w:r>
      <w:r w:rsidRPr="00710EAE">
        <w:rPr>
          <w:rFonts w:ascii="Verdana" w:hAnsi="Verdana"/>
          <w:i/>
          <w:sz w:val="20"/>
        </w:rPr>
        <w:t>titulación, delimitación, demarcación</w:t>
      </w:r>
      <w:r w:rsidRPr="00710EAE">
        <w:rPr>
          <w:rFonts w:ascii="Verdana" w:hAnsi="Verdana"/>
          <w:sz w:val="20"/>
        </w:rPr>
        <w:t xml:space="preserve"> y </w:t>
      </w:r>
      <w:r w:rsidRPr="00710EAE">
        <w:rPr>
          <w:rFonts w:ascii="Verdana" w:hAnsi="Verdana"/>
          <w:i/>
          <w:sz w:val="20"/>
        </w:rPr>
        <w:t>saneamiento</w:t>
      </w:r>
      <w:r w:rsidRPr="00710EAE">
        <w:rPr>
          <w:rFonts w:ascii="Verdana" w:hAnsi="Verdana"/>
          <w:sz w:val="20"/>
        </w:rPr>
        <w:t xml:space="preserve"> de la totalidad del territorio indígena. Solicitó también a la Corte que ordene al Estado disponer de los recursos humanos y financieros necesarios para la </w:t>
      </w:r>
      <w:r w:rsidRPr="00710EAE">
        <w:rPr>
          <w:rFonts w:ascii="Verdana" w:hAnsi="Verdana"/>
          <w:i/>
          <w:sz w:val="20"/>
        </w:rPr>
        <w:t>reubicación de las familias criollas</w:t>
      </w:r>
      <w:r w:rsidRPr="00710EAE">
        <w:rPr>
          <w:rFonts w:ascii="Verdana" w:hAnsi="Verdana"/>
          <w:sz w:val="20"/>
        </w:rPr>
        <w:t xml:space="preserve">. Entendió que una fijación concreta de plazos favorecería el cumplimiento de la Sentencia. </w:t>
      </w:r>
    </w:p>
    <w:p w14:paraId="5B795459" w14:textId="77777777" w:rsidR="0056309D" w:rsidRDefault="0056309D" w:rsidP="0056309D">
      <w:pPr>
        <w:pStyle w:val="Prrafodelista"/>
        <w:spacing w:after="0" w:line="240" w:lineRule="auto"/>
        <w:ind w:left="0" w:right="6"/>
        <w:jc w:val="both"/>
        <w:rPr>
          <w:rFonts w:ascii="Verdana" w:eastAsia="Batang" w:hAnsi="Verdana" w:cs="Times"/>
          <w:sz w:val="20"/>
          <w:szCs w:val="20"/>
          <w:lang w:val="es-CR" w:eastAsia="es-CR"/>
        </w:rPr>
      </w:pPr>
    </w:p>
    <w:p w14:paraId="58A5C46E" w14:textId="3149977B" w:rsidR="0056309D" w:rsidRPr="004518BD"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4518BD">
        <w:rPr>
          <w:rFonts w:ascii="Verdana" w:hAnsi="Verdana"/>
          <w:sz w:val="20"/>
          <w:szCs w:val="20"/>
        </w:rPr>
        <w:t xml:space="preserve">Los </w:t>
      </w:r>
      <w:r w:rsidRPr="004518BD">
        <w:rPr>
          <w:rFonts w:ascii="Verdana" w:hAnsi="Verdana"/>
          <w:b/>
          <w:i/>
          <w:sz w:val="20"/>
          <w:szCs w:val="20"/>
        </w:rPr>
        <w:t>representantes</w:t>
      </w:r>
      <w:r w:rsidR="002847D0">
        <w:rPr>
          <w:rFonts w:ascii="Verdana" w:hAnsi="Verdana"/>
          <w:sz w:val="20"/>
          <w:szCs w:val="20"/>
        </w:rPr>
        <w:t xml:space="preserve"> solicitaron</w:t>
      </w:r>
      <w:r w:rsidRPr="004518BD">
        <w:rPr>
          <w:rFonts w:ascii="Verdana" w:hAnsi="Verdana"/>
          <w:sz w:val="20"/>
          <w:szCs w:val="20"/>
        </w:rPr>
        <w:t xml:space="preserve"> que se ordene al Estado: a) en un plazo no mayor a seis meses, i) la </w:t>
      </w:r>
      <w:r w:rsidRPr="004518BD">
        <w:rPr>
          <w:rFonts w:ascii="Verdana" w:hAnsi="Verdana"/>
          <w:i/>
          <w:sz w:val="20"/>
          <w:szCs w:val="20"/>
        </w:rPr>
        <w:t>titulación, delimitación y demarcación</w:t>
      </w:r>
      <w:r w:rsidRPr="004518BD">
        <w:rPr>
          <w:rFonts w:ascii="Verdana" w:hAnsi="Verdana"/>
          <w:sz w:val="20"/>
          <w:szCs w:val="20"/>
        </w:rPr>
        <w:t xml:space="preserve"> de 400.000 ha reclamadas dentro de los lotes 14 y 55 en un solo título colectivo a nombre de todas las comunidades indígenas habitantes de dichos lotes; ii) </w:t>
      </w:r>
      <w:r w:rsidRPr="004518BD">
        <w:rPr>
          <w:rFonts w:ascii="Verdana" w:hAnsi="Verdana" w:cs="Arial Narrow"/>
          <w:sz w:val="20"/>
          <w:szCs w:val="20"/>
        </w:rPr>
        <w:t xml:space="preserve">la erradicación de la totalidad de los </w:t>
      </w:r>
      <w:r w:rsidRPr="004518BD">
        <w:rPr>
          <w:rFonts w:ascii="Verdana" w:hAnsi="Verdana" w:cs="Arial Narrow"/>
          <w:i/>
          <w:sz w:val="20"/>
          <w:szCs w:val="20"/>
        </w:rPr>
        <w:t>alambrados</w:t>
      </w:r>
      <w:r w:rsidRPr="004518BD">
        <w:rPr>
          <w:rFonts w:ascii="Verdana" w:hAnsi="Verdana" w:cs="Arial Narrow"/>
          <w:sz w:val="20"/>
          <w:szCs w:val="20"/>
        </w:rPr>
        <w:t xml:space="preserve"> y que se tomen las medidas necesarias para prevenir el levantamiento de nuevos cercos, inclusive la confección e implementación, en consulta con las comunidades, de un </w:t>
      </w:r>
      <w:r w:rsidRPr="004518BD">
        <w:rPr>
          <w:rFonts w:ascii="Verdana" w:hAnsi="Verdana" w:cs="Arial Narrow"/>
          <w:sz w:val="20"/>
          <w:szCs w:val="20"/>
        </w:rPr>
        <w:lastRenderedPageBreak/>
        <w:t xml:space="preserve">protocolo de acción estatal al efecto; iii) garantizar, </w:t>
      </w:r>
      <w:r w:rsidRPr="004518BD">
        <w:rPr>
          <w:rFonts w:ascii="Verdana" w:hAnsi="Verdana"/>
          <w:sz w:val="20"/>
          <w:szCs w:val="20"/>
        </w:rPr>
        <w:t xml:space="preserve">de modo adecuado, suficiente, accesible y permanente, la </w:t>
      </w:r>
      <w:r w:rsidRPr="004518BD">
        <w:rPr>
          <w:rFonts w:ascii="Verdana" w:hAnsi="Verdana"/>
          <w:i/>
          <w:sz w:val="20"/>
          <w:szCs w:val="20"/>
        </w:rPr>
        <w:t>provisión de agua</w:t>
      </w:r>
      <w:r w:rsidRPr="004518BD">
        <w:rPr>
          <w:rFonts w:ascii="Verdana" w:hAnsi="Verdana"/>
          <w:sz w:val="20"/>
          <w:szCs w:val="20"/>
        </w:rPr>
        <w:t xml:space="preserve"> apta para consumo humano a las comunidades indígenas, </w:t>
      </w:r>
      <w:r w:rsidRPr="004518BD">
        <w:rPr>
          <w:rFonts w:ascii="Verdana" w:hAnsi="Verdana" w:cs="Arial Narrow"/>
          <w:sz w:val="20"/>
          <w:szCs w:val="20"/>
        </w:rPr>
        <w:t xml:space="preserve">y iv) detener la </w:t>
      </w:r>
      <w:r w:rsidRPr="004518BD">
        <w:rPr>
          <w:rFonts w:ascii="Verdana" w:hAnsi="Verdana" w:cs="Arial Narrow"/>
          <w:i/>
          <w:sz w:val="20"/>
          <w:szCs w:val="20"/>
        </w:rPr>
        <w:t>tala ilegal</w:t>
      </w:r>
      <w:r w:rsidRPr="004518BD">
        <w:rPr>
          <w:rFonts w:ascii="Verdana" w:hAnsi="Verdana" w:cs="Arial Narrow"/>
          <w:sz w:val="20"/>
          <w:szCs w:val="20"/>
        </w:rPr>
        <w:t xml:space="preserve"> de madera en el territorio indígena y, para esto, </w:t>
      </w:r>
      <w:r w:rsidRPr="004518BD">
        <w:rPr>
          <w:rFonts w:ascii="Verdana" w:hAnsi="Verdana"/>
          <w:sz w:val="20"/>
          <w:szCs w:val="20"/>
        </w:rPr>
        <w:t xml:space="preserve">“[c]rear una dependencia estatal, con presencia permanente de policía con competencia ambiental[, y c]rear un modelo de control de deforestación en la zona”; y b) en un plazo no mayor a dos años, concretar </w:t>
      </w:r>
      <w:r w:rsidRPr="004518BD">
        <w:rPr>
          <w:rFonts w:ascii="Verdana" w:hAnsi="Verdana" w:cs="Arial Narrow"/>
          <w:sz w:val="20"/>
          <w:szCs w:val="20"/>
        </w:rPr>
        <w:t xml:space="preserve">el </w:t>
      </w:r>
      <w:r w:rsidRPr="004518BD">
        <w:rPr>
          <w:rFonts w:ascii="Verdana" w:hAnsi="Verdana" w:cs="Arial Narrow"/>
          <w:i/>
          <w:sz w:val="20"/>
          <w:szCs w:val="20"/>
        </w:rPr>
        <w:t>traslado de la totalidad de la población criolla</w:t>
      </w:r>
      <w:r w:rsidRPr="004518BD">
        <w:rPr>
          <w:rFonts w:ascii="Verdana" w:hAnsi="Verdana" w:cs="Arial Narrow"/>
          <w:sz w:val="20"/>
          <w:szCs w:val="20"/>
        </w:rPr>
        <w:t>, así como de todo su ganado</w:t>
      </w:r>
      <w:r w:rsidRPr="00B26CD7">
        <w:rPr>
          <w:rStyle w:val="Refdenotaalpie"/>
          <w:rFonts w:ascii="Verdana" w:hAnsi="Verdana"/>
          <w:sz w:val="20"/>
        </w:rPr>
        <w:footnoteReference w:id="317"/>
      </w:r>
      <w:r w:rsidRPr="004518BD">
        <w:rPr>
          <w:rFonts w:ascii="Verdana" w:hAnsi="Verdana" w:cs="Arial Narrow"/>
          <w:sz w:val="20"/>
          <w:szCs w:val="20"/>
        </w:rPr>
        <w:t xml:space="preserve">. Entendieron que deben instituirse medios legales para “restituir” la “posesión y propiedad” indígenas en casos de falta de acuerdos con pobladores criollos. </w:t>
      </w:r>
    </w:p>
    <w:p w14:paraId="6A6D9197" w14:textId="77777777" w:rsidR="0056309D" w:rsidRPr="004518BD" w:rsidRDefault="0056309D" w:rsidP="0056309D">
      <w:pPr>
        <w:pStyle w:val="Prrafodelista"/>
        <w:spacing w:after="0" w:line="240" w:lineRule="auto"/>
        <w:ind w:left="0" w:right="6"/>
        <w:jc w:val="both"/>
        <w:rPr>
          <w:rFonts w:ascii="Verdana" w:eastAsia="Batang" w:hAnsi="Verdana" w:cs="Times"/>
          <w:sz w:val="20"/>
          <w:szCs w:val="20"/>
          <w:lang w:val="es-CR" w:eastAsia="es-CR"/>
        </w:rPr>
      </w:pPr>
    </w:p>
    <w:p w14:paraId="087741B3" w14:textId="62C07A99" w:rsidR="0056309D"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710EAE">
        <w:rPr>
          <w:rFonts w:ascii="Verdana" w:hAnsi="Verdana"/>
          <w:sz w:val="20"/>
          <w:szCs w:val="20"/>
        </w:rPr>
        <w:t xml:space="preserve">También </w:t>
      </w:r>
      <w:r w:rsidR="002847D0">
        <w:rPr>
          <w:rFonts w:ascii="Verdana" w:hAnsi="Verdana"/>
          <w:sz w:val="20"/>
          <w:szCs w:val="20"/>
        </w:rPr>
        <w:t>consideraron necesario</w:t>
      </w:r>
      <w:r w:rsidRPr="00710EAE">
        <w:rPr>
          <w:rFonts w:ascii="Verdana" w:hAnsi="Verdana"/>
          <w:sz w:val="20"/>
          <w:szCs w:val="20"/>
        </w:rPr>
        <w:t xml:space="preserve"> que se “prohib[a]” al Estado emprender “cualquier </w:t>
      </w:r>
      <w:r w:rsidRPr="00710EAE">
        <w:rPr>
          <w:rFonts w:ascii="Verdana" w:hAnsi="Verdana"/>
          <w:i/>
          <w:sz w:val="20"/>
          <w:szCs w:val="20"/>
        </w:rPr>
        <w:t>proyecto en el territorio</w:t>
      </w:r>
      <w:r w:rsidRPr="00710EAE">
        <w:rPr>
          <w:rFonts w:ascii="Verdana" w:hAnsi="Verdana"/>
          <w:sz w:val="20"/>
          <w:szCs w:val="20"/>
        </w:rPr>
        <w:t>” indígena</w:t>
      </w:r>
      <w:r w:rsidR="002847D0">
        <w:rPr>
          <w:rFonts w:ascii="Verdana" w:hAnsi="Verdana"/>
          <w:sz w:val="20"/>
          <w:szCs w:val="20"/>
        </w:rPr>
        <w:t>,</w:t>
      </w:r>
      <w:r w:rsidRPr="00710EAE">
        <w:rPr>
          <w:rFonts w:ascii="Verdana" w:hAnsi="Verdana"/>
          <w:sz w:val="20"/>
          <w:szCs w:val="20"/>
        </w:rPr>
        <w:t xml:space="preserve"> sin antes “cumplir cabalmente con los estándares” del sistema Interamericano. </w:t>
      </w:r>
    </w:p>
    <w:p w14:paraId="62201C75" w14:textId="77777777" w:rsidR="0056309D" w:rsidRPr="00710EAE" w:rsidRDefault="0056309D" w:rsidP="0056309D">
      <w:pPr>
        <w:pStyle w:val="Prrafodelista"/>
        <w:spacing w:line="240" w:lineRule="auto"/>
        <w:rPr>
          <w:rFonts w:ascii="Verdana" w:hAnsi="Verdana"/>
          <w:sz w:val="20"/>
          <w:szCs w:val="20"/>
        </w:rPr>
      </w:pPr>
    </w:p>
    <w:p w14:paraId="04F0A9B2" w14:textId="77777777" w:rsidR="0056309D"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710EAE">
        <w:rPr>
          <w:rFonts w:ascii="Verdana" w:hAnsi="Verdana"/>
          <w:sz w:val="20"/>
          <w:szCs w:val="20"/>
        </w:rPr>
        <w:t xml:space="preserve">Los representantes solicitaron que se “ordene al Estado realizar informes bimestrales respeto al avance de las medidas de restitución, incluyendo su presentación en una matriz de indicadores”.  </w:t>
      </w:r>
    </w:p>
    <w:p w14:paraId="1FAAC870" w14:textId="77777777" w:rsidR="0056309D" w:rsidRPr="00710EAE" w:rsidRDefault="0056309D" w:rsidP="0056309D">
      <w:pPr>
        <w:pStyle w:val="Prrafodelista"/>
        <w:spacing w:line="240" w:lineRule="auto"/>
        <w:rPr>
          <w:rFonts w:ascii="Verdana" w:hAnsi="Verdana" w:cs="Arial Narrow"/>
          <w:sz w:val="20"/>
          <w:szCs w:val="20"/>
        </w:rPr>
      </w:pPr>
    </w:p>
    <w:p w14:paraId="75D8420F" w14:textId="7F3AFEA2" w:rsidR="0056309D" w:rsidRPr="00710EAE"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710EAE">
        <w:rPr>
          <w:rFonts w:ascii="Verdana" w:hAnsi="Verdana" w:cs="Arial Narrow"/>
          <w:sz w:val="20"/>
          <w:szCs w:val="20"/>
        </w:rPr>
        <w:t xml:space="preserve">Los </w:t>
      </w:r>
      <w:r w:rsidRPr="00710EAE">
        <w:rPr>
          <w:rFonts w:ascii="Verdana" w:hAnsi="Verdana"/>
          <w:sz w:val="20"/>
          <w:szCs w:val="20"/>
        </w:rPr>
        <w:t xml:space="preserve">representantes solicitaron también la </w:t>
      </w:r>
      <w:r w:rsidRPr="00710EAE">
        <w:rPr>
          <w:rFonts w:ascii="Verdana" w:hAnsi="Verdana"/>
          <w:i/>
          <w:sz w:val="20"/>
          <w:szCs w:val="20"/>
        </w:rPr>
        <w:t>creación de un fondo de desarrollo comunitario,</w:t>
      </w:r>
      <w:r w:rsidRPr="00710EAE">
        <w:rPr>
          <w:rFonts w:ascii="Verdana" w:hAnsi="Verdana"/>
          <w:sz w:val="20"/>
          <w:szCs w:val="20"/>
        </w:rPr>
        <w:t xml:space="preserve"> destinado a las comunidades indígenas habitante</w:t>
      </w:r>
      <w:r w:rsidR="00972539">
        <w:rPr>
          <w:rFonts w:ascii="Verdana" w:hAnsi="Verdana"/>
          <w:sz w:val="20"/>
          <w:szCs w:val="20"/>
        </w:rPr>
        <w:t xml:space="preserve">s de los ex lotes fiscales </w:t>
      </w:r>
      <w:r w:rsidRPr="00710EAE">
        <w:rPr>
          <w:rFonts w:ascii="Verdana" w:hAnsi="Verdana"/>
          <w:sz w:val="20"/>
          <w:szCs w:val="20"/>
        </w:rPr>
        <w:t>14</w:t>
      </w:r>
      <w:r w:rsidR="00972539">
        <w:rPr>
          <w:rFonts w:ascii="Verdana" w:hAnsi="Verdana"/>
          <w:sz w:val="20"/>
          <w:szCs w:val="20"/>
        </w:rPr>
        <w:t xml:space="preserve"> y 55</w:t>
      </w:r>
      <w:r w:rsidRPr="00710EAE">
        <w:rPr>
          <w:rFonts w:ascii="Verdana" w:hAnsi="Verdana"/>
          <w:sz w:val="20"/>
          <w:szCs w:val="20"/>
        </w:rPr>
        <w:t>. Alegaron la pertinencia del mismo, dado el deterioro de los recursos naturales por la presencia de alambrados y ganado en el territorio, y por la tala ilegal, que, según adu</w:t>
      </w:r>
      <w:r>
        <w:rPr>
          <w:rFonts w:ascii="Verdana" w:hAnsi="Verdana"/>
          <w:sz w:val="20"/>
          <w:szCs w:val="20"/>
        </w:rPr>
        <w:t>jeron</w:t>
      </w:r>
      <w:r w:rsidRPr="00710EAE">
        <w:rPr>
          <w:rFonts w:ascii="Verdana" w:hAnsi="Verdana"/>
          <w:sz w:val="20"/>
          <w:szCs w:val="20"/>
        </w:rPr>
        <w:t>, ha provocado un fuerte impacto ambiental y ha menoscabado la alimentación e identidad cultural de las comunidades. Consideraron que la utilización del fondo “sería una gran oportunidad para implementar programas en relación a educación, salud, seguridad alimentaria, técnicas de cultivo, sobre la historia de las tradiciones de las comunidades, talleres de gestión territorial, material de difusión sobre el proceso de reivindicación territorial, entre muchos otros usos posibles”. Los representantes expresaron su “comprom[iso]” de presentar “información concreta” sobre el destino que puede darse a los fondos “en el plazo de dos meses luego de dicta[da] la sentencia”. Solicitaron que este Tribun</w:t>
      </w:r>
      <w:r w:rsidR="002847D0">
        <w:rPr>
          <w:rFonts w:ascii="Verdana" w:hAnsi="Verdana"/>
          <w:sz w:val="20"/>
          <w:szCs w:val="20"/>
        </w:rPr>
        <w:t>al determine el monto del fondo y</w:t>
      </w:r>
      <w:r>
        <w:rPr>
          <w:rFonts w:ascii="Verdana" w:hAnsi="Verdana"/>
          <w:sz w:val="20"/>
          <w:szCs w:val="20"/>
        </w:rPr>
        <w:t xml:space="preserve"> que se implemente un C</w:t>
      </w:r>
      <w:r w:rsidRPr="00710EAE">
        <w:rPr>
          <w:rFonts w:ascii="Verdana" w:hAnsi="Verdana"/>
          <w:sz w:val="20"/>
          <w:szCs w:val="20"/>
        </w:rPr>
        <w:t xml:space="preserve">omité para su administración, con representación estatal, académica y de Lhaka Honhat. </w:t>
      </w:r>
    </w:p>
    <w:p w14:paraId="046B1D55" w14:textId="77777777" w:rsidR="0056309D" w:rsidRDefault="0056309D" w:rsidP="0056309D">
      <w:pPr>
        <w:pStyle w:val="Prrafodelista"/>
        <w:spacing w:after="0" w:line="240" w:lineRule="auto"/>
        <w:ind w:left="0" w:right="6"/>
        <w:jc w:val="both"/>
        <w:rPr>
          <w:rFonts w:ascii="Verdana" w:eastAsia="Batang" w:hAnsi="Verdana" w:cs="Times"/>
          <w:sz w:val="20"/>
          <w:szCs w:val="20"/>
          <w:lang w:val="es-CR" w:eastAsia="es-CR"/>
        </w:rPr>
      </w:pPr>
    </w:p>
    <w:p w14:paraId="1C50FE4D" w14:textId="64EB833F" w:rsidR="0056309D" w:rsidRPr="00710EAE"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710EAE">
        <w:rPr>
          <w:rFonts w:ascii="Verdana" w:hAnsi="Verdana"/>
          <w:sz w:val="20"/>
        </w:rPr>
        <w:t xml:space="preserve">El </w:t>
      </w:r>
      <w:r w:rsidRPr="00710EAE">
        <w:rPr>
          <w:rFonts w:ascii="Verdana" w:hAnsi="Verdana"/>
          <w:b/>
          <w:i/>
          <w:sz w:val="20"/>
        </w:rPr>
        <w:t>Estado</w:t>
      </w:r>
      <w:r w:rsidRPr="00710EAE">
        <w:rPr>
          <w:rFonts w:ascii="Verdana" w:hAnsi="Verdana"/>
          <w:sz w:val="20"/>
        </w:rPr>
        <w:t xml:space="preserve"> manifestó que “el plazo de </w:t>
      </w:r>
      <w:r>
        <w:rPr>
          <w:rFonts w:ascii="Verdana" w:hAnsi="Verdana"/>
          <w:sz w:val="20"/>
        </w:rPr>
        <w:t>[seis]</w:t>
      </w:r>
      <w:r w:rsidRPr="00710EAE">
        <w:rPr>
          <w:rFonts w:ascii="Verdana" w:hAnsi="Verdana"/>
          <w:sz w:val="20"/>
        </w:rPr>
        <w:t xml:space="preserve"> meses” para la</w:t>
      </w:r>
      <w:r w:rsidRPr="00710EAE">
        <w:rPr>
          <w:rFonts w:ascii="Verdana" w:hAnsi="Verdana"/>
          <w:i/>
          <w:sz w:val="20"/>
        </w:rPr>
        <w:t xml:space="preserve"> titulación, delimitación y demarcación</w:t>
      </w:r>
      <w:r w:rsidRPr="00710EAE">
        <w:rPr>
          <w:rFonts w:ascii="Verdana" w:hAnsi="Verdana"/>
          <w:sz w:val="20"/>
        </w:rPr>
        <w:t xml:space="preserve"> es muy exiguo ya que lo que más demora son los acuerdos entre las familias criollas y las comunidades, y que esto no depende solo de la voluntad del Estado. Estimó que requiere hasta un año para la demarcación del territorio, hasta 18 meses para la realización de mensuras</w:t>
      </w:r>
      <w:r w:rsidRPr="00B26CD7">
        <w:rPr>
          <w:rStyle w:val="Refdenotaalpie"/>
          <w:rFonts w:ascii="Verdana" w:hAnsi="Verdana"/>
          <w:sz w:val="20"/>
        </w:rPr>
        <w:footnoteReference w:id="318"/>
      </w:r>
      <w:r w:rsidRPr="00710EAE">
        <w:rPr>
          <w:rFonts w:ascii="Verdana" w:hAnsi="Verdana"/>
          <w:sz w:val="20"/>
        </w:rPr>
        <w:t>, y hasta dos años para “la entrega del título definitivo”.</w:t>
      </w:r>
      <w:r>
        <w:rPr>
          <w:rFonts w:ascii="Verdana" w:hAnsi="Verdana"/>
          <w:sz w:val="20"/>
        </w:rPr>
        <w:t xml:space="preserve"> </w:t>
      </w:r>
      <w:r w:rsidRPr="00710EAE">
        <w:rPr>
          <w:rFonts w:ascii="Verdana" w:hAnsi="Verdana"/>
          <w:sz w:val="20"/>
        </w:rPr>
        <w:t xml:space="preserve">Pese a lo anterior, Argentina indicó también que es condición para la “demarcación, delimitación y titulación” el </w:t>
      </w:r>
      <w:r w:rsidRPr="00710EAE">
        <w:rPr>
          <w:rFonts w:ascii="Verdana" w:hAnsi="Verdana"/>
          <w:i/>
          <w:sz w:val="20"/>
        </w:rPr>
        <w:t>traslado de familias criollas y su ganado</w:t>
      </w:r>
      <w:r w:rsidRPr="00710EAE">
        <w:rPr>
          <w:rFonts w:ascii="Verdana" w:hAnsi="Verdana"/>
          <w:sz w:val="20"/>
        </w:rPr>
        <w:t xml:space="preserve">, para </w:t>
      </w:r>
      <w:r w:rsidRPr="00710EAE">
        <w:rPr>
          <w:rFonts w:ascii="Verdana" w:hAnsi="Verdana"/>
          <w:sz w:val="20"/>
        </w:rPr>
        <w:lastRenderedPageBreak/>
        <w:t xml:space="preserve">lo que requiere un plazo estimado de </w:t>
      </w:r>
      <w:r>
        <w:rPr>
          <w:rFonts w:ascii="Verdana" w:hAnsi="Verdana"/>
          <w:sz w:val="20"/>
        </w:rPr>
        <w:t xml:space="preserve">ocho </w:t>
      </w:r>
      <w:r w:rsidRPr="00710EAE">
        <w:rPr>
          <w:rFonts w:ascii="Verdana" w:hAnsi="Verdana"/>
          <w:sz w:val="20"/>
        </w:rPr>
        <w:t>años, dadas las diversas acciones y obras que es necesario realizar</w:t>
      </w:r>
      <w:r w:rsidRPr="00B26CD7">
        <w:rPr>
          <w:rStyle w:val="Refdenotaalpie"/>
          <w:rFonts w:ascii="Verdana" w:hAnsi="Verdana"/>
          <w:sz w:val="20"/>
        </w:rPr>
        <w:footnoteReference w:id="319"/>
      </w:r>
      <w:r w:rsidRPr="00710EAE">
        <w:rPr>
          <w:rFonts w:ascii="Verdana" w:hAnsi="Verdana"/>
          <w:sz w:val="20"/>
          <w:szCs w:val="20"/>
        </w:rPr>
        <w:t xml:space="preserve">. Argentina entendió “incongruente” las solicitudes </w:t>
      </w:r>
      <w:r>
        <w:rPr>
          <w:rFonts w:ascii="Verdana" w:hAnsi="Verdana"/>
          <w:sz w:val="20"/>
          <w:szCs w:val="20"/>
        </w:rPr>
        <w:t xml:space="preserve">de </w:t>
      </w:r>
      <w:r w:rsidRPr="00710EAE">
        <w:rPr>
          <w:rFonts w:ascii="Verdana" w:hAnsi="Verdana"/>
          <w:sz w:val="20"/>
          <w:szCs w:val="20"/>
        </w:rPr>
        <w:t>que</w:t>
      </w:r>
      <w:r>
        <w:rPr>
          <w:rFonts w:ascii="Verdana" w:hAnsi="Verdana"/>
          <w:sz w:val="20"/>
          <w:szCs w:val="20"/>
        </w:rPr>
        <w:t xml:space="preserve"> se</w:t>
      </w:r>
      <w:r w:rsidRPr="00710EAE">
        <w:rPr>
          <w:rFonts w:ascii="Verdana" w:hAnsi="Verdana"/>
          <w:sz w:val="20"/>
          <w:szCs w:val="20"/>
        </w:rPr>
        <w:t xml:space="preserve"> fijen plazos de seis meses y de dos años, respectivamente, para la delimitación, demarcación y titulación del territorio y para la reubicación de familias criollas. Resaltó la importancia de que, para este último fin, “se insista en el proceso de acuerdo entre partes (indígenas y criollos)”. Solicitó que “se tome[n] en cuenta los plazos propuestos en el plan integral” presentado a la Comisión (</w:t>
      </w:r>
      <w:r w:rsidRPr="00710EAE">
        <w:rPr>
          <w:rFonts w:ascii="Verdana" w:hAnsi="Verdana"/>
          <w:i/>
          <w:sz w:val="20"/>
          <w:szCs w:val="20"/>
        </w:rPr>
        <w:t>supra</w:t>
      </w:r>
      <w:r w:rsidRPr="00710EAE">
        <w:rPr>
          <w:rFonts w:ascii="Verdana" w:hAnsi="Verdana"/>
          <w:sz w:val="20"/>
          <w:szCs w:val="20"/>
        </w:rPr>
        <w:t xml:space="preserve"> párr. </w:t>
      </w:r>
      <w:r>
        <w:rPr>
          <w:rFonts w:ascii="Verdana" w:hAnsi="Verdana"/>
          <w:sz w:val="20"/>
          <w:szCs w:val="20"/>
        </w:rPr>
        <w:t>85</w:t>
      </w:r>
      <w:r w:rsidRPr="00710EAE">
        <w:rPr>
          <w:rFonts w:ascii="Verdana" w:hAnsi="Verdana"/>
          <w:sz w:val="20"/>
          <w:szCs w:val="20"/>
        </w:rPr>
        <w:t xml:space="preserve">), que </w:t>
      </w:r>
      <w:r>
        <w:rPr>
          <w:rFonts w:ascii="Verdana" w:hAnsi="Verdana"/>
          <w:sz w:val="20"/>
          <w:szCs w:val="20"/>
        </w:rPr>
        <w:t>coinciden</w:t>
      </w:r>
      <w:r w:rsidRPr="00710EAE">
        <w:rPr>
          <w:rFonts w:ascii="Verdana" w:hAnsi="Verdana"/>
          <w:sz w:val="20"/>
          <w:szCs w:val="20"/>
        </w:rPr>
        <w:t xml:space="preserve"> con los expresados.</w:t>
      </w:r>
      <w:r w:rsidRPr="00710EAE">
        <w:rPr>
          <w:rFonts w:ascii="Verdana" w:hAnsi="Verdana"/>
          <w:b/>
          <w:sz w:val="20"/>
          <w:szCs w:val="20"/>
        </w:rPr>
        <w:t xml:space="preserve"> </w:t>
      </w:r>
    </w:p>
    <w:p w14:paraId="6A38A131" w14:textId="77777777" w:rsidR="0056309D" w:rsidRDefault="0056309D" w:rsidP="0056309D">
      <w:pPr>
        <w:pStyle w:val="Prrafodelista"/>
        <w:spacing w:after="0" w:line="240" w:lineRule="auto"/>
        <w:ind w:left="0" w:right="6"/>
        <w:jc w:val="both"/>
        <w:rPr>
          <w:rFonts w:ascii="Verdana" w:eastAsia="Batang" w:hAnsi="Verdana" w:cs="Times"/>
          <w:sz w:val="20"/>
          <w:szCs w:val="20"/>
          <w:lang w:val="es-CR" w:eastAsia="es-CR"/>
        </w:rPr>
      </w:pPr>
    </w:p>
    <w:p w14:paraId="198CD11C" w14:textId="77777777" w:rsidR="0056309D"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710EAE">
        <w:rPr>
          <w:rFonts w:ascii="Verdana" w:hAnsi="Verdana"/>
          <w:sz w:val="20"/>
          <w:szCs w:val="20"/>
        </w:rPr>
        <w:t xml:space="preserve">Por otra parte, el Estado afirmó que los </w:t>
      </w:r>
      <w:r w:rsidRPr="00710EAE">
        <w:rPr>
          <w:rFonts w:ascii="Verdana" w:hAnsi="Verdana"/>
          <w:i/>
          <w:sz w:val="20"/>
          <w:szCs w:val="20"/>
        </w:rPr>
        <w:t>alambrados</w:t>
      </w:r>
      <w:r w:rsidRPr="00710EAE">
        <w:rPr>
          <w:rFonts w:ascii="Verdana" w:hAnsi="Verdana"/>
          <w:sz w:val="20"/>
          <w:szCs w:val="20"/>
        </w:rPr>
        <w:t xml:space="preserve"> de las familias criollas serán removidos “a medida que las familias efectivicen su relocalización”</w:t>
      </w:r>
      <w:r w:rsidRPr="00B26CD7">
        <w:rPr>
          <w:rStyle w:val="Refdenotaalpie"/>
          <w:rFonts w:ascii="Verdana" w:hAnsi="Verdana"/>
          <w:sz w:val="20"/>
        </w:rPr>
        <w:footnoteReference w:id="320"/>
      </w:r>
      <w:r w:rsidRPr="00710EAE">
        <w:rPr>
          <w:rFonts w:ascii="Verdana" w:hAnsi="Verdana"/>
          <w:sz w:val="20"/>
          <w:szCs w:val="20"/>
        </w:rPr>
        <w:t xml:space="preserve">. Argentina manifestó también </w:t>
      </w:r>
      <w:r>
        <w:rPr>
          <w:rFonts w:ascii="Verdana" w:hAnsi="Verdana"/>
          <w:sz w:val="20"/>
          <w:szCs w:val="20"/>
        </w:rPr>
        <w:t xml:space="preserve">que </w:t>
      </w:r>
      <w:r w:rsidRPr="00710EAE">
        <w:rPr>
          <w:rFonts w:ascii="Verdana" w:hAnsi="Verdana"/>
          <w:sz w:val="20"/>
          <w:szCs w:val="20"/>
        </w:rPr>
        <w:t xml:space="preserve">se encuentra demostrada la construcción de pozos y la elevación de tanques de </w:t>
      </w:r>
      <w:r w:rsidRPr="00710EAE">
        <w:rPr>
          <w:rFonts w:ascii="Verdana" w:hAnsi="Verdana"/>
          <w:i/>
          <w:sz w:val="20"/>
          <w:szCs w:val="20"/>
        </w:rPr>
        <w:t>agua</w:t>
      </w:r>
      <w:r w:rsidRPr="005D602C">
        <w:rPr>
          <w:rFonts w:ascii="Verdana" w:hAnsi="Verdana"/>
          <w:sz w:val="20"/>
          <w:szCs w:val="20"/>
        </w:rPr>
        <w:t>.</w:t>
      </w:r>
      <w:r w:rsidRPr="00710EAE">
        <w:rPr>
          <w:rFonts w:ascii="Verdana" w:hAnsi="Verdana"/>
          <w:sz w:val="20"/>
          <w:szCs w:val="20"/>
        </w:rPr>
        <w:t xml:space="preserve"> Respecto a la </w:t>
      </w:r>
      <w:r w:rsidRPr="00710EAE">
        <w:rPr>
          <w:rFonts w:ascii="Verdana" w:hAnsi="Verdana"/>
          <w:i/>
          <w:sz w:val="20"/>
          <w:szCs w:val="20"/>
        </w:rPr>
        <w:t>tala ilegal</w:t>
      </w:r>
      <w:r w:rsidRPr="00710EAE">
        <w:rPr>
          <w:rFonts w:ascii="Verdana" w:hAnsi="Verdana"/>
          <w:sz w:val="20"/>
          <w:szCs w:val="20"/>
        </w:rPr>
        <w:t xml:space="preserve">, afirmó que ya cuenta con los organismos correspondientes para prevenirla. </w:t>
      </w:r>
    </w:p>
    <w:p w14:paraId="4A3EDFC3" w14:textId="77777777" w:rsidR="0056309D" w:rsidRPr="00710EAE" w:rsidRDefault="0056309D" w:rsidP="0056309D">
      <w:pPr>
        <w:pStyle w:val="Prrafodelista"/>
        <w:spacing w:line="240" w:lineRule="auto"/>
        <w:rPr>
          <w:rFonts w:ascii="Verdana" w:hAnsi="Verdana"/>
          <w:sz w:val="20"/>
          <w:szCs w:val="20"/>
        </w:rPr>
      </w:pPr>
    </w:p>
    <w:p w14:paraId="691B0558" w14:textId="77777777" w:rsidR="0056309D"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710EAE">
        <w:rPr>
          <w:rFonts w:ascii="Verdana" w:hAnsi="Verdana"/>
          <w:sz w:val="20"/>
          <w:szCs w:val="20"/>
        </w:rPr>
        <w:t xml:space="preserve">En cuanto a posibles futuros </w:t>
      </w:r>
      <w:r w:rsidRPr="00710EAE">
        <w:rPr>
          <w:rFonts w:ascii="Verdana" w:hAnsi="Verdana"/>
          <w:i/>
          <w:sz w:val="20"/>
          <w:szCs w:val="20"/>
        </w:rPr>
        <w:t>proyectos en el territorio</w:t>
      </w:r>
      <w:r w:rsidRPr="00710EAE">
        <w:rPr>
          <w:rFonts w:ascii="Verdana" w:hAnsi="Verdana"/>
          <w:sz w:val="20"/>
          <w:szCs w:val="20"/>
        </w:rPr>
        <w:t xml:space="preserve">, Argentina recordó que está pendiente que las comunidades den su parecer respecto a un protocolo de consulta que el Estado les había remitido. </w:t>
      </w:r>
    </w:p>
    <w:p w14:paraId="4CA8E213" w14:textId="77777777" w:rsidR="0056309D" w:rsidRPr="00710EAE" w:rsidRDefault="0056309D" w:rsidP="0056309D">
      <w:pPr>
        <w:pStyle w:val="Prrafodelista"/>
        <w:spacing w:line="240" w:lineRule="auto"/>
        <w:rPr>
          <w:rFonts w:ascii="Verdana" w:hAnsi="Verdana"/>
          <w:sz w:val="20"/>
          <w:szCs w:val="20"/>
        </w:rPr>
      </w:pPr>
    </w:p>
    <w:p w14:paraId="05F5DC55" w14:textId="2B2D2503" w:rsidR="0056309D"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Pr>
          <w:rFonts w:ascii="Verdana" w:hAnsi="Verdana"/>
          <w:sz w:val="20"/>
          <w:szCs w:val="20"/>
        </w:rPr>
        <w:t>Sobre</w:t>
      </w:r>
      <w:r w:rsidRPr="00710EAE">
        <w:rPr>
          <w:rFonts w:ascii="Verdana" w:hAnsi="Verdana"/>
          <w:sz w:val="20"/>
          <w:szCs w:val="20"/>
        </w:rPr>
        <w:t xml:space="preserve"> la solicitud de un fondo de desarrollo comunitario, el Estado alegó que se ha demostrado que la Provincia de Salta y el Estado Nacional han destinado permanentemente sus recursos económicos y humanos con la finalidad de mejorar el acceso a la educación, salud, seguridad e infraestructura de las comunidades que habitan la zona. Señaló que los re</w:t>
      </w:r>
      <w:r w:rsidR="002847D0">
        <w:rPr>
          <w:rFonts w:ascii="Verdana" w:hAnsi="Verdana"/>
          <w:sz w:val="20"/>
          <w:szCs w:val="20"/>
        </w:rPr>
        <w:t>presentantes no determinaron cuá</w:t>
      </w:r>
      <w:r w:rsidRPr="00710EAE">
        <w:rPr>
          <w:rFonts w:ascii="Verdana" w:hAnsi="Verdana"/>
          <w:sz w:val="20"/>
          <w:szCs w:val="20"/>
        </w:rPr>
        <w:t>l era la finalidad del fondo</w:t>
      </w:r>
      <w:r w:rsidR="002847D0">
        <w:rPr>
          <w:rFonts w:ascii="Verdana" w:hAnsi="Verdana"/>
          <w:sz w:val="20"/>
          <w:szCs w:val="20"/>
        </w:rPr>
        <w:t xml:space="preserve"> solicitado</w:t>
      </w:r>
      <w:r w:rsidRPr="00710EAE">
        <w:rPr>
          <w:rFonts w:ascii="Verdana" w:hAnsi="Verdana"/>
          <w:sz w:val="20"/>
          <w:szCs w:val="20"/>
        </w:rPr>
        <w:t xml:space="preserve">. </w:t>
      </w:r>
    </w:p>
    <w:p w14:paraId="44124BCC" w14:textId="77777777" w:rsidR="0056309D" w:rsidRPr="00710EAE" w:rsidRDefault="0056309D" w:rsidP="0056309D">
      <w:pPr>
        <w:pStyle w:val="Prrafodelista"/>
        <w:spacing w:line="240" w:lineRule="auto"/>
        <w:rPr>
          <w:rFonts w:ascii="Verdana" w:hAnsi="Verdana"/>
          <w:sz w:val="20"/>
          <w:szCs w:val="20"/>
        </w:rPr>
      </w:pPr>
    </w:p>
    <w:p w14:paraId="0CF29D51" w14:textId="77777777" w:rsidR="0056309D"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710EAE">
        <w:rPr>
          <w:rFonts w:ascii="Verdana" w:hAnsi="Verdana"/>
          <w:sz w:val="20"/>
          <w:szCs w:val="20"/>
        </w:rPr>
        <w:t xml:space="preserve">La </w:t>
      </w:r>
      <w:r w:rsidRPr="00710EAE">
        <w:rPr>
          <w:rFonts w:ascii="Verdana" w:hAnsi="Verdana"/>
          <w:b/>
          <w:i/>
          <w:sz w:val="20"/>
          <w:szCs w:val="20"/>
        </w:rPr>
        <w:t>Corte</w:t>
      </w:r>
      <w:r w:rsidRPr="00710EAE">
        <w:rPr>
          <w:rFonts w:ascii="Verdana" w:hAnsi="Verdana"/>
          <w:sz w:val="20"/>
          <w:szCs w:val="20"/>
        </w:rPr>
        <w:t xml:space="preserve"> ha declarado que Argentina violó el derecho a la propiedad de las comunidades indígenas habitantes de los lotes 14 y 55. El Estado no ha actuado en forma adecuada para garantizar el derecho de propiedad y, además, ha llevado a cabo actividades sobre el territorio sin el previo proceso de consulta correspondiente. Por ende, es pertinente que este Tribunal ordene medidas de restitución d</w:t>
      </w:r>
      <w:r>
        <w:rPr>
          <w:rFonts w:ascii="Verdana" w:hAnsi="Verdana"/>
          <w:sz w:val="20"/>
          <w:szCs w:val="20"/>
        </w:rPr>
        <w:t xml:space="preserve">el derecho de propiedad, como así también de otros derechos lesionados. </w:t>
      </w:r>
      <w:r w:rsidRPr="00710EAE">
        <w:rPr>
          <w:rFonts w:ascii="Verdana" w:hAnsi="Verdana"/>
          <w:sz w:val="20"/>
          <w:szCs w:val="20"/>
        </w:rPr>
        <w:t xml:space="preserve"> </w:t>
      </w:r>
    </w:p>
    <w:p w14:paraId="5289D57C" w14:textId="77777777" w:rsidR="0056309D" w:rsidRPr="007653EB" w:rsidRDefault="0056309D" w:rsidP="0056309D">
      <w:pPr>
        <w:pStyle w:val="Prrafodelista"/>
        <w:spacing w:line="240" w:lineRule="auto"/>
        <w:rPr>
          <w:rFonts w:ascii="Verdana" w:hAnsi="Verdana" w:cs="Tahoma"/>
          <w:sz w:val="20"/>
          <w:szCs w:val="20"/>
          <w:lang w:val="es-CR"/>
        </w:rPr>
      </w:pPr>
    </w:p>
    <w:p w14:paraId="0CCFE492" w14:textId="77777777" w:rsidR="0056309D"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710EAE">
        <w:rPr>
          <w:rFonts w:ascii="Verdana" w:hAnsi="Verdana" w:cs="Tahoma"/>
          <w:sz w:val="20"/>
          <w:szCs w:val="20"/>
        </w:rPr>
        <w:t xml:space="preserve">La Corte considera necesario expresar que, a fin de ordenar las medidas de reparación procedentes, tiene en consideración las características particulares del caso. Ello, en cuanto a la gran extensión territorial que abarca, así como el elevado número de personas, tanto indígenas como criollas, que habitan el lugar. En ese marco, tiene en cuenta la complejidad del caso respecto a las acciones estatales que deben llevarse a cabo para reparar las violaciones vinculadas a la propiedad, así como el impacto de las mismas en los distintos grupos humanos que habitan la zona. </w:t>
      </w:r>
    </w:p>
    <w:p w14:paraId="1E806572" w14:textId="77777777" w:rsidR="0056309D" w:rsidRPr="00710EAE" w:rsidRDefault="0056309D" w:rsidP="0056309D">
      <w:pPr>
        <w:pStyle w:val="Prrafodelista"/>
        <w:spacing w:line="240" w:lineRule="auto"/>
        <w:rPr>
          <w:rFonts w:ascii="Verdana" w:hAnsi="Verdana"/>
          <w:sz w:val="20"/>
          <w:szCs w:val="20"/>
        </w:rPr>
      </w:pPr>
    </w:p>
    <w:p w14:paraId="3EC086ED" w14:textId="08ED1AB4" w:rsidR="0056309D"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710EAE">
        <w:rPr>
          <w:rFonts w:ascii="Verdana" w:hAnsi="Verdana"/>
          <w:sz w:val="20"/>
          <w:szCs w:val="20"/>
        </w:rPr>
        <w:lastRenderedPageBreak/>
        <w:t>La Corte</w:t>
      </w:r>
      <w:r>
        <w:rPr>
          <w:rFonts w:ascii="Verdana" w:hAnsi="Verdana"/>
          <w:sz w:val="20"/>
          <w:szCs w:val="20"/>
        </w:rPr>
        <w:t>:</w:t>
      </w:r>
      <w:r w:rsidRPr="00710EAE">
        <w:rPr>
          <w:rFonts w:ascii="Verdana" w:hAnsi="Verdana"/>
          <w:sz w:val="20"/>
          <w:szCs w:val="20"/>
        </w:rPr>
        <w:t xml:space="preserve"> a) indicará primero el plazo para el cumplimiento de las medidas de restitución; b) luego se referirá a dichas medidas</w:t>
      </w:r>
      <w:r w:rsidR="00E53F86">
        <w:rPr>
          <w:rFonts w:ascii="Verdana" w:hAnsi="Verdana"/>
          <w:sz w:val="20"/>
          <w:szCs w:val="20"/>
        </w:rPr>
        <w:t>, respecto al derecho de propiedad y respecto de los derechos al medio ambiente sano, a la alimentación, al agua y a la identidad cultural</w:t>
      </w:r>
      <w:r w:rsidRPr="00710EAE">
        <w:rPr>
          <w:rFonts w:ascii="Verdana" w:hAnsi="Verdana"/>
          <w:sz w:val="20"/>
          <w:szCs w:val="20"/>
        </w:rPr>
        <w:t>, y c) por último</w:t>
      </w:r>
      <w:r>
        <w:rPr>
          <w:rFonts w:ascii="Verdana" w:hAnsi="Verdana"/>
          <w:sz w:val="20"/>
          <w:szCs w:val="20"/>
        </w:rPr>
        <w:t>,</w:t>
      </w:r>
      <w:r w:rsidRPr="00710EAE">
        <w:rPr>
          <w:rFonts w:ascii="Verdana" w:hAnsi="Verdana"/>
          <w:sz w:val="20"/>
          <w:szCs w:val="20"/>
        </w:rPr>
        <w:t xml:space="preserve"> hará consideraciones sobre el deber estatal de informar sobre el cumplimiento de medidas de restitución</w:t>
      </w:r>
      <w:r w:rsidR="00E53F86">
        <w:rPr>
          <w:rFonts w:ascii="Verdana" w:hAnsi="Verdana"/>
          <w:sz w:val="20"/>
          <w:szCs w:val="20"/>
        </w:rPr>
        <w:t xml:space="preserve"> y acciones para su supervisión</w:t>
      </w:r>
      <w:r>
        <w:rPr>
          <w:rFonts w:ascii="Verdana" w:hAnsi="Verdana"/>
          <w:sz w:val="20"/>
          <w:szCs w:val="20"/>
        </w:rPr>
        <w:t>.</w:t>
      </w:r>
    </w:p>
    <w:p w14:paraId="7B051AFE" w14:textId="77777777" w:rsidR="0056309D" w:rsidRDefault="0056309D" w:rsidP="0056309D">
      <w:pPr>
        <w:pStyle w:val="Prrafodelista"/>
        <w:spacing w:line="240" w:lineRule="auto"/>
        <w:rPr>
          <w:rFonts w:ascii="Verdana" w:hAnsi="Verdana"/>
          <w:sz w:val="20"/>
          <w:szCs w:val="20"/>
        </w:rPr>
      </w:pPr>
    </w:p>
    <w:p w14:paraId="0DE98DDE" w14:textId="77777777" w:rsidR="0056309D" w:rsidRPr="00CA3B08" w:rsidRDefault="0056309D" w:rsidP="0056309D">
      <w:pPr>
        <w:pStyle w:val="Prrafodelista"/>
        <w:spacing w:after="0" w:line="240" w:lineRule="auto"/>
        <w:ind w:left="567"/>
        <w:jc w:val="both"/>
        <w:outlineLvl w:val="2"/>
        <w:rPr>
          <w:rFonts w:ascii="Verdana" w:hAnsi="Verdana"/>
          <w:b/>
          <w:i/>
          <w:sz w:val="20"/>
          <w:szCs w:val="20"/>
        </w:rPr>
      </w:pPr>
      <w:bookmarkStart w:id="324" w:name="_Toc22224946"/>
      <w:bookmarkStart w:id="325" w:name="_Toc32218889"/>
      <w:bookmarkStart w:id="326" w:name="_Toc32227167"/>
      <w:bookmarkStart w:id="327" w:name="_Toc34337594"/>
      <w:r w:rsidRPr="00CA3B08">
        <w:rPr>
          <w:rFonts w:ascii="Verdana" w:hAnsi="Verdana"/>
          <w:b/>
          <w:i/>
          <w:sz w:val="20"/>
          <w:szCs w:val="20"/>
        </w:rPr>
        <w:t>B.1 Plazo para el cumplimiento de las medias de restitución ordenadas</w:t>
      </w:r>
      <w:bookmarkEnd w:id="324"/>
      <w:bookmarkEnd w:id="325"/>
      <w:bookmarkEnd w:id="326"/>
      <w:bookmarkEnd w:id="327"/>
    </w:p>
    <w:p w14:paraId="53F44069" w14:textId="77777777" w:rsidR="0056309D" w:rsidRPr="00710EAE" w:rsidRDefault="0056309D" w:rsidP="0056309D">
      <w:pPr>
        <w:pStyle w:val="Prrafodelista"/>
        <w:spacing w:line="240" w:lineRule="auto"/>
        <w:rPr>
          <w:rFonts w:ascii="Verdana" w:hAnsi="Verdana"/>
          <w:sz w:val="20"/>
          <w:szCs w:val="20"/>
        </w:rPr>
      </w:pPr>
    </w:p>
    <w:p w14:paraId="5C57CFEA" w14:textId="7DF8B795" w:rsidR="0056309D" w:rsidRPr="00710EAE"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710EAE">
        <w:rPr>
          <w:rFonts w:ascii="Verdana" w:hAnsi="Verdana"/>
          <w:sz w:val="20"/>
          <w:szCs w:val="20"/>
        </w:rPr>
        <w:t>De los argumentos de las partes surge que existe controversia en cuanto a los plazos necesarios para llevar a cabo las acciones correspondientes, por lo que entiende relevante pronunciarse al respecto. Mientras los representantes solicitan que las distintas acciones se realicen, según el caso, en dos años o menos, el Estado sostiene que requiere de ocho años para completar todo el proceso</w:t>
      </w:r>
      <w:r w:rsidR="0055043D">
        <w:rPr>
          <w:rFonts w:ascii="Verdana" w:hAnsi="Verdana"/>
          <w:sz w:val="20"/>
          <w:szCs w:val="20"/>
        </w:rPr>
        <w:t xml:space="preserve"> (</w:t>
      </w:r>
      <w:r w:rsidR="0055043D">
        <w:rPr>
          <w:rFonts w:ascii="Verdana" w:hAnsi="Verdana"/>
          <w:i/>
          <w:sz w:val="20"/>
          <w:szCs w:val="20"/>
        </w:rPr>
        <w:t xml:space="preserve">supra </w:t>
      </w:r>
      <w:r w:rsidR="0055043D">
        <w:rPr>
          <w:rFonts w:ascii="Verdana" w:hAnsi="Verdana"/>
          <w:sz w:val="20"/>
          <w:szCs w:val="20"/>
        </w:rPr>
        <w:t>párrs. 311 y 315)</w:t>
      </w:r>
      <w:r w:rsidRPr="00710EAE">
        <w:rPr>
          <w:rFonts w:ascii="Verdana" w:hAnsi="Verdana"/>
          <w:sz w:val="20"/>
          <w:szCs w:val="20"/>
        </w:rPr>
        <w:t xml:space="preserve">. </w:t>
      </w:r>
    </w:p>
    <w:p w14:paraId="2FD020B2" w14:textId="77777777" w:rsidR="0056309D" w:rsidRDefault="0056309D" w:rsidP="0056309D">
      <w:pPr>
        <w:pStyle w:val="Prrafodelista"/>
        <w:spacing w:after="0" w:line="240" w:lineRule="auto"/>
        <w:ind w:left="0" w:right="6"/>
        <w:jc w:val="both"/>
        <w:rPr>
          <w:rFonts w:ascii="Verdana" w:eastAsia="Batang" w:hAnsi="Verdana" w:cs="Times"/>
          <w:sz w:val="20"/>
          <w:szCs w:val="20"/>
          <w:lang w:val="es-CR" w:eastAsia="es-CR"/>
        </w:rPr>
      </w:pPr>
    </w:p>
    <w:p w14:paraId="5E831A97" w14:textId="5028528D" w:rsidR="0056309D"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710EAE">
        <w:rPr>
          <w:rFonts w:ascii="Verdana" w:hAnsi="Verdana"/>
          <w:sz w:val="20"/>
          <w:szCs w:val="20"/>
        </w:rPr>
        <w:t>La Corte entiende que el caso reviste un alto nivel de complejidad (</w:t>
      </w:r>
      <w:r w:rsidRPr="00710EAE">
        <w:rPr>
          <w:rFonts w:ascii="Verdana" w:hAnsi="Verdana"/>
          <w:i/>
          <w:sz w:val="20"/>
          <w:szCs w:val="20"/>
        </w:rPr>
        <w:t xml:space="preserve">supra </w:t>
      </w:r>
      <w:r w:rsidRPr="00710EAE">
        <w:rPr>
          <w:rFonts w:ascii="Verdana" w:hAnsi="Verdana"/>
          <w:sz w:val="20"/>
          <w:szCs w:val="20"/>
        </w:rPr>
        <w:t xml:space="preserve">párrs. </w:t>
      </w:r>
      <w:r w:rsidR="00DB2FD9">
        <w:rPr>
          <w:rFonts w:ascii="Verdana" w:hAnsi="Verdana"/>
          <w:sz w:val="20"/>
          <w:szCs w:val="20"/>
        </w:rPr>
        <w:t xml:space="preserve">90, 139, </w:t>
      </w:r>
      <w:r>
        <w:rPr>
          <w:rFonts w:ascii="Verdana" w:hAnsi="Verdana"/>
          <w:sz w:val="20"/>
          <w:szCs w:val="20"/>
        </w:rPr>
        <w:t>147</w:t>
      </w:r>
      <w:r w:rsidR="00DB2FD9">
        <w:rPr>
          <w:rFonts w:ascii="Verdana" w:hAnsi="Verdana"/>
          <w:sz w:val="20"/>
          <w:szCs w:val="20"/>
        </w:rPr>
        <w:t xml:space="preserve"> y 320,</w:t>
      </w:r>
      <w:r>
        <w:rPr>
          <w:rFonts w:ascii="Verdana" w:hAnsi="Verdana"/>
          <w:sz w:val="20"/>
          <w:szCs w:val="20"/>
        </w:rPr>
        <w:t xml:space="preserve"> y </w:t>
      </w:r>
      <w:r w:rsidRPr="00872B67">
        <w:rPr>
          <w:rFonts w:ascii="Verdana" w:hAnsi="Verdana"/>
          <w:sz w:val="20"/>
          <w:szCs w:val="20"/>
        </w:rPr>
        <w:t>nota a pie de página 1</w:t>
      </w:r>
      <w:r w:rsidR="00872B67" w:rsidRPr="00872B67">
        <w:rPr>
          <w:rFonts w:ascii="Verdana" w:hAnsi="Verdana"/>
          <w:sz w:val="20"/>
          <w:szCs w:val="20"/>
        </w:rPr>
        <w:t>30</w:t>
      </w:r>
      <w:r w:rsidRPr="00710EAE">
        <w:rPr>
          <w:rFonts w:ascii="Verdana" w:hAnsi="Verdana"/>
          <w:sz w:val="20"/>
          <w:szCs w:val="20"/>
        </w:rPr>
        <w:t xml:space="preserve">) y valora </w:t>
      </w:r>
      <w:r w:rsidR="002847D0">
        <w:rPr>
          <w:rFonts w:ascii="Verdana" w:hAnsi="Verdana"/>
          <w:sz w:val="20"/>
          <w:szCs w:val="20"/>
        </w:rPr>
        <w:t xml:space="preserve">las </w:t>
      </w:r>
      <w:r w:rsidRPr="00710EAE">
        <w:rPr>
          <w:rFonts w:ascii="Verdana" w:hAnsi="Verdana"/>
          <w:sz w:val="20"/>
          <w:szCs w:val="20"/>
        </w:rPr>
        <w:t>acciones realizadas por el Estado hasta ahora, que han implicado erogaciones presupuestarias y la actuación de diversas entidades gubernamentales. El plazo total de ocho años indicado por Argentina fue señalado en un documento estatal fechado el 24 de noviembre de 2017</w:t>
      </w:r>
      <w:r w:rsidR="0055043D">
        <w:rPr>
          <w:rFonts w:ascii="Verdana" w:hAnsi="Verdana"/>
          <w:sz w:val="20"/>
          <w:szCs w:val="20"/>
        </w:rPr>
        <w:t xml:space="preserve"> (</w:t>
      </w:r>
      <w:r w:rsidR="0055043D">
        <w:rPr>
          <w:rFonts w:ascii="Verdana" w:hAnsi="Verdana"/>
          <w:i/>
          <w:sz w:val="20"/>
          <w:szCs w:val="20"/>
        </w:rPr>
        <w:t xml:space="preserve">supra </w:t>
      </w:r>
      <w:r w:rsidR="0055043D">
        <w:rPr>
          <w:rFonts w:ascii="Verdana" w:hAnsi="Verdana"/>
          <w:sz w:val="20"/>
          <w:szCs w:val="20"/>
        </w:rPr>
        <w:t>nota a pie de página 87)</w:t>
      </w:r>
      <w:r w:rsidRPr="00710EAE">
        <w:rPr>
          <w:rFonts w:ascii="Verdana" w:hAnsi="Verdana"/>
          <w:sz w:val="20"/>
          <w:szCs w:val="20"/>
        </w:rPr>
        <w:t xml:space="preserve">. </w:t>
      </w:r>
    </w:p>
    <w:p w14:paraId="669FE919" w14:textId="77777777" w:rsidR="0056309D" w:rsidRPr="00710EAE" w:rsidRDefault="0056309D" w:rsidP="0056309D">
      <w:pPr>
        <w:pStyle w:val="Prrafodelista"/>
        <w:spacing w:line="240" w:lineRule="auto"/>
        <w:rPr>
          <w:rFonts w:ascii="Verdana" w:hAnsi="Verdana"/>
          <w:sz w:val="20"/>
          <w:szCs w:val="20"/>
        </w:rPr>
      </w:pPr>
    </w:p>
    <w:p w14:paraId="1FBE408C" w14:textId="77777777" w:rsidR="0056309D"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710EAE">
        <w:rPr>
          <w:rFonts w:ascii="Verdana" w:hAnsi="Verdana"/>
          <w:sz w:val="20"/>
          <w:szCs w:val="20"/>
        </w:rPr>
        <w:t xml:space="preserve">Este Tribunal entiende que corresponde fijar un plazo que tenga en cuenta la obligación del Estado de restituir a las víctimas en el goce de sus derechos, pero que resulte apto para que ello materialmente sea factible. </w:t>
      </w:r>
    </w:p>
    <w:p w14:paraId="60BEF3E1" w14:textId="77777777" w:rsidR="0056309D" w:rsidRPr="00710EAE" w:rsidRDefault="0056309D" w:rsidP="0056309D">
      <w:pPr>
        <w:pStyle w:val="Prrafodelista"/>
        <w:spacing w:line="240" w:lineRule="auto"/>
        <w:rPr>
          <w:rFonts w:ascii="Verdana" w:hAnsi="Verdana"/>
          <w:sz w:val="20"/>
          <w:szCs w:val="20"/>
        </w:rPr>
      </w:pPr>
    </w:p>
    <w:p w14:paraId="189EE159" w14:textId="77777777" w:rsidR="0056309D"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710EAE">
        <w:rPr>
          <w:rFonts w:ascii="Verdana" w:hAnsi="Verdana"/>
          <w:sz w:val="20"/>
          <w:szCs w:val="20"/>
        </w:rPr>
        <w:t>A partir de todo lo antes expuesto, la Corte ordena que cada una de las medidas de restitución que se establecen a continuación sea realizada por el Estado en un plazo máximo de seis años</w:t>
      </w:r>
      <w:r>
        <w:rPr>
          <w:rFonts w:ascii="Verdana" w:hAnsi="Verdana"/>
          <w:sz w:val="20"/>
          <w:szCs w:val="20"/>
        </w:rPr>
        <w:t xml:space="preserve"> a partir de la notificación de la presente Sentencia</w:t>
      </w:r>
      <w:r w:rsidRPr="00710EAE">
        <w:rPr>
          <w:rFonts w:ascii="Verdana" w:hAnsi="Verdana"/>
          <w:sz w:val="20"/>
          <w:szCs w:val="20"/>
        </w:rPr>
        <w:t xml:space="preserve">, debiendo el Estado comenzar en forma inmediata, a partir de </w:t>
      </w:r>
      <w:r>
        <w:rPr>
          <w:rFonts w:ascii="Verdana" w:hAnsi="Verdana"/>
          <w:sz w:val="20"/>
          <w:szCs w:val="20"/>
        </w:rPr>
        <w:t>dicha</w:t>
      </w:r>
      <w:r w:rsidRPr="00710EAE">
        <w:rPr>
          <w:rFonts w:ascii="Verdana" w:hAnsi="Verdana"/>
          <w:sz w:val="20"/>
          <w:szCs w:val="20"/>
        </w:rPr>
        <w:t xml:space="preserve"> notificación, las acciones correspondientes para su implementación, la que debe llevar a cabo con la mayor celeridad posible, sin perjuicio del tiempo máximo indicado y de las precisiones y plazos específicos que se detallan más adelante.</w:t>
      </w:r>
    </w:p>
    <w:p w14:paraId="2237C84F" w14:textId="77777777" w:rsidR="0056309D" w:rsidRDefault="0056309D" w:rsidP="0056309D">
      <w:pPr>
        <w:pStyle w:val="Prrafodelista"/>
        <w:spacing w:line="240" w:lineRule="auto"/>
        <w:rPr>
          <w:rFonts w:ascii="Verdana" w:hAnsi="Verdana"/>
          <w:sz w:val="20"/>
          <w:szCs w:val="20"/>
        </w:rPr>
      </w:pPr>
    </w:p>
    <w:p w14:paraId="510C4249" w14:textId="77777777" w:rsidR="0056309D" w:rsidRPr="00CA3B08" w:rsidRDefault="0056309D" w:rsidP="0056309D">
      <w:pPr>
        <w:pStyle w:val="Prrafodelista"/>
        <w:spacing w:after="0" w:line="240" w:lineRule="auto"/>
        <w:ind w:left="567"/>
        <w:jc w:val="both"/>
        <w:outlineLvl w:val="2"/>
        <w:rPr>
          <w:rFonts w:ascii="Verdana" w:hAnsi="Verdana"/>
          <w:b/>
          <w:i/>
          <w:sz w:val="20"/>
          <w:szCs w:val="20"/>
        </w:rPr>
      </w:pPr>
      <w:bookmarkStart w:id="328" w:name="_Toc22224947"/>
      <w:bookmarkStart w:id="329" w:name="_Toc32218890"/>
      <w:bookmarkStart w:id="330" w:name="_Toc32227168"/>
      <w:bookmarkStart w:id="331" w:name="_Toc34337595"/>
      <w:r w:rsidRPr="00CA3B08">
        <w:rPr>
          <w:rFonts w:ascii="Verdana" w:hAnsi="Verdana"/>
          <w:b/>
          <w:i/>
          <w:sz w:val="20"/>
          <w:szCs w:val="20"/>
        </w:rPr>
        <w:t>B.2 Medidas para la restitución del derecho de propiedad</w:t>
      </w:r>
      <w:bookmarkEnd w:id="328"/>
      <w:bookmarkEnd w:id="329"/>
      <w:bookmarkEnd w:id="330"/>
      <w:bookmarkEnd w:id="331"/>
    </w:p>
    <w:p w14:paraId="5E57BE37" w14:textId="77777777" w:rsidR="0056309D" w:rsidRDefault="0056309D" w:rsidP="0056309D">
      <w:pPr>
        <w:pStyle w:val="Prrafodelista"/>
        <w:spacing w:after="0" w:line="240" w:lineRule="auto"/>
        <w:ind w:left="0"/>
        <w:jc w:val="both"/>
        <w:rPr>
          <w:rFonts w:ascii="Verdana" w:hAnsi="Verdana"/>
          <w:sz w:val="20"/>
          <w:szCs w:val="20"/>
        </w:rPr>
      </w:pPr>
    </w:p>
    <w:p w14:paraId="672919B2" w14:textId="77777777" w:rsidR="0056309D" w:rsidRPr="00190177" w:rsidRDefault="0056309D" w:rsidP="0056309D">
      <w:pPr>
        <w:pStyle w:val="Prrafodelista"/>
        <w:spacing w:after="0" w:line="240" w:lineRule="auto"/>
        <w:ind w:left="851"/>
        <w:jc w:val="both"/>
        <w:outlineLvl w:val="3"/>
        <w:rPr>
          <w:rFonts w:ascii="Verdana" w:hAnsi="Verdana"/>
          <w:i/>
          <w:sz w:val="20"/>
          <w:szCs w:val="20"/>
        </w:rPr>
      </w:pPr>
      <w:bookmarkStart w:id="332" w:name="_Toc32218891"/>
      <w:bookmarkStart w:id="333" w:name="_Toc32227169"/>
      <w:bookmarkStart w:id="334" w:name="_Toc34337596"/>
      <w:r w:rsidRPr="00190177">
        <w:rPr>
          <w:rFonts w:ascii="Verdana" w:hAnsi="Verdana"/>
          <w:i/>
          <w:sz w:val="20"/>
          <w:szCs w:val="20"/>
        </w:rPr>
        <w:t xml:space="preserve">B.2.1 </w:t>
      </w:r>
      <w:r w:rsidRPr="00CA3B08">
        <w:rPr>
          <w:rFonts w:ascii="Verdana" w:hAnsi="Verdana"/>
          <w:i/>
          <w:sz w:val="20"/>
          <w:szCs w:val="20"/>
          <w:u w:val="single"/>
        </w:rPr>
        <w:t>Delimitación, demarcación y titulación</w:t>
      </w:r>
      <w:bookmarkEnd w:id="332"/>
      <w:bookmarkEnd w:id="333"/>
      <w:bookmarkEnd w:id="334"/>
    </w:p>
    <w:p w14:paraId="2ECBBA13" w14:textId="77777777" w:rsidR="0056309D" w:rsidRPr="00710EAE" w:rsidRDefault="0056309D" w:rsidP="0056309D">
      <w:pPr>
        <w:pStyle w:val="Prrafodelista"/>
        <w:spacing w:line="240" w:lineRule="auto"/>
        <w:rPr>
          <w:rFonts w:ascii="Verdana" w:hAnsi="Verdana"/>
          <w:sz w:val="20"/>
          <w:szCs w:val="20"/>
        </w:rPr>
      </w:pPr>
    </w:p>
    <w:p w14:paraId="58AE40C5" w14:textId="3D35AEF6" w:rsidR="0056309D" w:rsidRPr="00710EAE"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710EAE">
        <w:rPr>
          <w:rFonts w:ascii="Verdana" w:hAnsi="Verdana"/>
          <w:sz w:val="20"/>
          <w:szCs w:val="20"/>
        </w:rPr>
        <w:t>La Corte ha entendido que</w:t>
      </w:r>
      <w:r w:rsidR="002847D0">
        <w:rPr>
          <w:rFonts w:ascii="Verdana" w:hAnsi="Verdana"/>
          <w:sz w:val="20"/>
          <w:szCs w:val="20"/>
        </w:rPr>
        <w:t>,</w:t>
      </w:r>
      <w:r w:rsidRPr="00710EAE">
        <w:rPr>
          <w:rFonts w:ascii="Verdana" w:hAnsi="Verdana"/>
          <w:sz w:val="20"/>
          <w:szCs w:val="20"/>
        </w:rPr>
        <w:t xml:space="preserve"> si bien el Decreto 1498/14 resulta un acto de reconocimiento del derecho</w:t>
      </w:r>
      <w:r w:rsidR="00DB2FD9">
        <w:rPr>
          <w:rFonts w:ascii="Verdana" w:hAnsi="Verdana"/>
          <w:sz w:val="20"/>
          <w:szCs w:val="20"/>
        </w:rPr>
        <w:t xml:space="preserve"> de propiedad</w:t>
      </w:r>
      <w:r w:rsidRPr="00710EAE">
        <w:rPr>
          <w:rFonts w:ascii="Verdana" w:hAnsi="Verdana"/>
          <w:sz w:val="20"/>
          <w:szCs w:val="20"/>
        </w:rPr>
        <w:t xml:space="preserve">, ello conlleva actos posteriores, aun no realizados, de “determinación” y “delimitación” de la propiedad. </w:t>
      </w:r>
    </w:p>
    <w:p w14:paraId="2FF7A58D" w14:textId="77777777" w:rsidR="0056309D" w:rsidRDefault="0056309D" w:rsidP="0056309D">
      <w:pPr>
        <w:pStyle w:val="Prrafodelista"/>
        <w:spacing w:after="0" w:line="240" w:lineRule="auto"/>
        <w:ind w:left="0" w:right="6"/>
        <w:jc w:val="both"/>
        <w:rPr>
          <w:rFonts w:ascii="Verdana" w:eastAsia="Batang" w:hAnsi="Verdana" w:cs="Times"/>
          <w:sz w:val="20"/>
          <w:szCs w:val="20"/>
          <w:lang w:val="es-CR" w:eastAsia="es-CR"/>
        </w:rPr>
      </w:pPr>
    </w:p>
    <w:p w14:paraId="4A96DFD9" w14:textId="059E29C9" w:rsidR="0056309D"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710EAE">
        <w:rPr>
          <w:rFonts w:ascii="Verdana" w:hAnsi="Verdana"/>
          <w:sz w:val="20"/>
          <w:szCs w:val="20"/>
        </w:rPr>
        <w:t xml:space="preserve">Por ello, la Corte ordena al Estado adoptar y concluir las acciones necesarias, sean estas legislativas, administrativas, judiciales, registrales, notariales o de cualquier otro tipo, a fin de </w:t>
      </w:r>
      <w:r w:rsidRPr="00710EAE">
        <w:rPr>
          <w:rFonts w:ascii="Verdana" w:hAnsi="Verdana"/>
          <w:i/>
          <w:sz w:val="20"/>
          <w:szCs w:val="20"/>
        </w:rPr>
        <w:t>delimitar, demarcar y otorgar un título colectivo</w:t>
      </w:r>
      <w:r w:rsidRPr="00710EAE">
        <w:rPr>
          <w:rFonts w:ascii="Verdana" w:hAnsi="Verdana"/>
          <w:sz w:val="20"/>
          <w:szCs w:val="20"/>
        </w:rPr>
        <w:t xml:space="preserve"> que reconozca la propiedad de todas las comunidades indígenas víctimas</w:t>
      </w:r>
      <w:r w:rsidR="007711F3">
        <w:rPr>
          <w:rFonts w:ascii="Verdana" w:hAnsi="Verdana"/>
          <w:sz w:val="20"/>
          <w:szCs w:val="20"/>
        </w:rPr>
        <w:t xml:space="preserve"> (</w:t>
      </w:r>
      <w:r w:rsidR="007711F3">
        <w:rPr>
          <w:rFonts w:ascii="Verdana" w:hAnsi="Verdana"/>
          <w:i/>
          <w:sz w:val="20"/>
          <w:szCs w:val="20"/>
        </w:rPr>
        <w:t xml:space="preserve">supra </w:t>
      </w:r>
      <w:r w:rsidR="007711F3">
        <w:rPr>
          <w:rFonts w:ascii="Verdana" w:hAnsi="Verdana"/>
          <w:sz w:val="20"/>
          <w:szCs w:val="20"/>
        </w:rPr>
        <w:t>párr. 309)</w:t>
      </w:r>
      <w:r w:rsidRPr="00710EAE">
        <w:rPr>
          <w:rFonts w:ascii="Verdana" w:hAnsi="Verdana"/>
          <w:sz w:val="20"/>
          <w:szCs w:val="20"/>
        </w:rPr>
        <w:t xml:space="preserve"> sobre su territorio, es decir, sobre una superficie de 400</w:t>
      </w:r>
      <w:r>
        <w:rPr>
          <w:rFonts w:ascii="Verdana" w:hAnsi="Verdana"/>
          <w:sz w:val="20"/>
          <w:szCs w:val="20"/>
        </w:rPr>
        <w:t>.</w:t>
      </w:r>
      <w:r w:rsidRPr="00710EAE">
        <w:rPr>
          <w:rFonts w:ascii="Verdana" w:hAnsi="Verdana"/>
          <w:sz w:val="20"/>
          <w:szCs w:val="20"/>
        </w:rPr>
        <w:t xml:space="preserve">000 hectáreas en la tierra </w:t>
      </w:r>
      <w:r>
        <w:rPr>
          <w:rFonts w:ascii="Verdana" w:hAnsi="Verdana"/>
          <w:sz w:val="20"/>
          <w:szCs w:val="20"/>
        </w:rPr>
        <w:t>identificada como</w:t>
      </w:r>
      <w:r w:rsidRPr="00710EAE">
        <w:rPr>
          <w:rFonts w:ascii="Verdana" w:hAnsi="Verdana"/>
          <w:sz w:val="20"/>
          <w:szCs w:val="20"/>
        </w:rPr>
        <w:t xml:space="preserve"> </w:t>
      </w:r>
      <w:r>
        <w:rPr>
          <w:rFonts w:ascii="Verdana" w:hAnsi="Verdana"/>
          <w:sz w:val="20"/>
        </w:rPr>
        <w:t>lotes con las matrículas catastrales 175 y 5557</w:t>
      </w:r>
      <w:r w:rsidRPr="00710EAE">
        <w:rPr>
          <w:rFonts w:ascii="Verdana" w:hAnsi="Verdana"/>
          <w:sz w:val="20"/>
        </w:rPr>
        <w:t xml:space="preserve"> del Departamento de Rivadavia, en la Provincia argentina de Salta</w:t>
      </w:r>
      <w:r>
        <w:rPr>
          <w:rFonts w:ascii="Verdana" w:hAnsi="Verdana"/>
          <w:sz w:val="20"/>
        </w:rPr>
        <w:t>, y antes identificada</w:t>
      </w:r>
      <w:r w:rsidRPr="00710EAE">
        <w:rPr>
          <w:rFonts w:ascii="Verdana" w:hAnsi="Verdana"/>
          <w:sz w:val="20"/>
          <w:szCs w:val="20"/>
        </w:rPr>
        <w:t xml:space="preserve"> como lotes </w:t>
      </w:r>
      <w:r>
        <w:rPr>
          <w:rFonts w:ascii="Verdana" w:hAnsi="Verdana"/>
          <w:sz w:val="20"/>
          <w:szCs w:val="20"/>
        </w:rPr>
        <w:t xml:space="preserve">fiscales </w:t>
      </w:r>
      <w:r w:rsidRPr="00710EAE">
        <w:rPr>
          <w:rFonts w:ascii="Verdana" w:hAnsi="Verdana"/>
          <w:sz w:val="20"/>
          <w:szCs w:val="20"/>
        </w:rPr>
        <w:t>14 y 55 (</w:t>
      </w:r>
      <w:r w:rsidRPr="00710EAE">
        <w:rPr>
          <w:rFonts w:ascii="Verdana" w:hAnsi="Verdana"/>
          <w:i/>
          <w:sz w:val="20"/>
          <w:szCs w:val="20"/>
        </w:rPr>
        <w:t>supra</w:t>
      </w:r>
      <w:r w:rsidRPr="00710EAE">
        <w:rPr>
          <w:rFonts w:ascii="Verdana" w:hAnsi="Verdana"/>
          <w:sz w:val="20"/>
          <w:szCs w:val="20"/>
        </w:rPr>
        <w:t xml:space="preserve"> párrs. </w:t>
      </w:r>
      <w:r>
        <w:rPr>
          <w:rFonts w:ascii="Verdana" w:hAnsi="Verdana"/>
          <w:sz w:val="20"/>
          <w:szCs w:val="20"/>
        </w:rPr>
        <w:t xml:space="preserve">1, </w:t>
      </w:r>
      <w:r w:rsidR="007711F3">
        <w:rPr>
          <w:rFonts w:ascii="Verdana" w:hAnsi="Verdana"/>
          <w:sz w:val="20"/>
          <w:szCs w:val="20"/>
        </w:rPr>
        <w:t xml:space="preserve">47, </w:t>
      </w:r>
      <w:r>
        <w:rPr>
          <w:rFonts w:ascii="Verdana" w:hAnsi="Verdana"/>
          <w:sz w:val="20"/>
          <w:szCs w:val="20"/>
        </w:rPr>
        <w:t>80, 145 y nota</w:t>
      </w:r>
      <w:r w:rsidR="007711F3">
        <w:rPr>
          <w:rFonts w:ascii="Verdana" w:hAnsi="Verdana"/>
          <w:sz w:val="20"/>
          <w:szCs w:val="20"/>
        </w:rPr>
        <w:t>s</w:t>
      </w:r>
      <w:r>
        <w:rPr>
          <w:rFonts w:ascii="Verdana" w:hAnsi="Verdana"/>
          <w:sz w:val="20"/>
          <w:szCs w:val="20"/>
        </w:rPr>
        <w:t xml:space="preserve"> a pie de página </w:t>
      </w:r>
      <w:r w:rsidR="007711F3">
        <w:rPr>
          <w:rFonts w:ascii="Verdana" w:hAnsi="Verdana"/>
          <w:sz w:val="20"/>
          <w:szCs w:val="20"/>
        </w:rPr>
        <w:t xml:space="preserve">30 y </w:t>
      </w:r>
      <w:r>
        <w:rPr>
          <w:rFonts w:ascii="Verdana" w:hAnsi="Verdana"/>
          <w:sz w:val="20"/>
          <w:szCs w:val="20"/>
        </w:rPr>
        <w:t>7</w:t>
      </w:r>
      <w:r w:rsidR="00872B67">
        <w:rPr>
          <w:rFonts w:ascii="Verdana" w:hAnsi="Verdana"/>
          <w:sz w:val="20"/>
          <w:szCs w:val="20"/>
        </w:rPr>
        <w:t>9</w:t>
      </w:r>
      <w:r w:rsidRPr="00710EAE">
        <w:rPr>
          <w:rFonts w:ascii="Verdana" w:hAnsi="Verdana"/>
          <w:sz w:val="20"/>
          <w:szCs w:val="20"/>
        </w:rPr>
        <w:t xml:space="preserve">). A efectos del cumplimiento de esta medida, deberán observarse las siguientes pautas: </w:t>
      </w:r>
    </w:p>
    <w:p w14:paraId="339E5E71" w14:textId="77777777" w:rsidR="004F7339" w:rsidRDefault="004F7339" w:rsidP="0056309D">
      <w:pPr>
        <w:pStyle w:val="Prrafodelista"/>
        <w:spacing w:after="0" w:line="240" w:lineRule="auto"/>
        <w:ind w:left="284"/>
        <w:jc w:val="both"/>
        <w:rPr>
          <w:rFonts w:ascii="Verdana" w:hAnsi="Verdana"/>
          <w:sz w:val="20"/>
          <w:szCs w:val="20"/>
        </w:rPr>
      </w:pPr>
    </w:p>
    <w:p w14:paraId="19166891" w14:textId="77777777" w:rsidR="0056309D" w:rsidRDefault="0056309D" w:rsidP="0056309D">
      <w:pPr>
        <w:pStyle w:val="Prrafodelista"/>
        <w:spacing w:after="0" w:line="240" w:lineRule="auto"/>
        <w:ind w:left="284"/>
        <w:jc w:val="both"/>
        <w:rPr>
          <w:rFonts w:ascii="Verdana" w:hAnsi="Verdana"/>
          <w:sz w:val="20"/>
          <w:szCs w:val="20"/>
        </w:rPr>
      </w:pPr>
      <w:r>
        <w:rPr>
          <w:rFonts w:ascii="Verdana" w:hAnsi="Verdana"/>
          <w:sz w:val="20"/>
          <w:szCs w:val="20"/>
        </w:rPr>
        <w:t>1.- E</w:t>
      </w:r>
      <w:r w:rsidRPr="00B26CD7">
        <w:rPr>
          <w:rFonts w:ascii="Verdana" w:hAnsi="Verdana"/>
          <w:sz w:val="20"/>
          <w:szCs w:val="20"/>
        </w:rPr>
        <w:t>l título debe ser único; es decir, uno para el conjunto de todas las comunidades indígenas víctimas</w:t>
      </w:r>
      <w:r>
        <w:rPr>
          <w:rFonts w:ascii="Verdana" w:hAnsi="Verdana"/>
          <w:sz w:val="20"/>
          <w:szCs w:val="20"/>
        </w:rPr>
        <w:t xml:space="preserve"> y relativo a todo el territorio</w:t>
      </w:r>
      <w:r w:rsidRPr="008F4FA6">
        <w:rPr>
          <w:rFonts w:ascii="Verdana" w:hAnsi="Verdana"/>
          <w:sz w:val="20"/>
        </w:rPr>
        <w:t>, sin subdivisiones ni fragme</w:t>
      </w:r>
      <w:r>
        <w:rPr>
          <w:rFonts w:ascii="Verdana" w:hAnsi="Verdana"/>
          <w:sz w:val="20"/>
        </w:rPr>
        <w:t>ntaciones</w:t>
      </w:r>
      <w:r w:rsidRPr="00B26CD7">
        <w:rPr>
          <w:rFonts w:ascii="Verdana" w:hAnsi="Verdana"/>
          <w:sz w:val="20"/>
          <w:szCs w:val="20"/>
        </w:rPr>
        <w:t xml:space="preserve">. </w:t>
      </w:r>
      <w:r w:rsidRPr="00B26CD7">
        <w:rPr>
          <w:rFonts w:ascii="Verdana" w:hAnsi="Verdana"/>
          <w:sz w:val="20"/>
          <w:szCs w:val="20"/>
        </w:rPr>
        <w:lastRenderedPageBreak/>
        <w:t>Sin perjuicio de lo anterior, la Corte considera pertinente aclarar que el carácter “único” del título, antes expresado, no obsta a los acuerdos que pudieran tener las comunidades víctimas entre sí sobre el uso de su territorio común</w:t>
      </w:r>
      <w:r>
        <w:rPr>
          <w:rStyle w:val="Refdenotaalpie"/>
          <w:rFonts w:ascii="Verdana" w:hAnsi="Verdana"/>
          <w:sz w:val="20"/>
        </w:rPr>
        <w:footnoteReference w:id="321"/>
      </w:r>
      <w:r w:rsidRPr="00B26CD7">
        <w:rPr>
          <w:rFonts w:ascii="Verdana" w:hAnsi="Verdana"/>
          <w:sz w:val="20"/>
          <w:szCs w:val="20"/>
        </w:rPr>
        <w:t>.</w:t>
      </w:r>
    </w:p>
    <w:p w14:paraId="0BB64943" w14:textId="77777777" w:rsidR="0056309D" w:rsidRPr="0065135D" w:rsidRDefault="0056309D" w:rsidP="0056309D">
      <w:pPr>
        <w:pStyle w:val="Prrafodelista"/>
        <w:spacing w:after="0" w:line="240" w:lineRule="auto"/>
        <w:ind w:left="284"/>
        <w:jc w:val="both"/>
        <w:rPr>
          <w:rFonts w:ascii="Verdana" w:hAnsi="Verdana"/>
          <w:b/>
          <w:sz w:val="20"/>
          <w:szCs w:val="20"/>
        </w:rPr>
      </w:pPr>
      <w:r w:rsidRPr="00946FA1">
        <w:rPr>
          <w:rFonts w:ascii="Verdana" w:hAnsi="Verdana"/>
          <w:sz w:val="20"/>
          <w:szCs w:val="20"/>
        </w:rPr>
        <w:t>2.</w:t>
      </w:r>
      <w:r w:rsidRPr="0065135D">
        <w:rPr>
          <w:rFonts w:ascii="Verdana" w:hAnsi="Verdana"/>
          <w:b/>
          <w:sz w:val="20"/>
          <w:szCs w:val="20"/>
        </w:rPr>
        <w:t xml:space="preserve">- </w:t>
      </w:r>
      <w:r w:rsidRPr="00946FA1">
        <w:rPr>
          <w:rFonts w:ascii="Verdana" w:hAnsi="Verdana"/>
          <w:sz w:val="20"/>
          <w:szCs w:val="20"/>
        </w:rPr>
        <w:t>Dicho título debe garantizar el carácter colectivo o comunitario, de administración autónoma, imprescriptible, inembargable, no enajenable ni susceptible de gravámenes o embargos de la propiedad de la superficie indicada.</w:t>
      </w:r>
    </w:p>
    <w:p w14:paraId="6B2546DC" w14:textId="77777777" w:rsidR="0056309D" w:rsidRDefault="0056309D" w:rsidP="0056309D">
      <w:pPr>
        <w:pStyle w:val="Prrafodelista"/>
        <w:spacing w:after="0" w:line="240" w:lineRule="auto"/>
        <w:ind w:left="284"/>
        <w:jc w:val="both"/>
        <w:rPr>
          <w:rFonts w:ascii="Verdana" w:hAnsi="Verdana"/>
          <w:sz w:val="20"/>
          <w:szCs w:val="20"/>
        </w:rPr>
      </w:pPr>
      <w:r w:rsidRPr="00946FA1">
        <w:rPr>
          <w:rFonts w:ascii="Verdana" w:hAnsi="Verdana"/>
          <w:sz w:val="20"/>
          <w:szCs w:val="20"/>
        </w:rPr>
        <w:t>3</w:t>
      </w:r>
      <w:r>
        <w:rPr>
          <w:rFonts w:ascii="Verdana" w:hAnsi="Verdana"/>
          <w:sz w:val="20"/>
          <w:szCs w:val="20"/>
        </w:rPr>
        <w:t>.- A efectos del cumplimiento de esta medida, debe tenerse en cuenta, como referencia, el mapa entregado por Lhaka Honhat, aludido en las consideraciones del Decreto 1498/14 (</w:t>
      </w:r>
      <w:r>
        <w:rPr>
          <w:rFonts w:ascii="Verdana" w:hAnsi="Verdana"/>
          <w:i/>
          <w:sz w:val="20"/>
          <w:szCs w:val="20"/>
        </w:rPr>
        <w:t>supra</w:t>
      </w:r>
      <w:r>
        <w:rPr>
          <w:rFonts w:ascii="Verdana" w:hAnsi="Verdana"/>
          <w:sz w:val="20"/>
          <w:szCs w:val="20"/>
        </w:rPr>
        <w:t xml:space="preserve"> párr. 81). </w:t>
      </w:r>
    </w:p>
    <w:p w14:paraId="09B9884B" w14:textId="77777777" w:rsidR="0011221D" w:rsidRDefault="0011221D" w:rsidP="0056309D">
      <w:pPr>
        <w:pStyle w:val="Prrafodelista"/>
        <w:spacing w:after="0" w:line="240" w:lineRule="auto"/>
        <w:ind w:left="0"/>
        <w:jc w:val="both"/>
        <w:rPr>
          <w:rFonts w:ascii="Verdana" w:hAnsi="Verdana" w:cs="Tahoma"/>
          <w:i/>
          <w:sz w:val="16"/>
          <w:szCs w:val="16"/>
        </w:rPr>
      </w:pPr>
    </w:p>
    <w:p w14:paraId="2A33A612" w14:textId="77777777" w:rsidR="0056309D" w:rsidRPr="00946FA1" w:rsidRDefault="0056309D" w:rsidP="0056309D">
      <w:pPr>
        <w:pStyle w:val="Prrafodelista"/>
        <w:tabs>
          <w:tab w:val="left" w:pos="1276"/>
        </w:tabs>
        <w:spacing w:after="0" w:line="240" w:lineRule="auto"/>
        <w:ind w:left="851"/>
        <w:jc w:val="both"/>
        <w:outlineLvl w:val="3"/>
        <w:rPr>
          <w:rFonts w:ascii="Verdana" w:hAnsi="Verdana"/>
          <w:i/>
          <w:sz w:val="20"/>
          <w:szCs w:val="20"/>
        </w:rPr>
      </w:pPr>
      <w:bookmarkStart w:id="335" w:name="_Toc32218892"/>
      <w:bookmarkStart w:id="336" w:name="_Toc32227170"/>
      <w:bookmarkStart w:id="337" w:name="_Toc34337597"/>
      <w:r w:rsidRPr="00190177">
        <w:rPr>
          <w:rFonts w:ascii="Verdana" w:hAnsi="Verdana"/>
          <w:i/>
          <w:sz w:val="20"/>
          <w:szCs w:val="20"/>
        </w:rPr>
        <w:t>B.2.</w:t>
      </w:r>
      <w:r>
        <w:rPr>
          <w:rFonts w:ascii="Verdana" w:hAnsi="Verdana"/>
          <w:i/>
          <w:sz w:val="20"/>
          <w:szCs w:val="20"/>
        </w:rPr>
        <w:t>2</w:t>
      </w:r>
      <w:r w:rsidRPr="00190177">
        <w:rPr>
          <w:rFonts w:ascii="Verdana" w:hAnsi="Verdana"/>
          <w:i/>
          <w:sz w:val="20"/>
          <w:szCs w:val="20"/>
        </w:rPr>
        <w:t xml:space="preserve"> </w:t>
      </w:r>
      <w:r w:rsidRPr="00CA3B08">
        <w:rPr>
          <w:rFonts w:ascii="Verdana" w:hAnsi="Verdana"/>
          <w:i/>
          <w:sz w:val="20"/>
          <w:szCs w:val="20"/>
          <w:u w:val="single"/>
        </w:rPr>
        <w:t>Obligación de consulta previa</w:t>
      </w:r>
      <w:bookmarkEnd w:id="335"/>
      <w:bookmarkEnd w:id="336"/>
      <w:bookmarkEnd w:id="337"/>
      <w:r w:rsidRPr="00946FA1">
        <w:rPr>
          <w:rFonts w:ascii="Verdana" w:hAnsi="Verdana"/>
          <w:i/>
          <w:sz w:val="20"/>
          <w:szCs w:val="20"/>
        </w:rPr>
        <w:t xml:space="preserve"> </w:t>
      </w:r>
    </w:p>
    <w:p w14:paraId="1A76BCA2" w14:textId="77777777" w:rsidR="0056309D" w:rsidRPr="00710EAE" w:rsidRDefault="0056309D" w:rsidP="0056309D">
      <w:pPr>
        <w:pStyle w:val="Prrafodelista"/>
        <w:spacing w:line="240" w:lineRule="auto"/>
        <w:rPr>
          <w:rFonts w:ascii="Verdana" w:hAnsi="Verdana"/>
          <w:sz w:val="20"/>
          <w:szCs w:val="20"/>
        </w:rPr>
      </w:pPr>
    </w:p>
    <w:p w14:paraId="582F6040" w14:textId="58441303" w:rsidR="0056309D" w:rsidRPr="00710EAE"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710EAE">
        <w:rPr>
          <w:rFonts w:ascii="Verdana" w:hAnsi="Verdana"/>
          <w:sz w:val="20"/>
          <w:szCs w:val="20"/>
        </w:rPr>
        <w:t xml:space="preserve">El Estado debe </w:t>
      </w:r>
      <w:r w:rsidRPr="00710EAE">
        <w:rPr>
          <w:rFonts w:ascii="Verdana" w:hAnsi="Verdana"/>
          <w:i/>
          <w:sz w:val="20"/>
          <w:szCs w:val="20"/>
        </w:rPr>
        <w:t>abstenerse de realizar actos, obras o emprendimientos sobre el territorio indígena</w:t>
      </w:r>
      <w:r w:rsidR="0043087A">
        <w:rPr>
          <w:rFonts w:ascii="Verdana" w:hAnsi="Verdana"/>
          <w:sz w:val="20"/>
          <w:szCs w:val="20"/>
        </w:rPr>
        <w:t xml:space="preserve"> </w:t>
      </w:r>
      <w:r w:rsidRPr="00710EAE">
        <w:rPr>
          <w:rFonts w:ascii="Verdana" w:hAnsi="Verdana"/>
          <w:sz w:val="20"/>
          <w:szCs w:val="20"/>
        </w:rPr>
        <w:t>que puedan afectar su existencia, valor, uso o goce por parte de las comunidades víctimas, u ordenar, requerir, autorizar, tolerar o consentir que terceros lo hagan</w:t>
      </w:r>
      <w:r>
        <w:rPr>
          <w:rStyle w:val="Refdenotaalpie"/>
          <w:rFonts w:ascii="Verdana" w:hAnsi="Verdana"/>
          <w:sz w:val="20"/>
        </w:rPr>
        <w:footnoteReference w:id="322"/>
      </w:r>
      <w:r w:rsidRPr="00710EAE">
        <w:rPr>
          <w:rFonts w:ascii="Verdana" w:hAnsi="Verdana"/>
          <w:sz w:val="20"/>
          <w:szCs w:val="20"/>
        </w:rPr>
        <w:t>. En caso de realizarse alguno de los actos indicados, debe estar precedido, según corresponda, de la provisión de información a las comunidades indígenas víctimas</w:t>
      </w:r>
      <w:r w:rsidR="004F7339">
        <w:rPr>
          <w:rFonts w:ascii="Verdana" w:hAnsi="Verdana"/>
          <w:sz w:val="20"/>
          <w:szCs w:val="20"/>
        </w:rPr>
        <w:t xml:space="preserve">, </w:t>
      </w:r>
      <w:r w:rsidRPr="00710EAE">
        <w:rPr>
          <w:rFonts w:ascii="Verdana" w:hAnsi="Verdana"/>
          <w:sz w:val="20"/>
          <w:szCs w:val="20"/>
        </w:rPr>
        <w:t xml:space="preserve">así como de la realización de consultas previas adecuadas, libres e informadas, de acuerdo a pautas señaladas </w:t>
      </w:r>
      <w:r w:rsidR="00872B67">
        <w:rPr>
          <w:rFonts w:ascii="Verdana" w:hAnsi="Verdana"/>
          <w:sz w:val="20"/>
          <w:szCs w:val="20"/>
        </w:rPr>
        <w:t xml:space="preserve">por la Corte </w:t>
      </w:r>
      <w:r w:rsidRPr="00710EAE">
        <w:rPr>
          <w:rFonts w:ascii="Verdana" w:hAnsi="Verdana"/>
          <w:sz w:val="20"/>
          <w:szCs w:val="20"/>
        </w:rPr>
        <w:t>en la presente Sentencia (</w:t>
      </w:r>
      <w:r w:rsidRPr="00710EAE">
        <w:rPr>
          <w:rFonts w:ascii="Verdana" w:hAnsi="Verdana"/>
          <w:i/>
          <w:sz w:val="20"/>
          <w:szCs w:val="20"/>
        </w:rPr>
        <w:t xml:space="preserve">supra </w:t>
      </w:r>
      <w:r w:rsidRPr="00710EAE">
        <w:rPr>
          <w:rFonts w:ascii="Verdana" w:hAnsi="Verdana"/>
          <w:sz w:val="20"/>
          <w:szCs w:val="20"/>
        </w:rPr>
        <w:t xml:space="preserve">párrs </w:t>
      </w:r>
      <w:r>
        <w:rPr>
          <w:rFonts w:ascii="Verdana" w:hAnsi="Verdana"/>
          <w:sz w:val="20"/>
          <w:szCs w:val="20"/>
        </w:rPr>
        <w:t>174 y 175</w:t>
      </w:r>
      <w:r w:rsidRPr="00710EAE">
        <w:rPr>
          <w:rFonts w:ascii="Verdana" w:hAnsi="Verdana"/>
          <w:sz w:val="20"/>
          <w:szCs w:val="20"/>
        </w:rPr>
        <w:t>)</w:t>
      </w:r>
      <w:r>
        <w:rPr>
          <w:rFonts w:ascii="Verdana" w:hAnsi="Verdana"/>
          <w:sz w:val="20"/>
          <w:szCs w:val="20"/>
        </w:rPr>
        <w:t>.</w:t>
      </w:r>
      <w:r w:rsidRPr="00710EAE">
        <w:rPr>
          <w:rFonts w:ascii="Verdana" w:hAnsi="Verdana" w:cs="Tahoma"/>
          <w:sz w:val="20"/>
          <w:szCs w:val="20"/>
        </w:rPr>
        <w:t xml:space="preserve"> </w:t>
      </w:r>
      <w:r w:rsidRPr="00710EAE">
        <w:rPr>
          <w:rFonts w:ascii="Verdana" w:hAnsi="Verdana"/>
          <w:sz w:val="20"/>
          <w:szCs w:val="20"/>
        </w:rPr>
        <w:t>Esta conducta debe ser observada por el Estado en forma inmediata a partir de la notifi</w:t>
      </w:r>
      <w:r>
        <w:rPr>
          <w:rFonts w:ascii="Verdana" w:hAnsi="Verdana"/>
          <w:sz w:val="20"/>
          <w:szCs w:val="20"/>
        </w:rPr>
        <w:t>cación de la presente Sentencia;</w:t>
      </w:r>
      <w:r w:rsidRPr="00710EAE">
        <w:rPr>
          <w:rFonts w:ascii="Verdana" w:hAnsi="Verdana"/>
          <w:sz w:val="20"/>
          <w:szCs w:val="20"/>
        </w:rPr>
        <w:t xml:space="preserve"> será supervisada por la Corte hasta tanto se determine el cumplimiento de la medida</w:t>
      </w:r>
      <w:r>
        <w:rPr>
          <w:rFonts w:ascii="Verdana" w:hAnsi="Verdana"/>
          <w:sz w:val="20"/>
          <w:szCs w:val="20"/>
        </w:rPr>
        <w:t>,</w:t>
      </w:r>
      <w:r w:rsidRPr="00710EAE">
        <w:rPr>
          <w:rFonts w:ascii="Verdana" w:hAnsi="Verdana"/>
          <w:sz w:val="20"/>
          <w:szCs w:val="20"/>
        </w:rPr>
        <w:t xml:space="preserve"> antes ordenada</w:t>
      </w:r>
      <w:r>
        <w:rPr>
          <w:rFonts w:ascii="Verdana" w:hAnsi="Verdana"/>
          <w:sz w:val="20"/>
          <w:szCs w:val="20"/>
        </w:rPr>
        <w:t>,</w:t>
      </w:r>
      <w:r w:rsidRPr="00710EAE">
        <w:rPr>
          <w:rFonts w:ascii="Verdana" w:hAnsi="Verdana"/>
          <w:sz w:val="20"/>
          <w:szCs w:val="20"/>
        </w:rPr>
        <w:t xml:space="preserve"> consistente en delimitar, demarcar y otorgar un título colectivo que reconozca la propiedad de territorio (</w:t>
      </w:r>
      <w:r w:rsidRPr="00710EAE">
        <w:rPr>
          <w:rFonts w:ascii="Verdana" w:hAnsi="Verdana"/>
          <w:i/>
          <w:sz w:val="20"/>
          <w:szCs w:val="20"/>
        </w:rPr>
        <w:t xml:space="preserve">supra </w:t>
      </w:r>
      <w:r w:rsidRPr="00710EAE">
        <w:rPr>
          <w:rFonts w:ascii="Verdana" w:hAnsi="Verdana"/>
          <w:sz w:val="20"/>
          <w:szCs w:val="20"/>
        </w:rPr>
        <w:t xml:space="preserve">párr. </w:t>
      </w:r>
      <w:r>
        <w:rPr>
          <w:rFonts w:ascii="Verdana" w:hAnsi="Verdana"/>
          <w:sz w:val="20"/>
          <w:szCs w:val="20"/>
        </w:rPr>
        <w:t>327</w:t>
      </w:r>
      <w:r w:rsidRPr="00710EAE">
        <w:rPr>
          <w:rFonts w:ascii="Verdana" w:hAnsi="Verdana"/>
          <w:sz w:val="20"/>
          <w:szCs w:val="20"/>
        </w:rPr>
        <w:t>).</w:t>
      </w:r>
    </w:p>
    <w:p w14:paraId="2C8C6971" w14:textId="77777777" w:rsidR="0056309D" w:rsidRDefault="0056309D" w:rsidP="0056309D">
      <w:pPr>
        <w:pStyle w:val="Prrafodelista"/>
        <w:spacing w:after="0" w:line="240" w:lineRule="auto"/>
        <w:ind w:left="0" w:right="6"/>
        <w:jc w:val="both"/>
        <w:rPr>
          <w:rFonts w:ascii="Verdana" w:hAnsi="Verdana"/>
          <w:sz w:val="20"/>
          <w:szCs w:val="20"/>
        </w:rPr>
      </w:pPr>
    </w:p>
    <w:p w14:paraId="21B5E700" w14:textId="77777777" w:rsidR="0056309D" w:rsidRPr="00190177" w:rsidRDefault="0056309D" w:rsidP="0056309D">
      <w:pPr>
        <w:pStyle w:val="Prrafodelista"/>
        <w:spacing w:after="0" w:line="240" w:lineRule="auto"/>
        <w:ind w:left="851"/>
        <w:jc w:val="both"/>
        <w:outlineLvl w:val="3"/>
        <w:rPr>
          <w:rFonts w:ascii="Verdana" w:hAnsi="Verdana"/>
          <w:i/>
          <w:sz w:val="20"/>
          <w:szCs w:val="20"/>
        </w:rPr>
      </w:pPr>
      <w:bookmarkStart w:id="338" w:name="_Toc32218893"/>
      <w:bookmarkStart w:id="339" w:name="_Toc32227171"/>
      <w:bookmarkStart w:id="340" w:name="_Toc34337598"/>
      <w:r w:rsidRPr="00190177">
        <w:rPr>
          <w:rFonts w:ascii="Verdana" w:hAnsi="Verdana"/>
          <w:i/>
          <w:sz w:val="20"/>
          <w:szCs w:val="20"/>
        </w:rPr>
        <w:t>B.2.</w:t>
      </w:r>
      <w:r>
        <w:rPr>
          <w:rFonts w:ascii="Verdana" w:hAnsi="Verdana"/>
          <w:i/>
          <w:sz w:val="20"/>
          <w:szCs w:val="20"/>
        </w:rPr>
        <w:t>3</w:t>
      </w:r>
      <w:r w:rsidRPr="00190177">
        <w:rPr>
          <w:rFonts w:ascii="Verdana" w:hAnsi="Verdana"/>
          <w:i/>
          <w:sz w:val="20"/>
          <w:szCs w:val="20"/>
        </w:rPr>
        <w:t xml:space="preserve"> </w:t>
      </w:r>
      <w:r w:rsidRPr="00CA3B08">
        <w:rPr>
          <w:rFonts w:ascii="Verdana" w:hAnsi="Verdana"/>
          <w:i/>
          <w:sz w:val="20"/>
          <w:szCs w:val="20"/>
          <w:u w:val="single"/>
        </w:rPr>
        <w:t>Traslado de la población criolla</w:t>
      </w:r>
      <w:bookmarkEnd w:id="338"/>
      <w:bookmarkEnd w:id="339"/>
      <w:bookmarkEnd w:id="340"/>
    </w:p>
    <w:p w14:paraId="5A6BA166" w14:textId="77777777" w:rsidR="0056309D" w:rsidRPr="009F75B5" w:rsidRDefault="0056309D" w:rsidP="0056309D">
      <w:pPr>
        <w:pStyle w:val="Prrafodelista"/>
        <w:spacing w:after="0" w:line="240" w:lineRule="auto"/>
        <w:ind w:left="0" w:right="6"/>
        <w:jc w:val="both"/>
        <w:rPr>
          <w:rFonts w:ascii="Verdana" w:eastAsia="Batang" w:hAnsi="Verdana" w:cs="Times"/>
          <w:sz w:val="20"/>
          <w:szCs w:val="20"/>
          <w:lang w:eastAsia="es-CR"/>
        </w:rPr>
      </w:pPr>
    </w:p>
    <w:p w14:paraId="6E1B9AF2" w14:textId="7ED07E04" w:rsidR="0056309D" w:rsidRPr="004F7339"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710EAE">
        <w:rPr>
          <w:rFonts w:ascii="Verdana" w:hAnsi="Verdana"/>
          <w:sz w:val="20"/>
          <w:szCs w:val="20"/>
        </w:rPr>
        <w:t xml:space="preserve">A efectos de garantizar el pleno ejercicio del derecho de propiedad sobre su territorio por parte de las comunidades indígenas víctimas, y como surge de </w:t>
      </w:r>
      <w:r w:rsidR="004F7339">
        <w:rPr>
          <w:rFonts w:ascii="Verdana" w:hAnsi="Verdana"/>
          <w:sz w:val="20"/>
          <w:szCs w:val="20"/>
        </w:rPr>
        <w:t xml:space="preserve">los </w:t>
      </w:r>
      <w:r w:rsidRPr="00710EAE">
        <w:rPr>
          <w:rFonts w:ascii="Verdana" w:hAnsi="Verdana"/>
          <w:sz w:val="20"/>
          <w:szCs w:val="20"/>
        </w:rPr>
        <w:t>acuerdos alcanzados entre las mismas, el Estado y la Organización de Familias Criollas en 2007, aprobados por el Decreto 2786/07 y considerados como antecedentes por el Decreto 1498/14, deben concretarse acciones para el traslado de la población criolla fuera del territorio indígena definido de acuerdo a lo ya ordenado (</w:t>
      </w:r>
      <w:r w:rsidRPr="00710EAE">
        <w:rPr>
          <w:rFonts w:ascii="Verdana" w:hAnsi="Verdana"/>
          <w:i/>
          <w:sz w:val="20"/>
          <w:szCs w:val="20"/>
        </w:rPr>
        <w:t xml:space="preserve">supra </w:t>
      </w:r>
      <w:r w:rsidRPr="00710EAE">
        <w:rPr>
          <w:rFonts w:ascii="Verdana" w:hAnsi="Verdana"/>
          <w:sz w:val="20"/>
          <w:szCs w:val="20"/>
        </w:rPr>
        <w:t xml:space="preserve">párr. </w:t>
      </w:r>
      <w:r>
        <w:rPr>
          <w:rFonts w:ascii="Verdana" w:hAnsi="Verdana"/>
          <w:sz w:val="20"/>
          <w:szCs w:val="20"/>
        </w:rPr>
        <w:t>327</w:t>
      </w:r>
      <w:r w:rsidRPr="00710EAE">
        <w:rPr>
          <w:rFonts w:ascii="Verdana" w:hAnsi="Verdana"/>
          <w:sz w:val="20"/>
          <w:szCs w:val="20"/>
        </w:rPr>
        <w:t>). Para el lo</w:t>
      </w:r>
      <w:r>
        <w:rPr>
          <w:rFonts w:ascii="Verdana" w:hAnsi="Verdana"/>
          <w:sz w:val="20"/>
          <w:szCs w:val="20"/>
        </w:rPr>
        <w:t xml:space="preserve">gro de tal fin, la Corte ordena al Estado </w:t>
      </w:r>
      <w:r w:rsidRPr="009F75B5">
        <w:rPr>
          <w:rFonts w:ascii="Verdana" w:hAnsi="Verdana"/>
          <w:i/>
          <w:sz w:val="20"/>
          <w:szCs w:val="20"/>
        </w:rPr>
        <w:t>hacer efectivo el traslado de la población criolla</w:t>
      </w:r>
      <w:r w:rsidRPr="00710EAE">
        <w:rPr>
          <w:rFonts w:ascii="Verdana" w:hAnsi="Verdana"/>
          <w:sz w:val="20"/>
          <w:szCs w:val="20"/>
        </w:rPr>
        <w:t xml:space="preserve">, de acuerdo a las pautas que se fijan a continuación: </w:t>
      </w:r>
    </w:p>
    <w:p w14:paraId="1F7F4C07" w14:textId="77777777" w:rsidR="004F7339" w:rsidRPr="00710EAE" w:rsidRDefault="004F7339" w:rsidP="004F7339">
      <w:pPr>
        <w:pStyle w:val="Prrafodelista"/>
        <w:spacing w:after="0" w:line="240" w:lineRule="auto"/>
        <w:ind w:left="0" w:right="6"/>
        <w:jc w:val="both"/>
        <w:rPr>
          <w:rFonts w:ascii="Verdana" w:eastAsia="Batang" w:hAnsi="Verdana" w:cs="Times"/>
          <w:sz w:val="20"/>
          <w:szCs w:val="20"/>
          <w:lang w:val="es-CR" w:eastAsia="es-CR"/>
        </w:rPr>
      </w:pPr>
    </w:p>
    <w:p w14:paraId="34142E66" w14:textId="77777777" w:rsidR="0056309D" w:rsidRPr="00B26CD7" w:rsidRDefault="0056309D" w:rsidP="0056309D">
      <w:pPr>
        <w:pStyle w:val="Prrafodelista"/>
        <w:numPr>
          <w:ilvl w:val="0"/>
          <w:numId w:val="11"/>
        </w:numPr>
        <w:spacing w:after="0" w:line="240" w:lineRule="auto"/>
        <w:ind w:left="142" w:firstLine="0"/>
        <w:jc w:val="both"/>
        <w:rPr>
          <w:rFonts w:ascii="Verdana" w:hAnsi="Verdana"/>
          <w:sz w:val="20"/>
          <w:szCs w:val="20"/>
        </w:rPr>
      </w:pPr>
      <w:r w:rsidRPr="00B26CD7">
        <w:rPr>
          <w:rFonts w:ascii="Verdana" w:hAnsi="Verdana"/>
          <w:sz w:val="20"/>
          <w:szCs w:val="20"/>
        </w:rPr>
        <w:lastRenderedPageBreak/>
        <w:t xml:space="preserve">El Estado debe </w:t>
      </w:r>
      <w:r w:rsidRPr="00946FA1">
        <w:rPr>
          <w:rFonts w:ascii="Verdana" w:hAnsi="Verdana"/>
          <w:sz w:val="20"/>
          <w:szCs w:val="20"/>
        </w:rPr>
        <w:t>promover</w:t>
      </w:r>
      <w:r>
        <w:rPr>
          <w:rFonts w:ascii="Verdana" w:hAnsi="Verdana"/>
          <w:sz w:val="20"/>
          <w:szCs w:val="20"/>
        </w:rPr>
        <w:t xml:space="preserve"> </w:t>
      </w:r>
      <w:r w:rsidRPr="00B26CD7">
        <w:rPr>
          <w:rFonts w:ascii="Verdana" w:hAnsi="Verdana"/>
          <w:sz w:val="20"/>
          <w:szCs w:val="20"/>
        </w:rPr>
        <w:t>procedimientos tendientes al traslado voluntario de la población criolla, procurando</w:t>
      </w:r>
      <w:r>
        <w:rPr>
          <w:rFonts w:ascii="Verdana" w:hAnsi="Verdana"/>
          <w:sz w:val="20"/>
          <w:szCs w:val="20"/>
        </w:rPr>
        <w:t xml:space="preserve"> </w:t>
      </w:r>
      <w:r w:rsidRPr="00B26CD7">
        <w:rPr>
          <w:rFonts w:ascii="Verdana" w:hAnsi="Verdana"/>
          <w:sz w:val="20"/>
          <w:szCs w:val="20"/>
        </w:rPr>
        <w:t>evitar desalojos compulsivos</w:t>
      </w:r>
      <w:r>
        <w:rPr>
          <w:rStyle w:val="Refdenotaalpie"/>
          <w:rFonts w:ascii="Verdana" w:hAnsi="Verdana"/>
          <w:sz w:val="20"/>
        </w:rPr>
        <w:footnoteReference w:id="323"/>
      </w:r>
      <w:r w:rsidRPr="00B26CD7">
        <w:rPr>
          <w:rFonts w:ascii="Verdana" w:hAnsi="Verdana"/>
          <w:sz w:val="20"/>
          <w:szCs w:val="20"/>
        </w:rPr>
        <w:t>.</w:t>
      </w:r>
    </w:p>
    <w:p w14:paraId="0544DBE5" w14:textId="77777777" w:rsidR="0056309D" w:rsidRDefault="0056309D" w:rsidP="0056309D">
      <w:pPr>
        <w:pStyle w:val="Prrafodelista"/>
        <w:numPr>
          <w:ilvl w:val="0"/>
          <w:numId w:val="11"/>
        </w:numPr>
        <w:spacing w:after="0" w:line="240" w:lineRule="auto"/>
        <w:ind w:left="142" w:firstLine="0"/>
        <w:jc w:val="both"/>
        <w:rPr>
          <w:rFonts w:ascii="Verdana" w:hAnsi="Verdana"/>
          <w:sz w:val="20"/>
          <w:szCs w:val="20"/>
        </w:rPr>
      </w:pPr>
      <w:r w:rsidRPr="00B26CD7">
        <w:rPr>
          <w:rFonts w:ascii="Verdana" w:hAnsi="Verdana"/>
          <w:sz w:val="20"/>
          <w:szCs w:val="20"/>
        </w:rPr>
        <w:t xml:space="preserve">A fin de garantizar lo anterior, durante los primeros </w:t>
      </w:r>
      <w:r>
        <w:rPr>
          <w:rFonts w:ascii="Verdana" w:hAnsi="Verdana"/>
          <w:sz w:val="20"/>
          <w:szCs w:val="20"/>
        </w:rPr>
        <w:t>tres</w:t>
      </w:r>
      <w:r w:rsidRPr="00B26CD7">
        <w:rPr>
          <w:rFonts w:ascii="Verdana" w:hAnsi="Verdana"/>
          <w:sz w:val="20"/>
          <w:szCs w:val="20"/>
        </w:rPr>
        <w:t xml:space="preserve"> años contados a partir de la notificación de la presente Sentencia, las autoridades estatales, judiciales, administrativas o de cualquier índole, provinciales o nacionales, no podrán </w:t>
      </w:r>
      <w:r>
        <w:rPr>
          <w:rFonts w:ascii="Verdana" w:hAnsi="Verdana"/>
          <w:sz w:val="20"/>
          <w:szCs w:val="20"/>
        </w:rPr>
        <w:t>ejecutar</w:t>
      </w:r>
      <w:r w:rsidRPr="00B26CD7">
        <w:rPr>
          <w:rFonts w:ascii="Verdana" w:hAnsi="Verdana"/>
          <w:sz w:val="20"/>
          <w:szCs w:val="20"/>
        </w:rPr>
        <w:t xml:space="preserve"> acciones </w:t>
      </w:r>
      <w:r>
        <w:rPr>
          <w:rFonts w:ascii="Verdana" w:hAnsi="Verdana"/>
          <w:sz w:val="20"/>
          <w:szCs w:val="20"/>
        </w:rPr>
        <w:t>de</w:t>
      </w:r>
      <w:r w:rsidRPr="00B26CD7">
        <w:rPr>
          <w:rFonts w:ascii="Verdana" w:hAnsi="Verdana"/>
          <w:sz w:val="20"/>
          <w:szCs w:val="20"/>
        </w:rPr>
        <w:t xml:space="preserve"> desalojo forzoso o compulsivo de pobladores criollos</w:t>
      </w:r>
      <w:r>
        <w:rPr>
          <w:rStyle w:val="Refdenotaalpie"/>
          <w:rFonts w:ascii="Verdana" w:hAnsi="Verdana"/>
          <w:sz w:val="20"/>
        </w:rPr>
        <w:footnoteReference w:id="324"/>
      </w:r>
      <w:r w:rsidRPr="00B26CD7">
        <w:rPr>
          <w:rFonts w:ascii="Verdana" w:hAnsi="Verdana"/>
          <w:sz w:val="20"/>
          <w:szCs w:val="20"/>
        </w:rPr>
        <w:t>.</w:t>
      </w:r>
    </w:p>
    <w:p w14:paraId="3DB495B1" w14:textId="719463A9" w:rsidR="0056309D" w:rsidRDefault="0056309D" w:rsidP="0056309D">
      <w:pPr>
        <w:pStyle w:val="Prrafodelista"/>
        <w:numPr>
          <w:ilvl w:val="0"/>
          <w:numId w:val="11"/>
        </w:numPr>
        <w:spacing w:after="0" w:line="240" w:lineRule="auto"/>
        <w:ind w:left="142" w:firstLine="0"/>
        <w:jc w:val="both"/>
        <w:rPr>
          <w:rFonts w:ascii="Verdana" w:hAnsi="Verdana"/>
          <w:sz w:val="20"/>
          <w:szCs w:val="20"/>
        </w:rPr>
      </w:pPr>
      <w:r w:rsidRPr="00946FA1">
        <w:rPr>
          <w:rFonts w:ascii="Verdana" w:hAnsi="Verdana"/>
          <w:sz w:val="20"/>
          <w:szCs w:val="20"/>
        </w:rPr>
        <w:t>Sin perjuicio del proceso de acuerdos establecido a partir del Decreto 2786/07 de 2007 en adelante, y descrito en esta Sentencia, el Estado deberá poner a disposición de los interesados procesos</w:t>
      </w:r>
      <w:r>
        <w:rPr>
          <w:rFonts w:ascii="Verdana" w:hAnsi="Verdana"/>
          <w:sz w:val="20"/>
          <w:szCs w:val="20"/>
        </w:rPr>
        <w:t xml:space="preserve"> de mediación o arbitrales para determinar las condiciones del traslado</w:t>
      </w:r>
      <w:r w:rsidRPr="00946FA1">
        <w:rPr>
          <w:rFonts w:ascii="Verdana" w:hAnsi="Verdana"/>
          <w:sz w:val="20"/>
          <w:szCs w:val="20"/>
        </w:rPr>
        <w:t>;</w:t>
      </w:r>
      <w:r>
        <w:rPr>
          <w:rFonts w:ascii="Verdana" w:hAnsi="Verdana"/>
          <w:sz w:val="20"/>
          <w:szCs w:val="20"/>
        </w:rPr>
        <w:t xml:space="preserve"> en caso de no acudir</w:t>
      </w:r>
      <w:r w:rsidRPr="00946FA1">
        <w:rPr>
          <w:rFonts w:ascii="Verdana" w:hAnsi="Verdana"/>
          <w:sz w:val="20"/>
          <w:szCs w:val="20"/>
        </w:rPr>
        <w:t>se a los mismos, podrá recurrirse a la vía jurisdiccional que corresponda</w:t>
      </w:r>
      <w:r>
        <w:rPr>
          <w:rStyle w:val="Refdenotaalpie"/>
          <w:rFonts w:ascii="Verdana" w:hAnsi="Verdana"/>
          <w:sz w:val="20"/>
        </w:rPr>
        <w:footnoteReference w:id="325"/>
      </w:r>
      <w:r>
        <w:rPr>
          <w:rFonts w:ascii="Verdana" w:hAnsi="Verdana"/>
          <w:sz w:val="20"/>
          <w:szCs w:val="20"/>
        </w:rPr>
        <w:t>.</w:t>
      </w:r>
      <w:r w:rsidR="004F7339">
        <w:rPr>
          <w:rFonts w:ascii="Verdana" w:hAnsi="Verdana"/>
          <w:sz w:val="20"/>
          <w:szCs w:val="20"/>
        </w:rPr>
        <w:t xml:space="preserve"> </w:t>
      </w:r>
      <w:r>
        <w:rPr>
          <w:rFonts w:ascii="Verdana" w:hAnsi="Verdana"/>
          <w:sz w:val="20"/>
          <w:szCs w:val="20"/>
        </w:rPr>
        <w:t xml:space="preserve">En el marco de </w:t>
      </w:r>
      <w:r w:rsidRPr="00946FA1">
        <w:rPr>
          <w:rFonts w:ascii="Verdana" w:hAnsi="Verdana"/>
          <w:sz w:val="20"/>
          <w:szCs w:val="20"/>
        </w:rPr>
        <w:t>cualquiera de</w:t>
      </w:r>
      <w:r>
        <w:rPr>
          <w:rFonts w:ascii="Verdana" w:hAnsi="Verdana"/>
          <w:sz w:val="20"/>
          <w:szCs w:val="20"/>
        </w:rPr>
        <w:t xml:space="preserve"> los procesos referidos, quienes concurran a ellos podrán aducir sus pretensiones y los derechos que consideren que les asisten, mas no podrán cuestionar el derecho de propiedad comunitaria indígena determinado en esta Sentencia y, consecuentemente, tampoco la procedencia del traslado fuera del territorio indígena. Las autoridades que eventualmente resuelvan en tales procesos no podrán adoptar decisiones que impidan el cumplimiento de esta Sentencia. </w:t>
      </w:r>
    </w:p>
    <w:p w14:paraId="53DF754D" w14:textId="64C0304C" w:rsidR="0056309D" w:rsidRPr="004522B4" w:rsidRDefault="0056309D" w:rsidP="0056309D">
      <w:pPr>
        <w:pStyle w:val="Prrafodelista"/>
        <w:numPr>
          <w:ilvl w:val="0"/>
          <w:numId w:val="11"/>
        </w:numPr>
        <w:spacing w:after="0" w:line="240" w:lineRule="auto"/>
        <w:ind w:left="142" w:firstLine="0"/>
        <w:jc w:val="both"/>
        <w:rPr>
          <w:rFonts w:ascii="Verdana" w:hAnsi="Verdana"/>
          <w:sz w:val="20"/>
          <w:szCs w:val="20"/>
        </w:rPr>
      </w:pPr>
      <w:r w:rsidRPr="00946FA1">
        <w:rPr>
          <w:rFonts w:ascii="Verdana" w:hAnsi="Verdana"/>
          <w:sz w:val="20"/>
          <w:szCs w:val="20"/>
        </w:rPr>
        <w:t>E</w:t>
      </w:r>
      <w:r w:rsidRPr="004522B4">
        <w:rPr>
          <w:rFonts w:ascii="Verdana" w:hAnsi="Verdana"/>
          <w:sz w:val="20"/>
          <w:szCs w:val="20"/>
        </w:rPr>
        <w:t>n cualquier caso</w:t>
      </w:r>
      <w:r w:rsidR="004F7339">
        <w:rPr>
          <w:rFonts w:ascii="Verdana" w:hAnsi="Verdana"/>
          <w:sz w:val="20"/>
          <w:szCs w:val="20"/>
        </w:rPr>
        <w:t>,</w:t>
      </w:r>
      <w:r w:rsidRPr="004522B4">
        <w:rPr>
          <w:rFonts w:ascii="Verdana" w:hAnsi="Verdana"/>
          <w:sz w:val="20"/>
          <w:szCs w:val="20"/>
        </w:rPr>
        <w:t xml:space="preserve"> las autoridades competentes, administrativas, judiciales o de cualquier carácter, deberán procurar que el traslado de la población criolla se haga efectivo resguardando los derechos de dicha población. En ese sentido, </w:t>
      </w:r>
      <w:r>
        <w:rPr>
          <w:rFonts w:ascii="Verdana" w:hAnsi="Verdana"/>
          <w:sz w:val="20"/>
          <w:szCs w:val="20"/>
        </w:rPr>
        <w:t xml:space="preserve">debe posibilitarse de modo efectivo el </w:t>
      </w:r>
      <w:r w:rsidRPr="00ED689F">
        <w:rPr>
          <w:rFonts w:ascii="Verdana" w:hAnsi="Verdana"/>
          <w:sz w:val="20"/>
          <w:szCs w:val="20"/>
          <w:lang w:val="es-ES"/>
        </w:rPr>
        <w:t>reasentamiento o acceso a tierras productivas con adecuada infraestructura predial (inclusive implantación de pasturas y acceso a agua para producción y consumo suficientes, así como instalación de alambrados necesarios) y, en su caso, asistencia técnica y capacitación para la realización de actividades productivas.</w:t>
      </w:r>
    </w:p>
    <w:p w14:paraId="3EA3E82F" w14:textId="77777777" w:rsidR="0056309D" w:rsidRDefault="0056309D" w:rsidP="0056309D">
      <w:pPr>
        <w:pStyle w:val="Prrafodelista"/>
        <w:spacing w:after="0" w:line="240" w:lineRule="auto"/>
        <w:ind w:left="0" w:right="6"/>
        <w:jc w:val="both"/>
        <w:rPr>
          <w:rFonts w:ascii="Verdana" w:eastAsia="Batang" w:hAnsi="Verdana" w:cs="Times"/>
          <w:sz w:val="20"/>
          <w:szCs w:val="20"/>
          <w:lang w:val="es-CR" w:eastAsia="es-CR"/>
        </w:rPr>
      </w:pPr>
    </w:p>
    <w:p w14:paraId="310F2B6A" w14:textId="77777777" w:rsidR="0056309D" w:rsidRPr="00306DCB"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710EAE">
        <w:rPr>
          <w:rFonts w:ascii="Verdana" w:hAnsi="Verdana"/>
          <w:sz w:val="20"/>
          <w:szCs w:val="20"/>
        </w:rPr>
        <w:t xml:space="preserve">El Estado debe </w:t>
      </w:r>
      <w:r w:rsidRPr="00710EAE">
        <w:rPr>
          <w:rFonts w:ascii="Verdana" w:hAnsi="Verdana"/>
          <w:i/>
          <w:sz w:val="20"/>
          <w:szCs w:val="20"/>
        </w:rPr>
        <w:t>remover del territorio indígena los alambrados y el ganado</w:t>
      </w:r>
      <w:r w:rsidRPr="00710EAE">
        <w:rPr>
          <w:rFonts w:ascii="Verdana" w:hAnsi="Verdana"/>
          <w:sz w:val="20"/>
          <w:szCs w:val="20"/>
        </w:rPr>
        <w:t xml:space="preserve"> perteneciente a pobladores criollos. </w:t>
      </w:r>
    </w:p>
    <w:p w14:paraId="2E016145" w14:textId="77777777" w:rsidR="0056309D" w:rsidRDefault="0056309D" w:rsidP="0056309D">
      <w:pPr>
        <w:pStyle w:val="Prrafodelista"/>
        <w:spacing w:after="0" w:line="240" w:lineRule="auto"/>
        <w:ind w:left="0" w:right="6"/>
        <w:jc w:val="both"/>
        <w:rPr>
          <w:rFonts w:ascii="Verdana" w:hAnsi="Verdana"/>
          <w:sz w:val="20"/>
          <w:szCs w:val="20"/>
        </w:rPr>
      </w:pPr>
    </w:p>
    <w:p w14:paraId="05FD4CCA" w14:textId="77777777" w:rsidR="0056309D" w:rsidRPr="00B26CD7" w:rsidRDefault="0056309D" w:rsidP="0056309D">
      <w:pPr>
        <w:pStyle w:val="Prrafodelista"/>
        <w:spacing w:after="0" w:line="240" w:lineRule="auto"/>
        <w:ind w:left="567"/>
        <w:jc w:val="both"/>
        <w:outlineLvl w:val="2"/>
        <w:rPr>
          <w:rFonts w:ascii="Verdana" w:hAnsi="Verdana"/>
          <w:i/>
          <w:sz w:val="20"/>
          <w:szCs w:val="20"/>
        </w:rPr>
      </w:pPr>
      <w:bookmarkStart w:id="341" w:name="_Toc32218894"/>
      <w:bookmarkStart w:id="342" w:name="_Toc32227172"/>
      <w:bookmarkStart w:id="343" w:name="_Toc34337599"/>
      <w:r w:rsidRPr="00CA3B08">
        <w:rPr>
          <w:rFonts w:ascii="Verdana" w:hAnsi="Verdana"/>
          <w:b/>
          <w:i/>
          <w:sz w:val="20"/>
          <w:szCs w:val="20"/>
        </w:rPr>
        <w:t>B.3 Medidas para la restitución de los derechos al medio ambiente sano, a la alimentación, al agua y a la identidad cultural</w:t>
      </w:r>
      <w:bookmarkEnd w:id="341"/>
      <w:bookmarkEnd w:id="342"/>
      <w:bookmarkEnd w:id="343"/>
      <w:r>
        <w:rPr>
          <w:rFonts w:ascii="Verdana" w:hAnsi="Verdana"/>
          <w:i/>
          <w:sz w:val="20"/>
          <w:szCs w:val="20"/>
          <w:u w:val="single"/>
        </w:rPr>
        <w:t xml:space="preserve"> </w:t>
      </w:r>
    </w:p>
    <w:p w14:paraId="6177A81D" w14:textId="77777777" w:rsidR="0056309D" w:rsidRDefault="0056309D" w:rsidP="0056309D">
      <w:pPr>
        <w:pStyle w:val="Prrafodelista"/>
        <w:spacing w:after="0" w:line="240" w:lineRule="auto"/>
        <w:ind w:left="0" w:right="6"/>
        <w:jc w:val="both"/>
        <w:rPr>
          <w:rFonts w:ascii="Verdana" w:eastAsia="Batang" w:hAnsi="Verdana" w:cs="Times"/>
          <w:sz w:val="20"/>
          <w:szCs w:val="20"/>
          <w:lang w:val="es-CR" w:eastAsia="es-CR"/>
        </w:rPr>
      </w:pPr>
    </w:p>
    <w:p w14:paraId="46794C5B" w14:textId="66E2A995" w:rsidR="0056309D" w:rsidRPr="00306DCB"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306DCB">
        <w:rPr>
          <w:rFonts w:ascii="Verdana" w:hAnsi="Verdana"/>
          <w:sz w:val="20"/>
          <w:szCs w:val="20"/>
        </w:rPr>
        <w:t>Por otra parte, s</w:t>
      </w:r>
      <w:r w:rsidRPr="00306DCB">
        <w:rPr>
          <w:rFonts w:ascii="Verdana" w:hAnsi="Verdana"/>
          <w:sz w:val="20"/>
          <w:szCs w:val="20"/>
          <w:lang w:val="es-CR"/>
        </w:rPr>
        <w:t xml:space="preserve">e ha señalado en esta Sentencia que la presencia de ganado en el territorio de las comunidades indígenas víctimas y actividades desarrolladas por la </w:t>
      </w:r>
      <w:r w:rsidRPr="00306DCB">
        <w:rPr>
          <w:rFonts w:ascii="Verdana" w:hAnsi="Verdana"/>
          <w:sz w:val="20"/>
          <w:szCs w:val="20"/>
          <w:lang w:val="es-CR"/>
        </w:rPr>
        <w:lastRenderedPageBreak/>
        <w:t xml:space="preserve">población criolla ha afectado </w:t>
      </w:r>
      <w:r>
        <w:rPr>
          <w:rFonts w:ascii="Verdana" w:hAnsi="Verdana"/>
          <w:sz w:val="20"/>
          <w:szCs w:val="20"/>
          <w:lang w:val="es-CR"/>
        </w:rPr>
        <w:t>el</w:t>
      </w:r>
      <w:r w:rsidRPr="00306DCB">
        <w:rPr>
          <w:rFonts w:ascii="Verdana" w:hAnsi="Verdana"/>
          <w:sz w:val="20"/>
          <w:szCs w:val="20"/>
          <w:lang w:val="es-CR"/>
        </w:rPr>
        <w:t xml:space="preserve"> agua existente en el lugar y </w:t>
      </w:r>
      <w:r>
        <w:rPr>
          <w:rFonts w:ascii="Verdana" w:hAnsi="Verdana"/>
          <w:sz w:val="20"/>
          <w:szCs w:val="20"/>
          <w:lang w:val="es-CR"/>
        </w:rPr>
        <w:t xml:space="preserve">el </w:t>
      </w:r>
      <w:r w:rsidRPr="00306DCB">
        <w:rPr>
          <w:rFonts w:ascii="Verdana" w:hAnsi="Verdana"/>
          <w:sz w:val="20"/>
          <w:szCs w:val="20"/>
          <w:lang w:val="es-CR"/>
        </w:rPr>
        <w:t>acceso de comunidades indígenas al agua potable. Además</w:t>
      </w:r>
      <w:r w:rsidR="004A50E7">
        <w:rPr>
          <w:rFonts w:ascii="Verdana" w:hAnsi="Verdana"/>
          <w:sz w:val="20"/>
          <w:szCs w:val="20"/>
          <w:lang w:val="es-CR"/>
        </w:rPr>
        <w:t>,</w:t>
      </w:r>
      <w:r w:rsidRPr="00306DCB">
        <w:rPr>
          <w:rFonts w:ascii="Verdana" w:hAnsi="Verdana"/>
          <w:sz w:val="20"/>
          <w:szCs w:val="20"/>
          <w:lang w:val="es-CR"/>
        </w:rPr>
        <w:t xml:space="preserve"> se ha indicado la degradación ambiental que produce la tala ilegal. Se ha determinado </w:t>
      </w:r>
      <w:r w:rsidR="00FC49A7">
        <w:rPr>
          <w:rFonts w:ascii="Verdana" w:hAnsi="Verdana"/>
          <w:sz w:val="20"/>
          <w:szCs w:val="20"/>
          <w:lang w:val="es-CR"/>
        </w:rPr>
        <w:t>l</w:t>
      </w:r>
      <w:r w:rsidRPr="00306DCB">
        <w:rPr>
          <w:rFonts w:ascii="Verdana" w:hAnsi="Verdana"/>
          <w:sz w:val="20"/>
          <w:szCs w:val="20"/>
          <w:lang w:val="es-CR"/>
        </w:rPr>
        <w:t>a</w:t>
      </w:r>
      <w:r w:rsidR="00DB2FD9">
        <w:rPr>
          <w:rFonts w:ascii="Verdana" w:hAnsi="Verdana"/>
          <w:sz w:val="20"/>
          <w:szCs w:val="20"/>
          <w:lang w:val="es-CR"/>
        </w:rPr>
        <w:t xml:space="preserve"> vulneración de los derechos a un medio ambiente sano, </w:t>
      </w:r>
      <w:r w:rsidRPr="00306DCB">
        <w:rPr>
          <w:rFonts w:ascii="Verdana" w:hAnsi="Verdana"/>
          <w:sz w:val="20"/>
          <w:szCs w:val="20"/>
          <w:lang w:val="es-CR"/>
        </w:rPr>
        <w:t>a alimentación</w:t>
      </w:r>
      <w:r w:rsidR="00DB2FD9">
        <w:rPr>
          <w:rFonts w:ascii="Verdana" w:hAnsi="Verdana"/>
          <w:sz w:val="20"/>
          <w:szCs w:val="20"/>
          <w:lang w:val="es-CR"/>
        </w:rPr>
        <w:t xml:space="preserve"> adecuada, al agua</w:t>
      </w:r>
      <w:r w:rsidRPr="00306DCB">
        <w:rPr>
          <w:rFonts w:ascii="Verdana" w:hAnsi="Verdana"/>
          <w:sz w:val="20"/>
          <w:szCs w:val="20"/>
          <w:lang w:val="es-CR"/>
        </w:rPr>
        <w:t xml:space="preserve"> y a la identidad cultural.</w:t>
      </w:r>
      <w:r w:rsidRPr="00306DCB">
        <w:rPr>
          <w:rFonts w:ascii="Verdana" w:hAnsi="Verdana"/>
          <w:b/>
          <w:sz w:val="20"/>
          <w:szCs w:val="20"/>
          <w:lang w:val="es-CR"/>
        </w:rPr>
        <w:t xml:space="preserve"> </w:t>
      </w:r>
    </w:p>
    <w:p w14:paraId="36732782" w14:textId="77777777" w:rsidR="0056309D" w:rsidRDefault="0056309D" w:rsidP="0056309D">
      <w:pPr>
        <w:pStyle w:val="Prrafodelista"/>
        <w:autoSpaceDE w:val="0"/>
        <w:autoSpaceDN w:val="0"/>
        <w:adjustRightInd w:val="0"/>
        <w:spacing w:after="0" w:line="240" w:lineRule="auto"/>
        <w:ind w:left="0"/>
        <w:jc w:val="both"/>
        <w:rPr>
          <w:rFonts w:ascii="Verdana" w:hAnsi="Verdana"/>
          <w:b/>
          <w:sz w:val="20"/>
          <w:szCs w:val="20"/>
          <w:lang w:val="es-CR"/>
        </w:rPr>
      </w:pPr>
    </w:p>
    <w:p w14:paraId="7ABF8801" w14:textId="77777777" w:rsidR="0056309D" w:rsidRPr="00CA3B08" w:rsidRDefault="0056309D" w:rsidP="0056309D">
      <w:pPr>
        <w:pStyle w:val="Prrafodelista"/>
        <w:autoSpaceDE w:val="0"/>
        <w:autoSpaceDN w:val="0"/>
        <w:adjustRightInd w:val="0"/>
        <w:spacing w:after="0" w:line="240" w:lineRule="auto"/>
        <w:ind w:left="851"/>
        <w:jc w:val="both"/>
        <w:outlineLvl w:val="3"/>
        <w:rPr>
          <w:rFonts w:ascii="Verdana" w:hAnsi="Verdana"/>
          <w:i/>
          <w:sz w:val="20"/>
          <w:szCs w:val="20"/>
          <w:lang w:val="es-CR"/>
        </w:rPr>
      </w:pPr>
      <w:bookmarkStart w:id="344" w:name="_Toc32227173"/>
      <w:bookmarkStart w:id="345" w:name="_Toc34337600"/>
      <w:r w:rsidRPr="00CA3B08">
        <w:rPr>
          <w:rFonts w:ascii="Verdana" w:hAnsi="Verdana"/>
          <w:i/>
          <w:sz w:val="20"/>
          <w:szCs w:val="20"/>
          <w:lang w:val="es-CR"/>
        </w:rPr>
        <w:t xml:space="preserve">B.3.1. </w:t>
      </w:r>
      <w:r w:rsidRPr="00CA3B08">
        <w:rPr>
          <w:rFonts w:ascii="Verdana" w:hAnsi="Verdana"/>
          <w:i/>
          <w:sz w:val="20"/>
          <w:szCs w:val="20"/>
          <w:u w:val="single"/>
          <w:lang w:val="es-CR"/>
        </w:rPr>
        <w:t>Acciones dirigidas al agua, la alimentación y los recursos forestales</w:t>
      </w:r>
      <w:bookmarkEnd w:id="344"/>
      <w:bookmarkEnd w:id="345"/>
    </w:p>
    <w:p w14:paraId="20D19024" w14:textId="77777777" w:rsidR="0056309D" w:rsidRDefault="0056309D" w:rsidP="0056309D">
      <w:pPr>
        <w:pStyle w:val="Prrafodelista"/>
        <w:spacing w:after="0" w:line="240" w:lineRule="auto"/>
        <w:ind w:left="0" w:right="6"/>
        <w:jc w:val="both"/>
        <w:rPr>
          <w:rFonts w:ascii="Verdana" w:eastAsia="Batang" w:hAnsi="Verdana" w:cs="Times"/>
          <w:sz w:val="20"/>
          <w:szCs w:val="20"/>
          <w:lang w:val="es-CR" w:eastAsia="es-CR"/>
        </w:rPr>
      </w:pPr>
    </w:p>
    <w:p w14:paraId="1E07782D" w14:textId="3C09AEA6" w:rsidR="005C7B3D" w:rsidRPr="00FC49A7"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306DCB">
        <w:rPr>
          <w:rFonts w:ascii="Verdana" w:hAnsi="Verdana"/>
          <w:sz w:val="20"/>
          <w:szCs w:val="20"/>
          <w:lang w:val="es-CR"/>
        </w:rPr>
        <w:t xml:space="preserve">Sin perjuicio de las acciones de atención de situaciones urgentes que el Estado pueda realizar, esta Corte ordena al Estado que, en el plazo máximo de seis meses a partir de la notificación de la presente Sentencia, presente a la Corte un estudio en que identifique, dentro del conjunto de personas que integran las comunidades indígenas víctimas, situaciones críticas de falta de acceso a agua potable o alimentación, que puedan poner en </w:t>
      </w:r>
      <w:r>
        <w:rPr>
          <w:rFonts w:ascii="Verdana" w:hAnsi="Verdana"/>
          <w:sz w:val="20"/>
          <w:szCs w:val="20"/>
          <w:lang w:val="es-CR"/>
        </w:rPr>
        <w:t xml:space="preserve">grave riesgo </w:t>
      </w:r>
      <w:r w:rsidRPr="00306DCB">
        <w:rPr>
          <w:rFonts w:ascii="Verdana" w:hAnsi="Verdana"/>
          <w:sz w:val="20"/>
          <w:szCs w:val="20"/>
          <w:lang w:val="es-CR"/>
        </w:rPr>
        <w:t>la salud o la vida, y que formule un plan de acción en</w:t>
      </w:r>
      <w:r>
        <w:rPr>
          <w:rFonts w:ascii="Verdana" w:hAnsi="Verdana"/>
          <w:sz w:val="20"/>
          <w:szCs w:val="20"/>
          <w:lang w:val="es-CR"/>
        </w:rPr>
        <w:t xml:space="preserve"> el</w:t>
      </w:r>
      <w:r w:rsidRPr="00306DCB">
        <w:rPr>
          <w:rFonts w:ascii="Verdana" w:hAnsi="Verdana"/>
          <w:sz w:val="20"/>
          <w:szCs w:val="20"/>
          <w:lang w:val="es-CR"/>
        </w:rPr>
        <w:t xml:space="preserve"> que determine las acciones que el Estado realizará, que deben ser apta</w:t>
      </w:r>
      <w:r>
        <w:rPr>
          <w:rFonts w:ascii="Verdana" w:hAnsi="Verdana"/>
          <w:sz w:val="20"/>
          <w:szCs w:val="20"/>
          <w:lang w:val="es-CR"/>
        </w:rPr>
        <w:t>s</w:t>
      </w:r>
      <w:r w:rsidRPr="00306DCB">
        <w:rPr>
          <w:rFonts w:ascii="Verdana" w:hAnsi="Verdana"/>
          <w:sz w:val="20"/>
          <w:szCs w:val="20"/>
          <w:lang w:val="es-CR"/>
        </w:rPr>
        <w:t xml:space="preserve"> para atender tales situaciones críticas en forma adecuada, señalando el tiempo en que las mismas serán ejecutadas. El Estado deberá comenzar la implementación de las acciones indicadas en el plan de acción en forma inmediata a la presentación del mismo a este Tribunal. La Corte </w:t>
      </w:r>
      <w:r w:rsidRPr="00306DCB">
        <w:rPr>
          <w:rFonts w:ascii="Verdana" w:hAnsi="Verdana"/>
          <w:sz w:val="20"/>
          <w:szCs w:val="20"/>
        </w:rPr>
        <w:t xml:space="preserve">transmitirá a la Comisión y a los representantes el estudio referido, a efectos de que remitan las observaciones que estimen pertinentes. Teniendo en cuenta el parecer de las partes y la Comisión, la Corte evaluará si el estudio y el plan de acción presentados son adecuados y se corresponden con </w:t>
      </w:r>
      <w:r w:rsidRPr="00FC49A7">
        <w:rPr>
          <w:rFonts w:ascii="Verdana" w:hAnsi="Verdana"/>
          <w:sz w:val="20"/>
          <w:szCs w:val="20"/>
        </w:rPr>
        <w:t xml:space="preserve">los términos de las presente Sentencia, pudiendo requerir que se completen o amplíen. </w:t>
      </w:r>
      <w:r w:rsidR="005C7B3D" w:rsidRPr="00FC49A7">
        <w:rPr>
          <w:rFonts w:ascii="Verdana" w:eastAsia="Batang" w:hAnsi="Verdana" w:cs="Times"/>
          <w:sz w:val="20"/>
          <w:szCs w:val="20"/>
          <w:lang w:val="es-CR" w:eastAsia="es-CR"/>
        </w:rPr>
        <w:t>La Corte supervisará la implementación de las acciones respectivas hasta que evalúe que cuenta con información suficiente para considerar cumplida la medida de reparación ordenada.</w:t>
      </w:r>
    </w:p>
    <w:p w14:paraId="4205C6F6" w14:textId="77777777" w:rsidR="005C7B3D" w:rsidRDefault="005C7B3D" w:rsidP="0056309D">
      <w:pPr>
        <w:pStyle w:val="Prrafodelista"/>
        <w:spacing w:after="0" w:line="240" w:lineRule="auto"/>
        <w:ind w:left="0" w:right="6"/>
        <w:jc w:val="both"/>
        <w:rPr>
          <w:rFonts w:ascii="Verdana" w:eastAsia="Batang" w:hAnsi="Verdana" w:cs="Times"/>
          <w:sz w:val="20"/>
          <w:szCs w:val="20"/>
          <w:lang w:val="es-CR" w:eastAsia="es-CR"/>
        </w:rPr>
      </w:pPr>
    </w:p>
    <w:p w14:paraId="446BE0B1" w14:textId="14372828" w:rsidR="0056309D" w:rsidRPr="00306DCB" w:rsidRDefault="005C7B3D" w:rsidP="0056309D">
      <w:pPr>
        <w:pStyle w:val="Prrafodelista"/>
        <w:numPr>
          <w:ilvl w:val="0"/>
          <w:numId w:val="47"/>
        </w:numPr>
        <w:spacing w:after="0" w:line="240" w:lineRule="auto"/>
        <w:ind w:left="0" w:right="6" w:firstLine="0"/>
        <w:jc w:val="both"/>
        <w:rPr>
          <w:rFonts w:ascii="Verdana" w:hAnsi="Verdana"/>
          <w:sz w:val="20"/>
          <w:szCs w:val="20"/>
        </w:rPr>
      </w:pPr>
      <w:r>
        <w:rPr>
          <w:rFonts w:ascii="Verdana" w:hAnsi="Verdana"/>
          <w:sz w:val="20"/>
          <w:szCs w:val="20"/>
          <w:lang w:val="es-CR"/>
        </w:rPr>
        <w:t>Adicionalmente a las acciones ordenadas en el párrafo anterior, a</w:t>
      </w:r>
      <w:r w:rsidR="0056309D" w:rsidRPr="00306DCB">
        <w:rPr>
          <w:rFonts w:ascii="Verdana" w:hAnsi="Verdana"/>
          <w:sz w:val="20"/>
          <w:szCs w:val="20"/>
        </w:rPr>
        <w:t xml:space="preserve"> efectos de lograr </w:t>
      </w:r>
      <w:r w:rsidR="0056309D">
        <w:rPr>
          <w:rFonts w:ascii="Verdana" w:hAnsi="Verdana"/>
          <w:sz w:val="20"/>
          <w:szCs w:val="20"/>
        </w:rPr>
        <w:t>de</w:t>
      </w:r>
      <w:r w:rsidR="0056309D" w:rsidRPr="00306DCB">
        <w:rPr>
          <w:rFonts w:ascii="Verdana" w:hAnsi="Verdana"/>
          <w:sz w:val="20"/>
          <w:szCs w:val="20"/>
        </w:rPr>
        <w:t xml:space="preserve"> forma permanente que la prestación de bienes y servicios básicos sea adecuada y periódica, así como una razonable preservación y mejora de los recursos ambientales, el Estado deberá elaborar un estudio, en el plazo máximo de un año a partir de la notificación de esta Sentencia, en el que establezca las acciones que deben instrumentarse para: </w:t>
      </w:r>
    </w:p>
    <w:p w14:paraId="5A7DE461" w14:textId="77777777" w:rsidR="004F7339" w:rsidRDefault="004F7339" w:rsidP="0056309D">
      <w:pPr>
        <w:pStyle w:val="Prrafodelista"/>
        <w:autoSpaceDE w:val="0"/>
        <w:autoSpaceDN w:val="0"/>
        <w:adjustRightInd w:val="0"/>
        <w:spacing w:after="0" w:line="240" w:lineRule="auto"/>
        <w:ind w:left="284"/>
        <w:jc w:val="both"/>
        <w:rPr>
          <w:rFonts w:ascii="Verdana" w:hAnsi="Verdana"/>
          <w:sz w:val="20"/>
          <w:szCs w:val="20"/>
        </w:rPr>
      </w:pPr>
    </w:p>
    <w:p w14:paraId="7997B4D3" w14:textId="77777777" w:rsidR="0056309D" w:rsidRPr="00256751" w:rsidRDefault="0056309D" w:rsidP="0056309D">
      <w:pPr>
        <w:pStyle w:val="Prrafodelista"/>
        <w:autoSpaceDE w:val="0"/>
        <w:autoSpaceDN w:val="0"/>
        <w:adjustRightInd w:val="0"/>
        <w:spacing w:after="0" w:line="240" w:lineRule="auto"/>
        <w:ind w:left="284"/>
        <w:jc w:val="both"/>
        <w:rPr>
          <w:rFonts w:ascii="Verdana" w:hAnsi="Verdana" w:cs="Tahoma"/>
          <w:strike/>
          <w:sz w:val="20"/>
          <w:szCs w:val="20"/>
        </w:rPr>
      </w:pPr>
      <w:r w:rsidRPr="00256751">
        <w:rPr>
          <w:rFonts w:ascii="Verdana" w:hAnsi="Verdana"/>
          <w:sz w:val="20"/>
          <w:szCs w:val="20"/>
        </w:rPr>
        <w:t xml:space="preserve">a) la conservación de las aguas, superficiales o subterráneas, </w:t>
      </w:r>
      <w:r w:rsidRPr="00256751">
        <w:rPr>
          <w:rFonts w:ascii="Verdana" w:hAnsi="Verdana" w:cs="Tahoma"/>
          <w:sz w:val="20"/>
          <w:szCs w:val="20"/>
        </w:rPr>
        <w:t xml:space="preserve">existentes en el territorio indígena dentro de los lotes 14 y 55, que sean de utilización por parte de las comunidades indígenas víctimas, así como para evitar su contaminación o remediar la contaminación ya existente; </w:t>
      </w:r>
    </w:p>
    <w:p w14:paraId="4C00EA47" w14:textId="77777777" w:rsidR="0056309D" w:rsidRPr="00256751" w:rsidRDefault="0056309D" w:rsidP="0056309D">
      <w:pPr>
        <w:autoSpaceDE w:val="0"/>
        <w:autoSpaceDN w:val="0"/>
        <w:adjustRightInd w:val="0"/>
        <w:spacing w:after="0" w:line="240" w:lineRule="auto"/>
        <w:ind w:left="284"/>
        <w:jc w:val="both"/>
        <w:rPr>
          <w:rFonts w:ascii="Verdana" w:hAnsi="Verdana" w:cs="Tahoma"/>
          <w:sz w:val="20"/>
          <w:szCs w:val="20"/>
        </w:rPr>
      </w:pPr>
      <w:r w:rsidRPr="00256751">
        <w:rPr>
          <w:rFonts w:ascii="Verdana" w:hAnsi="Verdana" w:cs="Tahoma"/>
          <w:sz w:val="20"/>
          <w:szCs w:val="20"/>
        </w:rPr>
        <w:t xml:space="preserve">b) garantizar el acceso permanente a agua potable por parte de todas las personas integrantes de las comunidades indígenas víctimas en este caso; </w:t>
      </w:r>
    </w:p>
    <w:p w14:paraId="5A2887B9" w14:textId="77777777" w:rsidR="0056309D" w:rsidRPr="00256751" w:rsidRDefault="0056309D" w:rsidP="0056309D">
      <w:pPr>
        <w:autoSpaceDE w:val="0"/>
        <w:autoSpaceDN w:val="0"/>
        <w:adjustRightInd w:val="0"/>
        <w:spacing w:after="0" w:line="240" w:lineRule="auto"/>
        <w:ind w:left="284"/>
        <w:jc w:val="both"/>
        <w:rPr>
          <w:rFonts w:ascii="Verdana" w:hAnsi="Verdana" w:cs="Tahoma"/>
          <w:sz w:val="20"/>
          <w:szCs w:val="20"/>
        </w:rPr>
      </w:pPr>
      <w:r w:rsidRPr="00256751">
        <w:rPr>
          <w:rFonts w:ascii="Verdana" w:hAnsi="Verdana" w:cs="Tahoma"/>
          <w:sz w:val="20"/>
          <w:szCs w:val="20"/>
        </w:rPr>
        <w:t xml:space="preserve">c) evitar que continúe la pérdida o disminución de recursos forestales en el territorio indicado, así como procurar su paulatina recuperación, y </w:t>
      </w:r>
    </w:p>
    <w:p w14:paraId="5FEBAD8E" w14:textId="77777777" w:rsidR="0056309D" w:rsidRPr="00256751" w:rsidRDefault="0056309D" w:rsidP="0056309D">
      <w:pPr>
        <w:spacing w:after="0" w:line="240" w:lineRule="auto"/>
        <w:ind w:left="284"/>
        <w:jc w:val="both"/>
        <w:rPr>
          <w:rFonts w:ascii="Verdana" w:hAnsi="Verdana"/>
          <w:b/>
          <w:sz w:val="20"/>
          <w:szCs w:val="20"/>
        </w:rPr>
      </w:pPr>
      <w:r w:rsidRPr="00256751">
        <w:rPr>
          <w:rFonts w:ascii="Verdana" w:hAnsi="Verdana" w:cs="Tahoma"/>
          <w:sz w:val="20"/>
          <w:szCs w:val="20"/>
        </w:rPr>
        <w:t xml:space="preserve">d) posibilitar </w:t>
      </w:r>
      <w:r>
        <w:rPr>
          <w:rFonts w:ascii="Verdana" w:hAnsi="Verdana" w:cs="Tahoma"/>
          <w:sz w:val="20"/>
          <w:szCs w:val="20"/>
        </w:rPr>
        <w:t>de</w:t>
      </w:r>
      <w:r w:rsidRPr="00256751">
        <w:rPr>
          <w:rFonts w:ascii="Verdana" w:hAnsi="Verdana" w:cs="Tahoma"/>
          <w:sz w:val="20"/>
          <w:szCs w:val="20"/>
        </w:rPr>
        <w:t xml:space="preserve"> forma permanente </w:t>
      </w:r>
      <w:r>
        <w:rPr>
          <w:rFonts w:ascii="Verdana" w:hAnsi="Verdana" w:cs="Tahoma"/>
          <w:sz w:val="20"/>
          <w:szCs w:val="20"/>
        </w:rPr>
        <w:t xml:space="preserve">a </w:t>
      </w:r>
      <w:r w:rsidRPr="00256751">
        <w:rPr>
          <w:rFonts w:ascii="Verdana" w:hAnsi="Verdana" w:cs="Tahoma"/>
          <w:sz w:val="20"/>
          <w:szCs w:val="20"/>
        </w:rPr>
        <w:t xml:space="preserve">todas las personas integrantes de las comunidades indígenas víctimas en el presente caso, </w:t>
      </w:r>
      <w:r>
        <w:rPr>
          <w:rFonts w:ascii="Verdana" w:hAnsi="Verdana" w:cs="Tahoma"/>
          <w:sz w:val="20"/>
          <w:szCs w:val="20"/>
        </w:rPr>
        <w:t xml:space="preserve">el </w:t>
      </w:r>
      <w:r w:rsidRPr="00256751">
        <w:rPr>
          <w:rFonts w:ascii="Verdana" w:hAnsi="Verdana" w:cs="Tahoma"/>
          <w:sz w:val="20"/>
          <w:szCs w:val="20"/>
        </w:rPr>
        <w:t>acceso a alimentación en forma nutricional y culturalmente adecuada</w:t>
      </w:r>
      <w:r>
        <w:rPr>
          <w:rStyle w:val="Refdenotaalpie"/>
          <w:rFonts w:ascii="Verdana" w:hAnsi="Verdana"/>
          <w:sz w:val="20"/>
        </w:rPr>
        <w:footnoteReference w:id="326"/>
      </w:r>
      <w:r>
        <w:rPr>
          <w:rFonts w:ascii="Verdana" w:hAnsi="Verdana" w:cs="Tahoma"/>
          <w:sz w:val="20"/>
          <w:szCs w:val="20"/>
        </w:rPr>
        <w:t>.</w:t>
      </w:r>
    </w:p>
    <w:p w14:paraId="6F6E0942" w14:textId="77777777" w:rsidR="0056309D" w:rsidRPr="00306DCB" w:rsidRDefault="0056309D" w:rsidP="0056309D">
      <w:pPr>
        <w:pStyle w:val="Prrafodelista"/>
        <w:spacing w:line="240" w:lineRule="auto"/>
        <w:rPr>
          <w:rFonts w:ascii="Verdana" w:hAnsi="Verdana"/>
          <w:sz w:val="20"/>
          <w:szCs w:val="20"/>
        </w:rPr>
      </w:pPr>
    </w:p>
    <w:p w14:paraId="6B661FA9" w14:textId="77777777" w:rsidR="0056309D" w:rsidRPr="00306DCB"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306DCB">
        <w:rPr>
          <w:rFonts w:ascii="Verdana" w:hAnsi="Verdana"/>
          <w:sz w:val="20"/>
          <w:szCs w:val="20"/>
        </w:rPr>
        <w:lastRenderedPageBreak/>
        <w:t xml:space="preserve">Para la elaboración del estudio mencionado en el párrafo anterior, los especialistas encargados del mismo deberán tener los conocimientos técnicos específicos requeridos para cada tarea. Además, tales especialistas deberán contar siempre con el punto de vista de las comunidades indígenas víctimas, expresado conforme a sus propias formas de toma de decisiones. </w:t>
      </w:r>
    </w:p>
    <w:p w14:paraId="47D98BCF" w14:textId="77777777" w:rsidR="0056309D" w:rsidRDefault="0056309D" w:rsidP="0056309D">
      <w:pPr>
        <w:pStyle w:val="Prrafodelista"/>
        <w:spacing w:after="0" w:line="240" w:lineRule="auto"/>
        <w:ind w:left="0" w:right="6"/>
        <w:jc w:val="both"/>
        <w:rPr>
          <w:rFonts w:ascii="Verdana" w:eastAsia="Batang" w:hAnsi="Verdana" w:cs="Times"/>
          <w:sz w:val="20"/>
          <w:szCs w:val="20"/>
          <w:lang w:val="es-CR" w:eastAsia="es-CR"/>
        </w:rPr>
      </w:pPr>
    </w:p>
    <w:p w14:paraId="433154E8" w14:textId="3DDF32FE" w:rsidR="005C7B3D" w:rsidRPr="005C7B3D" w:rsidRDefault="0056309D" w:rsidP="005C7B3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306DCB">
        <w:rPr>
          <w:rFonts w:ascii="Verdana" w:hAnsi="Verdana"/>
          <w:sz w:val="20"/>
          <w:szCs w:val="20"/>
        </w:rPr>
        <w:t xml:space="preserve">Una vez que el Estado remita al Tribunal el estudio, el mismo será transmitido a la Comisión y a los representantes, a efectos de que remitan las observaciones que estimen pertinentes. La Corte, teniendo en cuenta el parecer de la Comisión y las partes, y en correspondencia con los términos de esta Sentencia, podrá disponer que el Estado requiera a los especialistas que completen o amplíen el estudio. Una vez que la Corte, </w:t>
      </w:r>
      <w:r>
        <w:rPr>
          <w:rFonts w:ascii="Verdana" w:hAnsi="Verdana"/>
          <w:sz w:val="20"/>
          <w:szCs w:val="20"/>
        </w:rPr>
        <w:t xml:space="preserve">luego de evaluar </w:t>
      </w:r>
      <w:r w:rsidRPr="00306DCB">
        <w:rPr>
          <w:rFonts w:ascii="Verdana" w:hAnsi="Verdana"/>
          <w:sz w:val="20"/>
          <w:szCs w:val="20"/>
        </w:rPr>
        <w:t>el estudio con base en lo señalado,</w:t>
      </w:r>
      <w:r>
        <w:rPr>
          <w:rFonts w:ascii="Verdana" w:hAnsi="Verdana"/>
          <w:sz w:val="20"/>
          <w:szCs w:val="20"/>
        </w:rPr>
        <w:t xml:space="preserve"> así lo determine</w:t>
      </w:r>
      <w:r w:rsidRPr="00306DCB">
        <w:rPr>
          <w:rFonts w:ascii="Verdana" w:hAnsi="Verdana"/>
          <w:sz w:val="20"/>
          <w:szCs w:val="20"/>
        </w:rPr>
        <w:t>, el Estado deberá i</w:t>
      </w:r>
      <w:r w:rsidR="004F7339">
        <w:rPr>
          <w:rFonts w:ascii="Verdana" w:hAnsi="Verdana"/>
          <w:sz w:val="20"/>
          <w:szCs w:val="20"/>
        </w:rPr>
        <w:t>mplementar las acciones que el e</w:t>
      </w:r>
      <w:r w:rsidRPr="00306DCB">
        <w:rPr>
          <w:rFonts w:ascii="Verdana" w:hAnsi="Verdana"/>
          <w:sz w:val="20"/>
          <w:szCs w:val="20"/>
        </w:rPr>
        <w:t xml:space="preserve">studio </w:t>
      </w:r>
      <w:r w:rsidRPr="00FC49A7">
        <w:rPr>
          <w:rFonts w:ascii="Verdana" w:hAnsi="Verdana"/>
          <w:sz w:val="20"/>
          <w:szCs w:val="20"/>
        </w:rPr>
        <w:t xml:space="preserve">indique. </w:t>
      </w:r>
      <w:r w:rsidR="005C7B3D" w:rsidRPr="00FC49A7">
        <w:rPr>
          <w:rFonts w:ascii="Verdana" w:eastAsia="Batang" w:hAnsi="Verdana" w:cs="Times"/>
          <w:sz w:val="20"/>
          <w:szCs w:val="20"/>
          <w:lang w:val="es-CR" w:eastAsia="es-CR"/>
        </w:rPr>
        <w:t>La Corte supervisará la implementación de las acciones respectivas hasta que evalúe que cuenta con información suficiente para considerar cumplida la medida de reparación ordenada</w:t>
      </w:r>
      <w:r w:rsidR="00FC49A7" w:rsidRPr="00FC49A7">
        <w:rPr>
          <w:rFonts w:ascii="Verdana" w:eastAsia="Batang" w:hAnsi="Verdana" w:cs="Times"/>
          <w:sz w:val="20"/>
          <w:szCs w:val="20"/>
          <w:lang w:val="es-CR" w:eastAsia="es-CR"/>
        </w:rPr>
        <w:t>.</w:t>
      </w:r>
    </w:p>
    <w:p w14:paraId="5693203F" w14:textId="77777777" w:rsidR="005C7B3D" w:rsidRPr="00B42FD5" w:rsidRDefault="005C7B3D" w:rsidP="0056309D">
      <w:pPr>
        <w:pStyle w:val="Prrafodelista"/>
        <w:spacing w:line="240" w:lineRule="auto"/>
        <w:rPr>
          <w:rFonts w:ascii="Verdana" w:hAnsi="Verdana"/>
          <w:b/>
          <w:sz w:val="20"/>
          <w:szCs w:val="20"/>
          <w:lang w:val="es-CR"/>
        </w:rPr>
      </w:pPr>
    </w:p>
    <w:p w14:paraId="1A89016F" w14:textId="22F1A47E" w:rsidR="0056309D"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306DCB">
        <w:rPr>
          <w:rFonts w:ascii="Verdana" w:hAnsi="Verdana"/>
          <w:sz w:val="20"/>
          <w:szCs w:val="20"/>
        </w:rPr>
        <w:t>En cuanto a la tala ilegal, este Tribunal nota que el Estado ha afirmado que realiza tareas de “monitoreo” y “seguimiento”, inclusive a partir de “denuncias”. Por lo tanto, sin perjuicio de las medidas ordenadas,</w:t>
      </w:r>
      <w:r w:rsidRPr="00306DCB">
        <w:rPr>
          <w:rFonts w:ascii="Verdana" w:hAnsi="Verdana"/>
          <w:b/>
          <w:sz w:val="20"/>
          <w:szCs w:val="20"/>
        </w:rPr>
        <w:t xml:space="preserve"> </w:t>
      </w:r>
      <w:r w:rsidRPr="00306DCB">
        <w:rPr>
          <w:rFonts w:ascii="Verdana" w:hAnsi="Verdana"/>
          <w:sz w:val="20"/>
          <w:szCs w:val="20"/>
        </w:rPr>
        <w:t xml:space="preserve">este Tribunal insta al Estado a continuar con sus acciones de monitoreo y seguimiento, y adoptar otras que sean eficaces a tal fin. En particular, la Corte exhorta al Estado a mantener o instalar puestos de control, en concordancia con lo que fue previsto por el </w:t>
      </w:r>
      <w:r w:rsidRPr="00306DCB">
        <w:rPr>
          <w:rFonts w:ascii="Verdana" w:hAnsi="Verdana" w:cs="Arial Narrow"/>
          <w:sz w:val="20"/>
          <w:szCs w:val="20"/>
        </w:rPr>
        <w:t>Decreto 2786/07. Estas acciones no serán supervisadas por la Corte.</w:t>
      </w:r>
    </w:p>
    <w:p w14:paraId="680C026B" w14:textId="77777777" w:rsidR="0011221D" w:rsidRDefault="0011221D" w:rsidP="0056309D">
      <w:pPr>
        <w:pStyle w:val="Prrafodelista"/>
        <w:spacing w:line="240" w:lineRule="auto"/>
        <w:rPr>
          <w:rFonts w:ascii="Verdana" w:hAnsi="Verdana"/>
          <w:sz w:val="20"/>
          <w:szCs w:val="20"/>
        </w:rPr>
      </w:pPr>
    </w:p>
    <w:p w14:paraId="0B0AC547" w14:textId="77777777" w:rsidR="0056309D" w:rsidRPr="00CA3B08" w:rsidRDefault="0056309D" w:rsidP="0056309D">
      <w:pPr>
        <w:pStyle w:val="Prrafodelista"/>
        <w:autoSpaceDE w:val="0"/>
        <w:autoSpaceDN w:val="0"/>
        <w:adjustRightInd w:val="0"/>
        <w:spacing w:after="0" w:line="240" w:lineRule="auto"/>
        <w:ind w:left="851"/>
        <w:jc w:val="both"/>
        <w:outlineLvl w:val="3"/>
        <w:rPr>
          <w:rFonts w:ascii="Verdana" w:hAnsi="Verdana"/>
          <w:i/>
          <w:sz w:val="20"/>
          <w:szCs w:val="20"/>
          <w:lang w:val="es-CR"/>
        </w:rPr>
      </w:pPr>
      <w:bookmarkStart w:id="346" w:name="_Toc32227174"/>
      <w:bookmarkStart w:id="347" w:name="_Toc34337601"/>
      <w:r w:rsidRPr="00CA3B08">
        <w:rPr>
          <w:rFonts w:ascii="Verdana" w:hAnsi="Verdana"/>
          <w:i/>
          <w:sz w:val="20"/>
          <w:szCs w:val="20"/>
          <w:lang w:val="es-CR"/>
        </w:rPr>
        <w:t xml:space="preserve">B.3.2 </w:t>
      </w:r>
      <w:r w:rsidRPr="00CA3B08">
        <w:rPr>
          <w:rFonts w:ascii="Verdana" w:hAnsi="Verdana"/>
          <w:i/>
          <w:sz w:val="20"/>
          <w:szCs w:val="20"/>
          <w:u w:val="single"/>
          <w:lang w:val="es-CR"/>
        </w:rPr>
        <w:t>Fondo de Desarrollo Comunitario para la cultura indígena</w:t>
      </w:r>
      <w:bookmarkEnd w:id="346"/>
      <w:bookmarkEnd w:id="347"/>
    </w:p>
    <w:p w14:paraId="373EDA42" w14:textId="77777777" w:rsidR="0056309D" w:rsidRPr="00306DCB" w:rsidRDefault="0056309D" w:rsidP="0056309D">
      <w:pPr>
        <w:pStyle w:val="Prrafodelista"/>
        <w:spacing w:line="240" w:lineRule="auto"/>
        <w:rPr>
          <w:rFonts w:ascii="Verdana" w:hAnsi="Verdana"/>
          <w:sz w:val="20"/>
          <w:szCs w:val="20"/>
        </w:rPr>
      </w:pPr>
    </w:p>
    <w:p w14:paraId="0147E8ED" w14:textId="636E0128" w:rsidR="0056309D" w:rsidRPr="00306DCB"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306DCB">
        <w:rPr>
          <w:rFonts w:ascii="Verdana" w:hAnsi="Verdana"/>
          <w:sz w:val="20"/>
          <w:szCs w:val="20"/>
        </w:rPr>
        <w:t xml:space="preserve">La </w:t>
      </w:r>
      <w:r w:rsidRPr="00306DCB">
        <w:rPr>
          <w:rFonts w:ascii="Verdana" w:hAnsi="Verdana"/>
          <w:b/>
          <w:i/>
          <w:sz w:val="20"/>
          <w:szCs w:val="20"/>
        </w:rPr>
        <w:t>Corte</w:t>
      </w:r>
      <w:r w:rsidRPr="00306DCB">
        <w:rPr>
          <w:rFonts w:ascii="Verdana" w:hAnsi="Verdana"/>
          <w:sz w:val="20"/>
          <w:szCs w:val="20"/>
        </w:rPr>
        <w:t xml:space="preserve"> recuerda que ha determinado una lesión</w:t>
      </w:r>
      <w:r>
        <w:rPr>
          <w:rFonts w:ascii="Verdana" w:hAnsi="Verdana"/>
          <w:sz w:val="20"/>
          <w:szCs w:val="20"/>
        </w:rPr>
        <w:t xml:space="preserve"> de </w:t>
      </w:r>
      <w:r w:rsidRPr="00306DCB">
        <w:rPr>
          <w:rFonts w:ascii="Verdana" w:hAnsi="Verdana"/>
          <w:sz w:val="20"/>
          <w:szCs w:val="20"/>
        </w:rPr>
        <w:t>los derechos, relacionados entre sí, a</w:t>
      </w:r>
      <w:r w:rsidRPr="00306DCB">
        <w:rPr>
          <w:rFonts w:ascii="Verdana" w:hAnsi="Verdana"/>
          <w:b/>
          <w:sz w:val="20"/>
          <w:szCs w:val="20"/>
        </w:rPr>
        <w:t xml:space="preserve"> </w:t>
      </w:r>
      <w:r w:rsidRPr="00306DCB">
        <w:rPr>
          <w:rFonts w:ascii="Verdana" w:hAnsi="Verdana"/>
          <w:sz w:val="20"/>
          <w:szCs w:val="20"/>
        </w:rPr>
        <w:t>la identidad cultural, al ambiente</w:t>
      </w:r>
      <w:r w:rsidR="00FF2C70">
        <w:rPr>
          <w:rFonts w:ascii="Verdana" w:hAnsi="Verdana"/>
          <w:sz w:val="20"/>
          <w:szCs w:val="20"/>
        </w:rPr>
        <w:t xml:space="preserve"> sano</w:t>
      </w:r>
      <w:r w:rsidRPr="00306DCB">
        <w:rPr>
          <w:rFonts w:ascii="Verdana" w:hAnsi="Verdana"/>
          <w:sz w:val="20"/>
          <w:szCs w:val="20"/>
        </w:rPr>
        <w:t>,</w:t>
      </w:r>
      <w:r w:rsidR="00FF2C70">
        <w:rPr>
          <w:rFonts w:ascii="Verdana" w:hAnsi="Verdana"/>
          <w:sz w:val="20"/>
          <w:szCs w:val="20"/>
        </w:rPr>
        <w:t xml:space="preserve"> a</w:t>
      </w:r>
      <w:r w:rsidRPr="00306DCB">
        <w:rPr>
          <w:rFonts w:ascii="Verdana" w:hAnsi="Verdana"/>
          <w:sz w:val="20"/>
          <w:szCs w:val="20"/>
        </w:rPr>
        <w:t xml:space="preserve"> la alimentación</w:t>
      </w:r>
      <w:r w:rsidR="00FF2C70">
        <w:rPr>
          <w:rFonts w:ascii="Verdana" w:hAnsi="Verdana"/>
          <w:sz w:val="20"/>
          <w:szCs w:val="20"/>
        </w:rPr>
        <w:t xml:space="preserve"> adecuada</w:t>
      </w:r>
      <w:r w:rsidRPr="00306DCB">
        <w:rPr>
          <w:rFonts w:ascii="Verdana" w:hAnsi="Verdana"/>
          <w:sz w:val="20"/>
          <w:szCs w:val="20"/>
        </w:rPr>
        <w:t xml:space="preserve"> y al agua. </w:t>
      </w:r>
    </w:p>
    <w:p w14:paraId="3EBF827F" w14:textId="77777777" w:rsidR="0056309D" w:rsidRDefault="0056309D" w:rsidP="0056309D">
      <w:pPr>
        <w:pStyle w:val="Prrafodelista"/>
        <w:spacing w:after="0" w:line="240" w:lineRule="auto"/>
        <w:ind w:left="0" w:right="6"/>
        <w:jc w:val="both"/>
        <w:rPr>
          <w:rFonts w:ascii="Verdana" w:eastAsia="Batang" w:hAnsi="Verdana" w:cs="Times"/>
          <w:sz w:val="20"/>
          <w:szCs w:val="20"/>
          <w:lang w:val="es-CR" w:eastAsia="es-CR"/>
        </w:rPr>
      </w:pPr>
    </w:p>
    <w:p w14:paraId="53FE1708" w14:textId="34047EC3" w:rsidR="0056309D"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306DCB">
        <w:rPr>
          <w:rFonts w:ascii="Verdana" w:hAnsi="Verdana"/>
          <w:sz w:val="20"/>
          <w:szCs w:val="20"/>
          <w:lang w:val="es-MX"/>
        </w:rPr>
        <w:t>En vista de lo anterior</w:t>
      </w:r>
      <w:r>
        <w:rPr>
          <w:rFonts w:ascii="Verdana" w:hAnsi="Verdana"/>
          <w:sz w:val="20"/>
          <w:szCs w:val="20"/>
          <w:lang w:val="es-MX"/>
        </w:rPr>
        <w:t>,</w:t>
      </w:r>
      <w:r w:rsidRPr="00306DCB">
        <w:rPr>
          <w:rFonts w:ascii="Verdana" w:hAnsi="Verdana"/>
          <w:sz w:val="20"/>
          <w:szCs w:val="20"/>
          <w:lang w:val="es-CR"/>
        </w:rPr>
        <w:t xml:space="preserve"> la Corte estima apropiado, </w:t>
      </w:r>
      <w:r w:rsidRPr="00306DCB">
        <w:rPr>
          <w:rFonts w:ascii="Verdana" w:hAnsi="Verdana"/>
          <w:sz w:val="20"/>
          <w:szCs w:val="20"/>
          <w:lang w:val="es-MX"/>
        </w:rPr>
        <w:t>como lo ha hecho en casos anteriores</w:t>
      </w:r>
      <w:r w:rsidRPr="00D5457D">
        <w:rPr>
          <w:rFonts w:ascii="Verdana" w:hAnsi="Verdana"/>
          <w:vertAlign w:val="superscript"/>
          <w:lang w:val="es-MX"/>
        </w:rPr>
        <w:footnoteReference w:id="327"/>
      </w:r>
      <w:r w:rsidR="00FC49A7">
        <w:rPr>
          <w:rFonts w:ascii="Verdana" w:hAnsi="Verdana"/>
          <w:sz w:val="20"/>
          <w:szCs w:val="20"/>
          <w:lang w:val="es-MX"/>
        </w:rPr>
        <w:t>, ordenar al Estado</w:t>
      </w:r>
      <w:r w:rsidRPr="00306DCB">
        <w:rPr>
          <w:rFonts w:ascii="Verdana" w:hAnsi="Verdana"/>
          <w:sz w:val="20"/>
          <w:szCs w:val="20"/>
          <w:lang w:val="es-MX"/>
        </w:rPr>
        <w:t xml:space="preserve"> la creación de un fondo de desarrollo comunitario (en adelante también “Fondo”) a efectos, principalmente, de reparar el daño a la identidad cultural, y considerando que funge también como compensación del daño material e inmaterial sufrido. En este sentido, dicho Fondo es adicional a cualquier otro beneficio presente o futuro que corresponda a las comunidades con motivo de los deberes generales de desarrollo del Estado</w:t>
      </w:r>
      <w:r w:rsidRPr="00D5457D">
        <w:rPr>
          <w:rStyle w:val="Refdenotaalpie"/>
          <w:rFonts w:ascii="Verdana" w:hAnsi="Verdana"/>
          <w:lang w:val="es-MX"/>
        </w:rPr>
        <w:footnoteReference w:id="328"/>
      </w:r>
      <w:r w:rsidRPr="00306DCB">
        <w:rPr>
          <w:rFonts w:ascii="Verdana" w:hAnsi="Verdana"/>
          <w:sz w:val="20"/>
          <w:szCs w:val="20"/>
          <w:lang w:val="es-MX"/>
        </w:rPr>
        <w:t>.</w:t>
      </w:r>
    </w:p>
    <w:p w14:paraId="55C66B7E" w14:textId="77777777" w:rsidR="0056309D" w:rsidRPr="00306DCB" w:rsidRDefault="0056309D" w:rsidP="0056309D">
      <w:pPr>
        <w:pStyle w:val="Prrafodelista"/>
        <w:spacing w:line="240" w:lineRule="auto"/>
        <w:rPr>
          <w:rFonts w:ascii="Verdana" w:hAnsi="Verdana"/>
          <w:sz w:val="20"/>
          <w:szCs w:val="20"/>
        </w:rPr>
      </w:pPr>
    </w:p>
    <w:p w14:paraId="38169598" w14:textId="1A433E84" w:rsidR="0056309D"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306DCB">
        <w:rPr>
          <w:rFonts w:ascii="Verdana" w:hAnsi="Verdana"/>
          <w:sz w:val="20"/>
          <w:szCs w:val="20"/>
        </w:rPr>
        <w:t>En la presente Sentencia</w:t>
      </w:r>
      <w:r w:rsidR="004F7339">
        <w:rPr>
          <w:rFonts w:ascii="Verdana" w:hAnsi="Verdana"/>
          <w:sz w:val="20"/>
          <w:szCs w:val="20"/>
        </w:rPr>
        <w:t>,</w:t>
      </w:r>
      <w:r w:rsidRPr="00306DCB">
        <w:rPr>
          <w:rFonts w:ascii="Verdana" w:hAnsi="Verdana"/>
          <w:sz w:val="20"/>
          <w:szCs w:val="20"/>
        </w:rPr>
        <w:t xml:space="preserve"> la Corte estableció una lesión a la identidad cultural de las comunidades indígenas víctimas, relacionada con recursos naturales y alimentarios. En consecuencia, la Corte ordena que el fondo de desarrollo comunitario sea destinado a acciones dirigidas a la recuperación de la cultura indígena, incluyendo entre sus objetivos, sin perjuicio de otros posibles, el desarrollo de programas atinentes a seguridad alimentaria y documentación, enseñanza o difusión de la historia de las tradiciones de las comunidades indígenas víctimas. La determinación de los objetivos puntuales a los que debe destinarse el Fondo, que deben contemplar los indicados, deberá ser decidida por las comunidades indígenas víctimas, y comunicada a las autoridades estatales y a la Corte en el plazo máximo de seis meses a partir de </w:t>
      </w:r>
      <w:r w:rsidR="004F7339">
        <w:rPr>
          <w:rFonts w:ascii="Verdana" w:hAnsi="Verdana"/>
          <w:sz w:val="20"/>
          <w:szCs w:val="20"/>
        </w:rPr>
        <w:t xml:space="preserve">la </w:t>
      </w:r>
      <w:r w:rsidR="004F7339">
        <w:rPr>
          <w:rFonts w:ascii="Verdana" w:hAnsi="Verdana"/>
          <w:sz w:val="20"/>
          <w:szCs w:val="20"/>
        </w:rPr>
        <w:lastRenderedPageBreak/>
        <w:t>notificación de la presente S</w:t>
      </w:r>
      <w:r w:rsidRPr="00306DCB">
        <w:rPr>
          <w:rFonts w:ascii="Verdana" w:hAnsi="Verdana"/>
          <w:sz w:val="20"/>
          <w:szCs w:val="20"/>
        </w:rPr>
        <w:t>entencia. El diseño y ejecución de los programas respectivos, a partir de los objetivos fijados, deberá contar con la participación activa de las comunidades indígenas víctimas y sus representantes.</w:t>
      </w:r>
    </w:p>
    <w:p w14:paraId="5575B35F" w14:textId="77777777" w:rsidR="0056309D" w:rsidRPr="00306DCB" w:rsidRDefault="0056309D" w:rsidP="0056309D">
      <w:pPr>
        <w:pStyle w:val="Prrafodelista"/>
        <w:spacing w:line="240" w:lineRule="auto"/>
        <w:rPr>
          <w:rFonts w:ascii="Verdana" w:hAnsi="Verdana"/>
          <w:sz w:val="20"/>
          <w:szCs w:val="20"/>
          <w:lang w:val="es-MX"/>
        </w:rPr>
      </w:pPr>
    </w:p>
    <w:p w14:paraId="1F6F2479" w14:textId="44B8F53A" w:rsidR="0056309D"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306DCB">
        <w:rPr>
          <w:rFonts w:ascii="Verdana" w:hAnsi="Verdana"/>
          <w:sz w:val="20"/>
          <w:szCs w:val="20"/>
          <w:lang w:val="es-MX"/>
        </w:rPr>
        <w:t>El Estado deberá adoptar todas las medidas administrativas, legislativas, financieras</w:t>
      </w:r>
      <w:r>
        <w:rPr>
          <w:rFonts w:ascii="Verdana" w:hAnsi="Verdana"/>
          <w:sz w:val="20"/>
          <w:szCs w:val="20"/>
          <w:lang w:val="es-MX"/>
        </w:rPr>
        <w:t>,</w:t>
      </w:r>
      <w:r w:rsidRPr="00306DCB">
        <w:rPr>
          <w:rFonts w:ascii="Verdana" w:hAnsi="Verdana"/>
          <w:sz w:val="20"/>
          <w:szCs w:val="20"/>
          <w:lang w:val="es-MX"/>
        </w:rPr>
        <w:t xml:space="preserve"> de recursos humanos</w:t>
      </w:r>
      <w:r>
        <w:rPr>
          <w:rFonts w:ascii="Verdana" w:hAnsi="Verdana"/>
          <w:sz w:val="20"/>
          <w:szCs w:val="20"/>
          <w:lang w:val="es-MX"/>
        </w:rPr>
        <w:t xml:space="preserve"> y de cualquier otra índole</w:t>
      </w:r>
      <w:r w:rsidRPr="00306DCB">
        <w:rPr>
          <w:rFonts w:ascii="Verdana" w:hAnsi="Verdana"/>
          <w:sz w:val="20"/>
          <w:szCs w:val="20"/>
          <w:lang w:val="es-MX"/>
        </w:rPr>
        <w:t xml:space="preserve"> necesarias para la constitución</w:t>
      </w:r>
      <w:r w:rsidRPr="00306DCB">
        <w:rPr>
          <w:rFonts w:ascii="Verdana" w:hAnsi="Verdana"/>
          <w:b/>
          <w:sz w:val="20"/>
          <w:szCs w:val="20"/>
          <w:lang w:val="es-MX"/>
        </w:rPr>
        <w:t xml:space="preserve"> </w:t>
      </w:r>
      <w:r w:rsidRPr="00306DCB">
        <w:rPr>
          <w:rFonts w:ascii="Verdana" w:hAnsi="Verdana"/>
          <w:sz w:val="20"/>
          <w:szCs w:val="20"/>
          <w:lang w:val="es-MX"/>
        </w:rPr>
        <w:t>oportuna</w:t>
      </w:r>
      <w:r w:rsidRPr="00306DCB">
        <w:rPr>
          <w:rFonts w:ascii="Verdana" w:hAnsi="Verdana"/>
          <w:b/>
          <w:sz w:val="20"/>
          <w:szCs w:val="20"/>
          <w:lang w:val="es-MX"/>
        </w:rPr>
        <w:t xml:space="preserve"> </w:t>
      </w:r>
      <w:r w:rsidRPr="00306DCB">
        <w:rPr>
          <w:rFonts w:ascii="Verdana" w:hAnsi="Verdana"/>
          <w:sz w:val="20"/>
          <w:szCs w:val="20"/>
          <w:lang w:val="es-MX"/>
        </w:rPr>
        <w:t>de este Fondo, de modo que el dinero asignado al mismo pueda invertirse en forma efectiva, en los programas y acciones correspondientes, en los plazos fijados en los mi</w:t>
      </w:r>
      <w:r w:rsidR="00B85156">
        <w:rPr>
          <w:rFonts w:ascii="Verdana" w:hAnsi="Verdana"/>
          <w:sz w:val="20"/>
          <w:szCs w:val="20"/>
          <w:lang w:val="es-MX"/>
        </w:rPr>
        <w:t>smos y, en todo caso, en un perí</w:t>
      </w:r>
      <w:r w:rsidRPr="00306DCB">
        <w:rPr>
          <w:rFonts w:ascii="Verdana" w:hAnsi="Verdana"/>
          <w:sz w:val="20"/>
          <w:szCs w:val="20"/>
          <w:lang w:val="es-MX"/>
        </w:rPr>
        <w:t>odo no mayor a cuatro años a partir de la notificación de la presente Sentencia. La administración del Fondo estará a cargo de un Comité que se creará al efecto, que estará integrado por una persona designada por las comunidades indígenas víctimas en el presente caso, una persona designada por el Estado y una tercera persona designada de común acuerdo por las dos primeras. El Comité indicado debe quedar constituido en el plazo de seis meses a partir de la notificación de la presente Sentencia</w:t>
      </w:r>
      <w:r w:rsidRPr="00B85156">
        <w:rPr>
          <w:rFonts w:ascii="Verdana" w:hAnsi="Verdana"/>
          <w:sz w:val="20"/>
          <w:szCs w:val="20"/>
          <w:lang w:val="es-MX"/>
        </w:rPr>
        <w:t xml:space="preserve">. </w:t>
      </w:r>
      <w:r w:rsidRPr="00306DCB">
        <w:rPr>
          <w:rFonts w:ascii="Verdana" w:hAnsi="Verdana"/>
          <w:sz w:val="20"/>
          <w:szCs w:val="20"/>
          <w:lang w:val="es-MX"/>
        </w:rPr>
        <w:t xml:space="preserve"> </w:t>
      </w:r>
    </w:p>
    <w:p w14:paraId="05D6EB16" w14:textId="77777777" w:rsidR="0056309D" w:rsidRPr="00306DCB" w:rsidRDefault="0056309D" w:rsidP="0056309D">
      <w:pPr>
        <w:pStyle w:val="Prrafodelista"/>
        <w:spacing w:line="240" w:lineRule="auto"/>
        <w:rPr>
          <w:rFonts w:ascii="Verdana" w:hAnsi="Verdana"/>
          <w:sz w:val="20"/>
          <w:szCs w:val="20"/>
          <w:lang w:val="es-MX"/>
        </w:rPr>
      </w:pPr>
    </w:p>
    <w:p w14:paraId="21055627" w14:textId="77777777" w:rsidR="0056309D"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306DCB">
        <w:rPr>
          <w:rFonts w:ascii="Verdana" w:hAnsi="Verdana"/>
          <w:sz w:val="20"/>
          <w:szCs w:val="20"/>
          <w:lang w:val="es-MX"/>
        </w:rPr>
        <w:t>El eventual incumplimiento de los plazos fijados en los dos párrafos anteriores para la determinación de los objetivos a los que debe destinarse el Fondo o respecto a la determinación del Comité</w:t>
      </w:r>
      <w:r>
        <w:rPr>
          <w:rFonts w:ascii="Verdana" w:hAnsi="Verdana"/>
          <w:sz w:val="20"/>
          <w:szCs w:val="20"/>
          <w:lang w:val="es-MX"/>
        </w:rPr>
        <w:t>,</w:t>
      </w:r>
      <w:r w:rsidRPr="00306DCB">
        <w:rPr>
          <w:rFonts w:ascii="Verdana" w:hAnsi="Verdana"/>
          <w:sz w:val="20"/>
          <w:szCs w:val="20"/>
          <w:lang w:val="es-MX"/>
        </w:rPr>
        <w:t xml:space="preserve"> no exime al Estado del cumplimiento de la medida ordenada. En su caso, las autoridades estatales quedarán habilitadas para realizar las determinaciones correspondientes y deberán efectuar las acciones necesarias para la utilización efectiva del monto asignado al Fondo dentro del plazo previsto.</w:t>
      </w:r>
    </w:p>
    <w:p w14:paraId="64C6E19E" w14:textId="77777777" w:rsidR="0056309D" w:rsidRPr="00306DCB" w:rsidRDefault="0056309D" w:rsidP="0056309D">
      <w:pPr>
        <w:pStyle w:val="Prrafodelista"/>
        <w:spacing w:line="240" w:lineRule="auto"/>
        <w:rPr>
          <w:rFonts w:ascii="Verdana" w:hAnsi="Verdana"/>
          <w:sz w:val="20"/>
          <w:szCs w:val="20"/>
        </w:rPr>
      </w:pPr>
    </w:p>
    <w:p w14:paraId="3CCA673B" w14:textId="3BAF1042" w:rsidR="0056309D"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306DCB">
        <w:rPr>
          <w:rFonts w:ascii="Verdana" w:hAnsi="Verdana"/>
          <w:sz w:val="20"/>
          <w:szCs w:val="20"/>
        </w:rPr>
        <w:t xml:space="preserve">Para el Fondo indicado, el Estado deberá destinar la cantidad de US$ 2.000.000,00 (dos millones de dólares de los Estados Unidos de América), la cual será invertida de acuerdo con los </w:t>
      </w:r>
      <w:r w:rsidR="00B85156">
        <w:rPr>
          <w:rFonts w:ascii="Verdana" w:hAnsi="Verdana"/>
          <w:sz w:val="20"/>
          <w:szCs w:val="20"/>
        </w:rPr>
        <w:t>objetivos propuestos, en el perí</w:t>
      </w:r>
      <w:r w:rsidRPr="00306DCB">
        <w:rPr>
          <w:rFonts w:ascii="Verdana" w:hAnsi="Verdana"/>
          <w:sz w:val="20"/>
          <w:szCs w:val="20"/>
        </w:rPr>
        <w:t xml:space="preserve">odo </w:t>
      </w:r>
      <w:r>
        <w:rPr>
          <w:rFonts w:ascii="Verdana" w:hAnsi="Verdana"/>
          <w:sz w:val="20"/>
          <w:szCs w:val="20"/>
        </w:rPr>
        <w:t xml:space="preserve">fijado </w:t>
      </w:r>
      <w:r w:rsidRPr="00306DCB">
        <w:rPr>
          <w:rFonts w:ascii="Verdana" w:hAnsi="Verdana"/>
          <w:sz w:val="20"/>
          <w:szCs w:val="20"/>
        </w:rPr>
        <w:t xml:space="preserve">no mayor a </w:t>
      </w:r>
      <w:r>
        <w:rPr>
          <w:rFonts w:ascii="Verdana" w:hAnsi="Verdana"/>
          <w:sz w:val="20"/>
          <w:szCs w:val="20"/>
        </w:rPr>
        <w:t>cuatro</w:t>
      </w:r>
      <w:r w:rsidRPr="00306DCB">
        <w:rPr>
          <w:rFonts w:ascii="Verdana" w:hAnsi="Verdana"/>
          <w:sz w:val="20"/>
          <w:szCs w:val="20"/>
        </w:rPr>
        <w:t xml:space="preserve"> años a partir de la notificación de la presente Sentencia. En la determinación del monto asignado al Fondo</w:t>
      </w:r>
      <w:r w:rsidR="00B85156">
        <w:rPr>
          <w:rFonts w:ascii="Verdana" w:hAnsi="Verdana"/>
          <w:sz w:val="20"/>
          <w:szCs w:val="20"/>
        </w:rPr>
        <w:t>,</w:t>
      </w:r>
      <w:r w:rsidRPr="00306DCB">
        <w:rPr>
          <w:rFonts w:ascii="Verdana" w:hAnsi="Verdana"/>
          <w:sz w:val="20"/>
          <w:szCs w:val="20"/>
        </w:rPr>
        <w:t xml:space="preserve"> la Corte tiene en cuenta la necesidad de que el mismo resulte razonable para cumplir </w:t>
      </w:r>
      <w:r w:rsidR="00DE5A24">
        <w:rPr>
          <w:rFonts w:ascii="Verdana" w:hAnsi="Verdana"/>
          <w:sz w:val="20"/>
          <w:szCs w:val="20"/>
        </w:rPr>
        <w:t xml:space="preserve">con </w:t>
      </w:r>
      <w:r w:rsidRPr="00306DCB">
        <w:rPr>
          <w:rFonts w:ascii="Verdana" w:hAnsi="Verdana"/>
          <w:sz w:val="20"/>
          <w:szCs w:val="20"/>
        </w:rPr>
        <w:t>la finalidad de la medida y también</w:t>
      </w:r>
      <w:r w:rsidR="00DE5A24">
        <w:rPr>
          <w:rFonts w:ascii="Verdana" w:hAnsi="Verdana"/>
          <w:sz w:val="20"/>
          <w:szCs w:val="20"/>
        </w:rPr>
        <w:t xml:space="preserve"> </w:t>
      </w:r>
      <w:r w:rsidRPr="00306DCB">
        <w:rPr>
          <w:rFonts w:ascii="Verdana" w:hAnsi="Verdana"/>
          <w:sz w:val="20"/>
          <w:szCs w:val="20"/>
        </w:rPr>
        <w:t>el resto de las medidas dispuestas y la complejidad y costos que conllevan.</w:t>
      </w:r>
    </w:p>
    <w:p w14:paraId="3BE70D70" w14:textId="77777777" w:rsidR="0056309D" w:rsidRDefault="0056309D" w:rsidP="0056309D">
      <w:pPr>
        <w:pStyle w:val="Prrafodelista"/>
        <w:spacing w:line="240" w:lineRule="auto"/>
        <w:rPr>
          <w:rFonts w:ascii="Verdana" w:hAnsi="Verdana"/>
          <w:sz w:val="20"/>
          <w:szCs w:val="20"/>
        </w:rPr>
      </w:pPr>
    </w:p>
    <w:p w14:paraId="29FB54B6" w14:textId="77777777" w:rsidR="0056309D" w:rsidRPr="003F7CD7" w:rsidRDefault="0056309D" w:rsidP="0056309D">
      <w:pPr>
        <w:pStyle w:val="Prrafodelista"/>
        <w:spacing w:line="240" w:lineRule="auto"/>
        <w:ind w:left="567"/>
        <w:outlineLvl w:val="2"/>
        <w:rPr>
          <w:rFonts w:ascii="Verdana" w:hAnsi="Verdana"/>
          <w:b/>
          <w:i/>
          <w:sz w:val="20"/>
          <w:szCs w:val="20"/>
          <w:lang w:val="es-CR"/>
        </w:rPr>
      </w:pPr>
      <w:bookmarkStart w:id="348" w:name="_Toc32218895"/>
      <w:bookmarkStart w:id="349" w:name="_Toc32227175"/>
      <w:bookmarkStart w:id="350" w:name="_Toc34337602"/>
      <w:r w:rsidRPr="003F7CD7">
        <w:rPr>
          <w:rFonts w:ascii="Verdana" w:hAnsi="Verdana"/>
          <w:b/>
          <w:i/>
          <w:sz w:val="20"/>
          <w:szCs w:val="20"/>
          <w:lang w:val="es-CR"/>
        </w:rPr>
        <w:t>B.4.</w:t>
      </w:r>
      <w:r w:rsidRPr="00CA3B08">
        <w:rPr>
          <w:rFonts w:ascii="Verdana" w:hAnsi="Verdana"/>
          <w:b/>
          <w:i/>
          <w:sz w:val="20"/>
          <w:szCs w:val="20"/>
          <w:lang w:val="es-CR"/>
        </w:rPr>
        <w:t xml:space="preserve">Consideraciones adicionales, </w:t>
      </w:r>
      <w:r w:rsidRPr="00CA3B08">
        <w:rPr>
          <w:rFonts w:ascii="Verdana" w:hAnsi="Verdana"/>
          <w:b/>
          <w:i/>
          <w:sz w:val="20"/>
          <w:szCs w:val="20"/>
        </w:rPr>
        <w:t>informes estatales, plan de trabajo y acciones para la supervisión de las medias ordenadas</w:t>
      </w:r>
      <w:bookmarkEnd w:id="348"/>
      <w:bookmarkEnd w:id="349"/>
      <w:bookmarkEnd w:id="350"/>
    </w:p>
    <w:p w14:paraId="29ED877C" w14:textId="77777777" w:rsidR="0056309D" w:rsidRPr="00306DCB" w:rsidRDefault="0056309D" w:rsidP="0056309D">
      <w:pPr>
        <w:pStyle w:val="Prrafodelista"/>
        <w:spacing w:line="240" w:lineRule="auto"/>
        <w:rPr>
          <w:rFonts w:ascii="Verdana" w:hAnsi="Verdana"/>
          <w:sz w:val="20"/>
          <w:szCs w:val="20"/>
        </w:rPr>
      </w:pPr>
    </w:p>
    <w:p w14:paraId="187370D3" w14:textId="77777777" w:rsidR="0056309D" w:rsidRPr="00306DCB"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306DCB">
        <w:rPr>
          <w:rFonts w:ascii="Verdana" w:hAnsi="Verdana"/>
          <w:sz w:val="20"/>
          <w:szCs w:val="20"/>
        </w:rPr>
        <w:t xml:space="preserve">Todo lo ordenado en los párrafos precedentes compromete al Estado en su conjunto, en los términos del artículo 28 de la Convención. El Estado no puede aducir su sistema federal como obstáculo para el cumplimiento de ninguna de las medidas ordenadas en la presente Sentencia. </w:t>
      </w:r>
    </w:p>
    <w:p w14:paraId="1FBBFACA" w14:textId="77777777" w:rsidR="0056309D" w:rsidRDefault="0056309D" w:rsidP="0056309D">
      <w:pPr>
        <w:pStyle w:val="Prrafodelista"/>
        <w:spacing w:after="0" w:line="240" w:lineRule="auto"/>
        <w:ind w:left="0" w:right="6"/>
        <w:jc w:val="both"/>
        <w:rPr>
          <w:rFonts w:ascii="Verdana" w:eastAsia="Batang" w:hAnsi="Verdana" w:cs="Times"/>
          <w:sz w:val="20"/>
          <w:szCs w:val="20"/>
          <w:lang w:val="es-CR" w:eastAsia="es-CR"/>
        </w:rPr>
      </w:pPr>
    </w:p>
    <w:p w14:paraId="0990CA56" w14:textId="02E8DF95" w:rsidR="0056309D" w:rsidRPr="00306DCB"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306DCB">
        <w:rPr>
          <w:rFonts w:ascii="Verdana" w:hAnsi="Verdana"/>
          <w:sz w:val="20"/>
          <w:szCs w:val="20"/>
        </w:rPr>
        <w:t xml:space="preserve">A fin de </w:t>
      </w:r>
      <w:r w:rsidRPr="00FC49A7">
        <w:rPr>
          <w:rFonts w:ascii="Verdana" w:hAnsi="Verdana"/>
          <w:sz w:val="20"/>
          <w:szCs w:val="20"/>
        </w:rPr>
        <w:t>facilitar la supervisión del cumplimiento de las medidas de restitución</w:t>
      </w:r>
      <w:r w:rsidR="005C7B3D" w:rsidRPr="00FC49A7">
        <w:rPr>
          <w:rFonts w:ascii="Verdana" w:hAnsi="Verdana"/>
          <w:sz w:val="20"/>
          <w:szCs w:val="20"/>
        </w:rPr>
        <w:t xml:space="preserve"> del derecho de propiedad</w:t>
      </w:r>
      <w:r w:rsidRPr="00FC49A7">
        <w:rPr>
          <w:rFonts w:ascii="Verdana" w:hAnsi="Verdana"/>
          <w:sz w:val="20"/>
          <w:szCs w:val="20"/>
        </w:rPr>
        <w:t xml:space="preserve"> ordenadas</w:t>
      </w:r>
      <w:r w:rsidR="005C7B3D" w:rsidRPr="00FC49A7">
        <w:rPr>
          <w:rFonts w:ascii="Verdana" w:hAnsi="Verdana"/>
          <w:sz w:val="20"/>
          <w:szCs w:val="20"/>
        </w:rPr>
        <w:t xml:space="preserve"> (</w:t>
      </w:r>
      <w:r w:rsidR="005C7B3D" w:rsidRPr="00FC49A7">
        <w:rPr>
          <w:rFonts w:ascii="Verdana" w:hAnsi="Verdana"/>
          <w:i/>
          <w:sz w:val="20"/>
          <w:szCs w:val="20"/>
        </w:rPr>
        <w:t>supra</w:t>
      </w:r>
      <w:r w:rsidR="005C7B3D" w:rsidRPr="00FC49A7">
        <w:rPr>
          <w:rFonts w:ascii="Verdana" w:hAnsi="Verdana"/>
          <w:sz w:val="20"/>
          <w:szCs w:val="20"/>
        </w:rPr>
        <w:t xml:space="preserve"> párrs. 327 a 330)</w:t>
      </w:r>
      <w:r w:rsidRPr="00FC49A7">
        <w:rPr>
          <w:rFonts w:ascii="Verdana" w:hAnsi="Verdana"/>
          <w:sz w:val="20"/>
          <w:szCs w:val="20"/>
        </w:rPr>
        <w:t>, y en atención a los plazos fijados para ello, la Corte considera útil que el Estado</w:t>
      </w:r>
      <w:r w:rsidR="00FC49A7">
        <w:rPr>
          <w:rFonts w:ascii="Verdana" w:hAnsi="Verdana"/>
          <w:sz w:val="20"/>
          <w:szCs w:val="20"/>
        </w:rPr>
        <w:t>,</w:t>
      </w:r>
      <w:r w:rsidRPr="00FC49A7">
        <w:rPr>
          <w:rFonts w:ascii="Verdana" w:hAnsi="Verdana"/>
          <w:sz w:val="20"/>
          <w:szCs w:val="20"/>
        </w:rPr>
        <w:t xml:space="preserve"> durante seis años a partir de la notificación de esta Sentencia, presente a este Tribunal información periódica. Por ello, ordena al Estado que, a partir de dicha notificación, cada </w:t>
      </w:r>
      <w:r w:rsidR="00B85156" w:rsidRPr="00FC49A7">
        <w:rPr>
          <w:rFonts w:ascii="Verdana" w:hAnsi="Verdana"/>
          <w:sz w:val="20"/>
          <w:szCs w:val="20"/>
        </w:rPr>
        <w:t>seis</w:t>
      </w:r>
      <w:r w:rsidRPr="00FC49A7">
        <w:rPr>
          <w:rFonts w:ascii="Verdana" w:hAnsi="Verdana"/>
          <w:sz w:val="20"/>
          <w:szCs w:val="20"/>
        </w:rPr>
        <w:t xml:space="preserve"> meses presente un informe en que se detallen las acciones y avances efectivizados en el cumplimiento de cada una de las medidas de restitución </w:t>
      </w:r>
      <w:r w:rsidR="005C7B3D" w:rsidRPr="00FC49A7">
        <w:rPr>
          <w:rFonts w:ascii="Verdana" w:hAnsi="Verdana"/>
          <w:sz w:val="20"/>
          <w:szCs w:val="20"/>
        </w:rPr>
        <w:t xml:space="preserve">del derecho de propiedad </w:t>
      </w:r>
      <w:r w:rsidRPr="00FC49A7">
        <w:rPr>
          <w:rFonts w:ascii="Verdana" w:hAnsi="Verdana"/>
          <w:sz w:val="20"/>
          <w:szCs w:val="20"/>
        </w:rPr>
        <w:t xml:space="preserve">ordenadas. El primer informe semestral que rinda Argentina, además de incluir los avances que se hubieren logrado, deberá consistir en un plan de trabajo detallado, a cumplirse en seis años desde la notificación al Estado de la presente Sentencia, de cada una de las acciones o pasos que deben ser ejecutados por el Estado para alcanzar el cumplimiento total de cada una de las medidas de restitución </w:t>
      </w:r>
      <w:r w:rsidR="005C7B3D" w:rsidRPr="00FC49A7">
        <w:rPr>
          <w:rFonts w:ascii="Verdana" w:hAnsi="Verdana"/>
          <w:sz w:val="20"/>
          <w:szCs w:val="20"/>
        </w:rPr>
        <w:t xml:space="preserve">del derecho de propiedad </w:t>
      </w:r>
      <w:r w:rsidRPr="00FC49A7">
        <w:rPr>
          <w:rFonts w:ascii="Verdana" w:hAnsi="Verdana"/>
          <w:sz w:val="20"/>
          <w:szCs w:val="20"/>
        </w:rPr>
        <w:t>ordenadas. En este plan se debe indicar, además de las referidas acciones o pasos, cuáles</w:t>
      </w:r>
      <w:r w:rsidRPr="00306DCB">
        <w:rPr>
          <w:rFonts w:ascii="Verdana" w:hAnsi="Verdana"/>
          <w:sz w:val="20"/>
          <w:szCs w:val="20"/>
        </w:rPr>
        <w:t xml:space="preserve"> son los órganos, instituciones o autoridades estatales que serán responsables de implementarlos y el plazo en que </w:t>
      </w:r>
      <w:r w:rsidRPr="00306DCB">
        <w:rPr>
          <w:rFonts w:ascii="Verdana" w:hAnsi="Verdana"/>
          <w:sz w:val="20"/>
          <w:szCs w:val="20"/>
        </w:rPr>
        <w:lastRenderedPageBreak/>
        <w:t>cada acción será ejecutada. La presentación del plan de trabajo es responsabilidad del Estado, pero Argentina debe, de modo previo a tal acto, permitir a los representantes, si estos lo solicitan, remitir consideraciones o propuestas a las autoridades a cargo de la elaboración de dicho plan. Los siguientes informes semestrales que rinda el Estado deberán dar cuenta</w:t>
      </w:r>
      <w:r w:rsidR="00346FC2">
        <w:rPr>
          <w:rFonts w:ascii="Verdana" w:hAnsi="Verdana"/>
          <w:sz w:val="20"/>
          <w:szCs w:val="20"/>
        </w:rPr>
        <w:t>,</w:t>
      </w:r>
      <w:r w:rsidRPr="00306DCB">
        <w:rPr>
          <w:rFonts w:ascii="Verdana" w:hAnsi="Verdana"/>
          <w:sz w:val="20"/>
          <w:szCs w:val="20"/>
        </w:rPr>
        <w:t xml:space="preserve"> de manera detallada y actualizada</w:t>
      </w:r>
      <w:r w:rsidR="00346FC2">
        <w:rPr>
          <w:rFonts w:ascii="Verdana" w:hAnsi="Verdana"/>
          <w:sz w:val="20"/>
          <w:szCs w:val="20"/>
        </w:rPr>
        <w:t>,</w:t>
      </w:r>
      <w:r w:rsidRPr="00306DCB">
        <w:rPr>
          <w:rFonts w:ascii="Verdana" w:hAnsi="Verdana"/>
          <w:sz w:val="20"/>
          <w:szCs w:val="20"/>
        </w:rPr>
        <w:t xml:space="preserve"> sobre los avances que se vayan presentando en la ejecución de cada una las medidas de restitución</w:t>
      </w:r>
      <w:r w:rsidR="00346FC2">
        <w:rPr>
          <w:rFonts w:ascii="Verdana" w:hAnsi="Verdana"/>
          <w:sz w:val="20"/>
          <w:szCs w:val="20"/>
        </w:rPr>
        <w:t xml:space="preserve"> del derecho de propiedad</w:t>
      </w:r>
      <w:r w:rsidRPr="00306DCB">
        <w:rPr>
          <w:rFonts w:ascii="Verdana" w:hAnsi="Verdana"/>
          <w:sz w:val="20"/>
          <w:szCs w:val="20"/>
        </w:rPr>
        <w:t>, en seguimiento al plan de trabajo presentado en el referido informe semestral inicial</w:t>
      </w:r>
      <w:r w:rsidRPr="00B85156">
        <w:rPr>
          <w:rFonts w:ascii="Verdana" w:hAnsi="Verdana"/>
          <w:sz w:val="20"/>
          <w:szCs w:val="20"/>
        </w:rPr>
        <w:t xml:space="preserve">. </w:t>
      </w:r>
      <w:r w:rsidRPr="00306DCB">
        <w:rPr>
          <w:rFonts w:ascii="Verdana" w:hAnsi="Verdana"/>
          <w:sz w:val="20"/>
          <w:szCs w:val="20"/>
        </w:rPr>
        <w:t xml:space="preserve">La presentación de estos informes </w:t>
      </w:r>
      <w:r w:rsidR="00DB2FD9">
        <w:rPr>
          <w:rFonts w:ascii="Verdana" w:hAnsi="Verdana"/>
          <w:sz w:val="20"/>
          <w:szCs w:val="20"/>
        </w:rPr>
        <w:t xml:space="preserve">estatales </w:t>
      </w:r>
      <w:r w:rsidRPr="00306DCB">
        <w:rPr>
          <w:rFonts w:ascii="Verdana" w:hAnsi="Verdana"/>
          <w:sz w:val="20"/>
          <w:szCs w:val="20"/>
        </w:rPr>
        <w:t>es independiente de</w:t>
      </w:r>
      <w:r w:rsidR="00B47EB8">
        <w:rPr>
          <w:rFonts w:ascii="Verdana" w:hAnsi="Verdana"/>
          <w:sz w:val="20"/>
          <w:szCs w:val="20"/>
        </w:rPr>
        <w:t xml:space="preserve"> </w:t>
      </w:r>
      <w:r w:rsidRPr="00306DCB">
        <w:rPr>
          <w:rFonts w:ascii="Verdana" w:hAnsi="Verdana"/>
          <w:sz w:val="20"/>
          <w:szCs w:val="20"/>
        </w:rPr>
        <w:t>l</w:t>
      </w:r>
      <w:r w:rsidR="00B47EB8">
        <w:rPr>
          <w:rFonts w:ascii="Verdana" w:hAnsi="Verdana"/>
          <w:sz w:val="20"/>
          <w:szCs w:val="20"/>
        </w:rPr>
        <w:t>a remisión de</w:t>
      </w:r>
      <w:r w:rsidR="00346FC2">
        <w:rPr>
          <w:rFonts w:ascii="Verdana" w:hAnsi="Verdana"/>
          <w:sz w:val="20"/>
          <w:szCs w:val="20"/>
        </w:rPr>
        <w:t xml:space="preserve"> </w:t>
      </w:r>
      <w:r w:rsidR="00B47EB8">
        <w:rPr>
          <w:rFonts w:ascii="Verdana" w:hAnsi="Verdana"/>
          <w:sz w:val="20"/>
          <w:szCs w:val="20"/>
        </w:rPr>
        <w:t>l</w:t>
      </w:r>
      <w:r w:rsidR="00346FC2">
        <w:rPr>
          <w:rFonts w:ascii="Verdana" w:hAnsi="Verdana"/>
          <w:sz w:val="20"/>
          <w:szCs w:val="20"/>
        </w:rPr>
        <w:t>os</w:t>
      </w:r>
      <w:r w:rsidR="00B47EB8">
        <w:rPr>
          <w:rFonts w:ascii="Verdana" w:hAnsi="Verdana"/>
          <w:sz w:val="20"/>
          <w:szCs w:val="20"/>
        </w:rPr>
        <w:t xml:space="preserve"> estudio</w:t>
      </w:r>
      <w:r w:rsidR="00346FC2">
        <w:rPr>
          <w:rFonts w:ascii="Verdana" w:hAnsi="Verdana"/>
          <w:sz w:val="20"/>
          <w:szCs w:val="20"/>
        </w:rPr>
        <w:t>s</w:t>
      </w:r>
      <w:r w:rsidR="00B47EB8">
        <w:rPr>
          <w:rFonts w:ascii="Verdana" w:hAnsi="Verdana"/>
          <w:sz w:val="20"/>
          <w:szCs w:val="20"/>
        </w:rPr>
        <w:t xml:space="preserve"> y </w:t>
      </w:r>
      <w:r w:rsidR="00346FC2">
        <w:rPr>
          <w:rFonts w:ascii="Verdana" w:hAnsi="Verdana"/>
          <w:sz w:val="20"/>
          <w:szCs w:val="20"/>
        </w:rPr>
        <w:t xml:space="preserve">el </w:t>
      </w:r>
      <w:r w:rsidR="00B47EB8">
        <w:rPr>
          <w:rFonts w:ascii="Verdana" w:hAnsi="Verdana"/>
          <w:sz w:val="20"/>
          <w:szCs w:val="20"/>
        </w:rPr>
        <w:t>pl</w:t>
      </w:r>
      <w:r w:rsidR="00346FC2">
        <w:rPr>
          <w:rFonts w:ascii="Verdana" w:hAnsi="Verdana"/>
          <w:sz w:val="20"/>
          <w:szCs w:val="20"/>
        </w:rPr>
        <w:t>an de acción mandada</w:t>
      </w:r>
      <w:r w:rsidRPr="00306DCB">
        <w:rPr>
          <w:rFonts w:ascii="Verdana" w:hAnsi="Verdana"/>
          <w:sz w:val="20"/>
          <w:szCs w:val="20"/>
        </w:rPr>
        <w:t xml:space="preserve"> en l</w:t>
      </w:r>
      <w:r w:rsidR="00346FC2">
        <w:rPr>
          <w:rFonts w:ascii="Verdana" w:hAnsi="Verdana"/>
          <w:sz w:val="20"/>
          <w:szCs w:val="20"/>
        </w:rPr>
        <w:t>os</w:t>
      </w:r>
      <w:r w:rsidRPr="00306DCB">
        <w:rPr>
          <w:rFonts w:ascii="Verdana" w:hAnsi="Verdana"/>
          <w:sz w:val="20"/>
          <w:szCs w:val="20"/>
        </w:rPr>
        <w:t xml:space="preserve"> párrafo</w:t>
      </w:r>
      <w:r w:rsidR="004A5DDF">
        <w:rPr>
          <w:rFonts w:ascii="Verdana" w:hAnsi="Verdana"/>
          <w:sz w:val="20"/>
          <w:szCs w:val="20"/>
        </w:rPr>
        <w:t>s</w:t>
      </w:r>
      <w:r w:rsidR="005C7B3D">
        <w:rPr>
          <w:rFonts w:ascii="Verdana" w:hAnsi="Verdana"/>
          <w:sz w:val="20"/>
          <w:szCs w:val="20"/>
        </w:rPr>
        <w:t xml:space="preserve"> 332</w:t>
      </w:r>
      <w:r w:rsidR="00346FC2">
        <w:rPr>
          <w:rFonts w:ascii="Verdana" w:hAnsi="Verdana"/>
          <w:sz w:val="20"/>
          <w:szCs w:val="20"/>
        </w:rPr>
        <w:t xml:space="preserve"> a 335</w:t>
      </w:r>
      <w:r w:rsidR="005C7B3D">
        <w:rPr>
          <w:rFonts w:ascii="Verdana" w:hAnsi="Verdana"/>
          <w:sz w:val="20"/>
          <w:szCs w:val="20"/>
        </w:rPr>
        <w:t xml:space="preserve"> </w:t>
      </w:r>
      <w:r w:rsidR="00B47EB8">
        <w:rPr>
          <w:rFonts w:ascii="Verdana" w:hAnsi="Verdana"/>
          <w:sz w:val="20"/>
          <w:szCs w:val="20"/>
        </w:rPr>
        <w:t>de esta Sentencia</w:t>
      </w:r>
      <w:r w:rsidR="00CB0973">
        <w:rPr>
          <w:rFonts w:ascii="Verdana" w:hAnsi="Verdana"/>
          <w:sz w:val="20"/>
          <w:szCs w:val="20"/>
        </w:rPr>
        <w:t xml:space="preserve">, </w:t>
      </w:r>
      <w:r w:rsidR="005C7B3D">
        <w:rPr>
          <w:rFonts w:ascii="Verdana" w:hAnsi="Verdana"/>
          <w:sz w:val="20"/>
          <w:szCs w:val="20"/>
        </w:rPr>
        <w:t>de los</w:t>
      </w:r>
      <w:r w:rsidR="00B47EB8">
        <w:rPr>
          <w:rFonts w:ascii="Verdana" w:hAnsi="Verdana"/>
          <w:sz w:val="20"/>
          <w:szCs w:val="20"/>
        </w:rPr>
        <w:t xml:space="preserve"> informes</w:t>
      </w:r>
      <w:r w:rsidR="005C7B3D">
        <w:rPr>
          <w:rFonts w:ascii="Verdana" w:hAnsi="Verdana"/>
          <w:sz w:val="20"/>
          <w:szCs w:val="20"/>
        </w:rPr>
        <w:t xml:space="preserve"> previstos en los párrafos</w:t>
      </w:r>
      <w:r w:rsidRPr="00306DCB">
        <w:rPr>
          <w:rFonts w:ascii="Verdana" w:hAnsi="Verdana"/>
          <w:sz w:val="20"/>
          <w:szCs w:val="20"/>
        </w:rPr>
        <w:t xml:space="preserve"> </w:t>
      </w:r>
      <w:r w:rsidR="00A0136E">
        <w:rPr>
          <w:rFonts w:ascii="Verdana" w:hAnsi="Verdana"/>
          <w:sz w:val="20"/>
          <w:szCs w:val="20"/>
        </w:rPr>
        <w:t>348 y 349</w:t>
      </w:r>
      <w:r w:rsidRPr="00306DCB">
        <w:rPr>
          <w:rFonts w:ascii="Verdana" w:hAnsi="Verdana"/>
          <w:sz w:val="20"/>
          <w:szCs w:val="20"/>
        </w:rPr>
        <w:t xml:space="preserve"> para las publicaciones y transmisiones radiales que se ordenan, así como del plazo de un año previsto en el punto resolutivo </w:t>
      </w:r>
      <w:r w:rsidR="00A0136E">
        <w:rPr>
          <w:rFonts w:ascii="Verdana" w:hAnsi="Verdana"/>
          <w:sz w:val="20"/>
          <w:szCs w:val="20"/>
        </w:rPr>
        <w:t>18</w:t>
      </w:r>
      <w:r w:rsidRPr="00306DCB">
        <w:rPr>
          <w:rFonts w:ascii="Verdana" w:hAnsi="Verdana"/>
          <w:sz w:val="20"/>
          <w:szCs w:val="20"/>
        </w:rPr>
        <w:t xml:space="preserve"> para presentar información sobre el cumplimiento de todas las medidas de reparación ordenadas en esta Sentencia. </w:t>
      </w:r>
    </w:p>
    <w:p w14:paraId="12AF0C81" w14:textId="77777777" w:rsidR="0056309D" w:rsidRDefault="0056309D" w:rsidP="0056309D">
      <w:pPr>
        <w:pStyle w:val="Prrafodelista"/>
        <w:spacing w:after="0" w:line="240" w:lineRule="auto"/>
        <w:ind w:left="0" w:right="6"/>
        <w:jc w:val="both"/>
        <w:rPr>
          <w:rFonts w:ascii="Verdana" w:eastAsia="Batang" w:hAnsi="Verdana" w:cs="Times"/>
          <w:sz w:val="20"/>
          <w:szCs w:val="20"/>
          <w:lang w:val="es-CR" w:eastAsia="es-CR"/>
        </w:rPr>
      </w:pPr>
    </w:p>
    <w:p w14:paraId="607F5A5F" w14:textId="77777777" w:rsidR="0056309D"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306DCB">
        <w:rPr>
          <w:rFonts w:ascii="Verdana" w:hAnsi="Verdana" w:cs="Arial Narrow"/>
          <w:sz w:val="20"/>
          <w:szCs w:val="20"/>
        </w:rPr>
        <w:t xml:space="preserve">Además de lo anterior, </w:t>
      </w:r>
      <w:r w:rsidRPr="00306DCB">
        <w:rPr>
          <w:rFonts w:ascii="Verdana" w:hAnsi="Verdana"/>
          <w:sz w:val="20"/>
          <w:szCs w:val="20"/>
        </w:rPr>
        <w:t xml:space="preserve">la Corte </w:t>
      </w:r>
      <w:r w:rsidRPr="00306DCB">
        <w:rPr>
          <w:rFonts w:ascii="Verdana" w:hAnsi="Verdana" w:cs="Arial Narrow"/>
          <w:sz w:val="20"/>
          <w:szCs w:val="20"/>
        </w:rPr>
        <w:t>resalta la actuación que ha tenido la Comisión Interamericana en el proceso llevado a cabo a partir de la publicación del Informe de Fondo, luego de lo cual realizó tres visitas al terreno e impulsó avances. La Corte estima conveniente que la Comisión Interamericana continúe asumiendo una conducta activa en el marco del proceso de cumplimiento de las medidas de restitución establecidas en esta Sentencia. Este Tribunal exhorta a la Comisión Interamericana, por ello, a asumir, en</w:t>
      </w:r>
      <w:r>
        <w:rPr>
          <w:rFonts w:ascii="Verdana" w:hAnsi="Verdana" w:cs="Arial Narrow"/>
          <w:sz w:val="20"/>
          <w:szCs w:val="20"/>
        </w:rPr>
        <w:t xml:space="preserve"> el</w:t>
      </w:r>
      <w:r w:rsidRPr="00306DCB">
        <w:rPr>
          <w:rFonts w:ascii="Verdana" w:hAnsi="Verdana" w:cs="Arial Narrow"/>
          <w:sz w:val="20"/>
          <w:szCs w:val="20"/>
        </w:rPr>
        <w:t xml:space="preserve"> marco de sus posibilidades y funciones, un rol de facilitadora entre las partes, para coadyuvar al cumplimiento de las medidas de restitución que aquí se ordenan. Lo indicado es complementario al quehacer habitual de la Comisión en el marco de la supervisión de</w:t>
      </w:r>
      <w:r>
        <w:rPr>
          <w:rFonts w:ascii="Verdana" w:hAnsi="Verdana" w:cs="Arial Narrow"/>
          <w:sz w:val="20"/>
          <w:szCs w:val="20"/>
        </w:rPr>
        <w:t>l</w:t>
      </w:r>
      <w:r w:rsidRPr="00306DCB">
        <w:rPr>
          <w:rFonts w:ascii="Verdana" w:hAnsi="Verdana" w:cs="Arial Narrow"/>
          <w:sz w:val="20"/>
          <w:szCs w:val="20"/>
        </w:rPr>
        <w:t xml:space="preserve"> cumplimiento de las sentencias que realiza esta Corte y no obsta en modo alguno al mismo.  </w:t>
      </w:r>
    </w:p>
    <w:p w14:paraId="10BAE07B" w14:textId="77777777" w:rsidR="0056309D" w:rsidRDefault="0056309D" w:rsidP="0056309D">
      <w:pPr>
        <w:pStyle w:val="Prrafodelista"/>
        <w:spacing w:line="240" w:lineRule="auto"/>
        <w:rPr>
          <w:rFonts w:ascii="Verdana" w:hAnsi="Verdana"/>
          <w:sz w:val="20"/>
          <w:szCs w:val="20"/>
        </w:rPr>
      </w:pPr>
    </w:p>
    <w:p w14:paraId="6C428CB9" w14:textId="77777777" w:rsidR="0056309D" w:rsidRPr="00D21870" w:rsidRDefault="0056309D" w:rsidP="0056309D">
      <w:pPr>
        <w:pStyle w:val="Prrafodelista"/>
        <w:numPr>
          <w:ilvl w:val="0"/>
          <w:numId w:val="12"/>
        </w:numPr>
        <w:spacing w:after="160" w:line="240" w:lineRule="auto"/>
        <w:ind w:left="284" w:firstLine="0"/>
        <w:jc w:val="both"/>
        <w:outlineLvl w:val="1"/>
        <w:rPr>
          <w:rFonts w:ascii="Verdana" w:hAnsi="Verdana"/>
          <w:b/>
          <w:i/>
          <w:sz w:val="20"/>
          <w:szCs w:val="20"/>
          <w:u w:val="single"/>
        </w:rPr>
      </w:pPr>
      <w:bookmarkStart w:id="351" w:name="_Toc22224949"/>
      <w:bookmarkStart w:id="352" w:name="_Toc32218896"/>
      <w:bookmarkStart w:id="353" w:name="_Toc32227176"/>
      <w:bookmarkStart w:id="354" w:name="_Toc34337603"/>
      <w:r w:rsidRPr="00D21870">
        <w:rPr>
          <w:rFonts w:ascii="Verdana" w:hAnsi="Verdana"/>
          <w:b/>
          <w:i/>
          <w:sz w:val="20"/>
          <w:szCs w:val="20"/>
          <w:u w:val="single"/>
        </w:rPr>
        <w:t>Medidas de Satisfacción</w:t>
      </w:r>
      <w:bookmarkEnd w:id="351"/>
      <w:bookmarkEnd w:id="352"/>
      <w:bookmarkEnd w:id="353"/>
      <w:bookmarkEnd w:id="354"/>
    </w:p>
    <w:p w14:paraId="501D7E55" w14:textId="77777777" w:rsidR="0056309D" w:rsidRPr="00306DCB" w:rsidRDefault="0056309D" w:rsidP="0056309D">
      <w:pPr>
        <w:pStyle w:val="Prrafodelista"/>
        <w:spacing w:line="240" w:lineRule="auto"/>
        <w:rPr>
          <w:rFonts w:ascii="Verdana" w:hAnsi="Verdana"/>
          <w:sz w:val="20"/>
          <w:szCs w:val="20"/>
        </w:rPr>
      </w:pPr>
    </w:p>
    <w:p w14:paraId="168456BA" w14:textId="3D3939E4" w:rsidR="0056309D" w:rsidRPr="00306DCB"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306DCB">
        <w:rPr>
          <w:rFonts w:ascii="Verdana" w:hAnsi="Verdana"/>
          <w:sz w:val="20"/>
          <w:szCs w:val="20"/>
        </w:rPr>
        <w:t xml:space="preserve">Los </w:t>
      </w:r>
      <w:r w:rsidRPr="00306DCB">
        <w:rPr>
          <w:rFonts w:ascii="Verdana" w:hAnsi="Verdana"/>
          <w:b/>
          <w:i/>
          <w:sz w:val="20"/>
          <w:szCs w:val="20"/>
        </w:rPr>
        <w:t>representantes</w:t>
      </w:r>
      <w:r w:rsidRPr="00306DCB">
        <w:rPr>
          <w:rFonts w:ascii="Verdana" w:hAnsi="Verdana"/>
          <w:sz w:val="20"/>
          <w:szCs w:val="20"/>
        </w:rPr>
        <w:t xml:space="preserve"> consideraron que es de suma importancia que se conozca públicamente y por distintas vías la responsabilidad internacional del Estado. Para ello solicitaron a la Corte que ordene al Estado cumplir</w:t>
      </w:r>
      <w:r w:rsidR="00B85156">
        <w:rPr>
          <w:rFonts w:ascii="Verdana" w:hAnsi="Verdana"/>
          <w:sz w:val="20"/>
          <w:szCs w:val="20"/>
        </w:rPr>
        <w:t>,</w:t>
      </w:r>
      <w:r w:rsidRPr="00306DCB">
        <w:rPr>
          <w:rFonts w:ascii="Verdana" w:hAnsi="Verdana"/>
          <w:sz w:val="20"/>
          <w:szCs w:val="20"/>
        </w:rPr>
        <w:t xml:space="preserve"> en el término de un a</w:t>
      </w:r>
      <w:r>
        <w:rPr>
          <w:rFonts w:ascii="Verdana" w:hAnsi="Verdana"/>
          <w:sz w:val="20"/>
          <w:szCs w:val="20"/>
        </w:rPr>
        <w:t>ño desde la notificación de la S</w:t>
      </w:r>
      <w:r w:rsidRPr="00306DCB">
        <w:rPr>
          <w:rFonts w:ascii="Verdana" w:hAnsi="Verdana"/>
          <w:sz w:val="20"/>
          <w:szCs w:val="20"/>
        </w:rPr>
        <w:t>entencia</w:t>
      </w:r>
      <w:r w:rsidR="00B85156">
        <w:rPr>
          <w:rFonts w:ascii="Verdana" w:hAnsi="Verdana"/>
          <w:sz w:val="20"/>
          <w:szCs w:val="20"/>
        </w:rPr>
        <w:t>,</w:t>
      </w:r>
      <w:r w:rsidRPr="00306DCB">
        <w:rPr>
          <w:rFonts w:ascii="Verdana" w:hAnsi="Verdana"/>
          <w:sz w:val="20"/>
          <w:szCs w:val="20"/>
        </w:rPr>
        <w:t xml:space="preserve"> las siguientes medidas: traducción y difusión del resumen oficial de la sentencia en los idiomas de las comunidades indígenas; publicación del resumen oficial de la sentencia en su integridad</w:t>
      </w:r>
      <w:r w:rsidR="004A5DDF">
        <w:rPr>
          <w:rFonts w:ascii="Verdana" w:hAnsi="Verdana"/>
          <w:sz w:val="20"/>
          <w:szCs w:val="20"/>
        </w:rPr>
        <w:t>,</w:t>
      </w:r>
      <w:r w:rsidRPr="00306DCB">
        <w:rPr>
          <w:rFonts w:ascii="Verdana" w:hAnsi="Verdana"/>
          <w:sz w:val="20"/>
          <w:szCs w:val="20"/>
        </w:rPr>
        <w:t xml:space="preserve"> en español</w:t>
      </w:r>
      <w:r w:rsidR="004A5DDF">
        <w:rPr>
          <w:rFonts w:ascii="Verdana" w:hAnsi="Verdana"/>
          <w:sz w:val="20"/>
          <w:szCs w:val="20"/>
        </w:rPr>
        <w:t>,</w:t>
      </w:r>
      <w:r w:rsidRPr="00306DCB">
        <w:rPr>
          <w:rFonts w:ascii="Verdana" w:hAnsi="Verdana"/>
          <w:sz w:val="20"/>
          <w:szCs w:val="20"/>
        </w:rPr>
        <w:t xml:space="preserve"> en los siguie</w:t>
      </w:r>
      <w:r w:rsidR="004A5DDF">
        <w:rPr>
          <w:rFonts w:ascii="Verdana" w:hAnsi="Verdana"/>
          <w:sz w:val="20"/>
          <w:szCs w:val="20"/>
        </w:rPr>
        <w:t xml:space="preserve">ntes medios: Diario </w:t>
      </w:r>
      <w:r w:rsidRPr="00306DCB">
        <w:rPr>
          <w:rFonts w:ascii="Verdana" w:hAnsi="Verdana"/>
          <w:sz w:val="20"/>
          <w:szCs w:val="20"/>
        </w:rPr>
        <w:t xml:space="preserve">“El Tribuno” </w:t>
      </w:r>
      <w:r w:rsidR="004A5DDF">
        <w:rPr>
          <w:rFonts w:ascii="Verdana" w:hAnsi="Verdana"/>
          <w:sz w:val="20"/>
          <w:szCs w:val="20"/>
        </w:rPr>
        <w:t xml:space="preserve">de Salta </w:t>
      </w:r>
      <w:r w:rsidRPr="00306DCB">
        <w:rPr>
          <w:rFonts w:ascii="Verdana" w:hAnsi="Verdana"/>
          <w:sz w:val="20"/>
          <w:szCs w:val="20"/>
        </w:rPr>
        <w:t xml:space="preserve">y en un diario de circulación nacional, así como en el boletín oficial de la República Argentina y </w:t>
      </w:r>
      <w:r w:rsidR="004A5DDF">
        <w:rPr>
          <w:rFonts w:ascii="Verdana" w:hAnsi="Verdana"/>
          <w:sz w:val="20"/>
          <w:szCs w:val="20"/>
        </w:rPr>
        <w:t xml:space="preserve">en el </w:t>
      </w:r>
      <w:r w:rsidRPr="00306DCB">
        <w:rPr>
          <w:rFonts w:ascii="Verdana" w:hAnsi="Verdana"/>
          <w:sz w:val="20"/>
          <w:szCs w:val="20"/>
        </w:rPr>
        <w:t>de la Provincia de Salta; publicación de la Sentencia en su integridad</w:t>
      </w:r>
      <w:r w:rsidR="004A5DDF">
        <w:rPr>
          <w:rFonts w:ascii="Verdana" w:hAnsi="Verdana"/>
          <w:sz w:val="20"/>
          <w:szCs w:val="20"/>
        </w:rPr>
        <w:t>,</w:t>
      </w:r>
      <w:r w:rsidRPr="00306DCB">
        <w:rPr>
          <w:rFonts w:ascii="Verdana" w:hAnsi="Verdana"/>
          <w:sz w:val="20"/>
          <w:szCs w:val="20"/>
        </w:rPr>
        <w:t xml:space="preserve"> en español</w:t>
      </w:r>
      <w:r w:rsidR="004A5DDF">
        <w:rPr>
          <w:rFonts w:ascii="Verdana" w:hAnsi="Verdana"/>
          <w:sz w:val="20"/>
          <w:szCs w:val="20"/>
        </w:rPr>
        <w:t>,</w:t>
      </w:r>
      <w:r w:rsidRPr="00306DCB">
        <w:rPr>
          <w:rFonts w:ascii="Verdana" w:hAnsi="Verdana"/>
          <w:sz w:val="20"/>
          <w:szCs w:val="20"/>
        </w:rPr>
        <w:t xml:space="preserve"> en instituciones estatales, y difusión del resumen oficial de la </w:t>
      </w:r>
      <w:r w:rsidR="004A5DDF">
        <w:rPr>
          <w:rFonts w:ascii="Verdana" w:hAnsi="Verdana"/>
          <w:sz w:val="20"/>
          <w:szCs w:val="20"/>
        </w:rPr>
        <w:t>S</w:t>
      </w:r>
      <w:r w:rsidRPr="00306DCB">
        <w:rPr>
          <w:rFonts w:ascii="Verdana" w:hAnsi="Verdana"/>
          <w:sz w:val="20"/>
          <w:szCs w:val="20"/>
        </w:rPr>
        <w:t>entencia</w:t>
      </w:r>
      <w:r w:rsidR="004A5DDF">
        <w:rPr>
          <w:rFonts w:ascii="Verdana" w:hAnsi="Verdana"/>
          <w:sz w:val="20"/>
          <w:szCs w:val="20"/>
        </w:rPr>
        <w:t>,</w:t>
      </w:r>
      <w:r w:rsidRPr="00306DCB">
        <w:rPr>
          <w:rFonts w:ascii="Verdana" w:hAnsi="Verdana"/>
          <w:sz w:val="20"/>
          <w:szCs w:val="20"/>
        </w:rPr>
        <w:t xml:space="preserve"> en español y en los idiomas de las comunidades indígenas</w:t>
      </w:r>
      <w:r w:rsidR="004A5DDF">
        <w:rPr>
          <w:rFonts w:ascii="Verdana" w:hAnsi="Verdana"/>
          <w:sz w:val="20"/>
          <w:szCs w:val="20"/>
        </w:rPr>
        <w:t>,</w:t>
      </w:r>
      <w:r w:rsidRPr="00306DCB">
        <w:rPr>
          <w:rFonts w:ascii="Verdana" w:hAnsi="Verdana"/>
          <w:sz w:val="20"/>
          <w:szCs w:val="20"/>
        </w:rPr>
        <w:t xml:space="preserve"> a través de una emisora radial</w:t>
      </w:r>
      <w:r w:rsidRPr="0060640C">
        <w:rPr>
          <w:rStyle w:val="Refdenotaalpie"/>
        </w:rPr>
        <w:footnoteReference w:id="329"/>
      </w:r>
      <w:r w:rsidRPr="00306DCB">
        <w:rPr>
          <w:rFonts w:ascii="Verdana" w:hAnsi="Verdana"/>
          <w:sz w:val="20"/>
          <w:szCs w:val="20"/>
        </w:rPr>
        <w:t>.</w:t>
      </w:r>
      <w:r w:rsidRPr="00306DCB">
        <w:rPr>
          <w:rFonts w:ascii="Verdana" w:hAnsi="Verdana"/>
          <w:b/>
          <w:sz w:val="20"/>
          <w:szCs w:val="20"/>
        </w:rPr>
        <w:t xml:space="preserve"> </w:t>
      </w:r>
    </w:p>
    <w:p w14:paraId="6DFFDADC" w14:textId="77777777" w:rsidR="0056309D" w:rsidRDefault="0056309D" w:rsidP="0056309D">
      <w:pPr>
        <w:pStyle w:val="Prrafodelista"/>
        <w:spacing w:after="0" w:line="240" w:lineRule="auto"/>
        <w:ind w:left="0" w:right="6"/>
        <w:jc w:val="both"/>
        <w:rPr>
          <w:rFonts w:ascii="Verdana" w:eastAsia="Batang" w:hAnsi="Verdana" w:cs="Times"/>
          <w:sz w:val="20"/>
          <w:szCs w:val="20"/>
          <w:lang w:val="es-CR" w:eastAsia="es-CR"/>
        </w:rPr>
      </w:pPr>
    </w:p>
    <w:p w14:paraId="0B7C1A18" w14:textId="20723505" w:rsidR="0056309D"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306DCB">
        <w:rPr>
          <w:rFonts w:ascii="Verdana" w:hAnsi="Verdana"/>
          <w:sz w:val="20"/>
          <w:szCs w:val="20"/>
        </w:rPr>
        <w:t xml:space="preserve">El </w:t>
      </w:r>
      <w:r w:rsidRPr="00306DCB">
        <w:rPr>
          <w:rFonts w:ascii="Verdana" w:hAnsi="Verdana"/>
          <w:b/>
          <w:i/>
          <w:sz w:val="20"/>
          <w:szCs w:val="20"/>
        </w:rPr>
        <w:t>Estado</w:t>
      </w:r>
      <w:r w:rsidRPr="00306DCB">
        <w:rPr>
          <w:rFonts w:ascii="Verdana" w:hAnsi="Verdana"/>
          <w:sz w:val="20"/>
          <w:szCs w:val="20"/>
        </w:rPr>
        <w:t xml:space="preserve"> consideró que las medidas de satisfacción solicitadas por los representantes resultan innecesarias. Indicó que ha reconocido</w:t>
      </w:r>
      <w:r w:rsidR="00487A82">
        <w:rPr>
          <w:rFonts w:ascii="Verdana" w:hAnsi="Verdana"/>
          <w:sz w:val="20"/>
          <w:szCs w:val="20"/>
        </w:rPr>
        <w:t>,</w:t>
      </w:r>
      <w:r w:rsidRPr="00306DCB">
        <w:rPr>
          <w:rFonts w:ascii="Verdana" w:hAnsi="Verdana"/>
          <w:sz w:val="20"/>
          <w:szCs w:val="20"/>
        </w:rPr>
        <w:t xml:space="preserve"> en reiteradas ocasiones </w:t>
      </w:r>
      <w:r w:rsidRPr="00306DCB">
        <w:rPr>
          <w:rFonts w:ascii="Verdana" w:hAnsi="Verdana"/>
          <w:sz w:val="20"/>
          <w:szCs w:val="20"/>
        </w:rPr>
        <w:lastRenderedPageBreak/>
        <w:t xml:space="preserve">a través de decretos y resoluciones, que las comunidades indígenas víctimas de este caso tenían derecho a su territorio ancestral. </w:t>
      </w:r>
    </w:p>
    <w:p w14:paraId="3301BB0C" w14:textId="77777777" w:rsidR="0056309D" w:rsidRPr="00306DCB" w:rsidRDefault="0056309D" w:rsidP="0056309D">
      <w:pPr>
        <w:pStyle w:val="Prrafodelista"/>
        <w:spacing w:line="240" w:lineRule="auto"/>
        <w:rPr>
          <w:rFonts w:ascii="Verdana" w:hAnsi="Verdana"/>
          <w:sz w:val="20"/>
          <w:szCs w:val="20"/>
        </w:rPr>
      </w:pPr>
    </w:p>
    <w:p w14:paraId="64719B44" w14:textId="4D34AE09" w:rsidR="0056309D" w:rsidRPr="00306DCB"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306DCB">
        <w:rPr>
          <w:rFonts w:ascii="Verdana" w:hAnsi="Verdana"/>
          <w:sz w:val="20"/>
          <w:szCs w:val="20"/>
        </w:rPr>
        <w:t xml:space="preserve">La </w:t>
      </w:r>
      <w:r w:rsidRPr="00306DCB">
        <w:rPr>
          <w:rFonts w:ascii="Verdana" w:hAnsi="Verdana"/>
          <w:b/>
          <w:i/>
          <w:sz w:val="20"/>
          <w:szCs w:val="20"/>
        </w:rPr>
        <w:t>Corte</w:t>
      </w:r>
      <w:r w:rsidRPr="00306DCB">
        <w:rPr>
          <w:rFonts w:ascii="Verdana" w:hAnsi="Verdana"/>
          <w:sz w:val="20"/>
          <w:szCs w:val="20"/>
        </w:rPr>
        <w:t xml:space="preserve"> estima pertinente ordenar, como lo ha hecho en otros casos</w:t>
      </w:r>
      <w:r w:rsidRPr="0060640C">
        <w:rPr>
          <w:rStyle w:val="Refdenotaalpie"/>
        </w:rPr>
        <w:footnoteReference w:id="330"/>
      </w:r>
      <w:r w:rsidRPr="00306DCB">
        <w:rPr>
          <w:rFonts w:ascii="Verdana" w:hAnsi="Verdana"/>
          <w:sz w:val="20"/>
          <w:szCs w:val="20"/>
        </w:rPr>
        <w:t xml:space="preserve">, que en el plazo máximo de seis meses a partir de </w:t>
      </w:r>
      <w:r w:rsidR="004A5DDF">
        <w:rPr>
          <w:rFonts w:ascii="Verdana" w:hAnsi="Verdana"/>
          <w:sz w:val="20"/>
          <w:szCs w:val="20"/>
        </w:rPr>
        <w:t>la notificación de la presente S</w:t>
      </w:r>
      <w:r w:rsidRPr="00306DCB">
        <w:rPr>
          <w:rFonts w:ascii="Verdana" w:hAnsi="Verdana"/>
          <w:sz w:val="20"/>
          <w:szCs w:val="20"/>
        </w:rPr>
        <w:t>entencia el Estado: a) publique en un tamaño de letra legible y adecuado la presente Sentencia en su integridad, de modo que esté disponible por un período de al menos un año en el sitio web oficial del INAI y en la página de la Gobernación de Salta, de manera accesible al público desde</w:t>
      </w:r>
      <w:r>
        <w:rPr>
          <w:rFonts w:ascii="Verdana" w:hAnsi="Verdana"/>
          <w:sz w:val="20"/>
          <w:szCs w:val="20"/>
        </w:rPr>
        <w:t xml:space="preserve"> </w:t>
      </w:r>
      <w:r w:rsidRPr="00306DCB">
        <w:rPr>
          <w:rFonts w:ascii="Verdana" w:hAnsi="Verdana"/>
          <w:sz w:val="20"/>
          <w:szCs w:val="20"/>
        </w:rPr>
        <w:t>las respectivas páginas de inicio; b) publique en un tamaño de letra legible y adecuado, en idioma español, el resumen oficial de la Sentencia elaborado por la Corte, por una sola vez, en: i) el Boletín Oficial de la República Argentina, ii) el Boletín oficial de la Provincia de Salta, iii) un diario de circulación provincial en Salta, y iv) un diario de amplia circulación nacional; c) difunda el resumen oficial de la presente Sentencia elaborado por la Corte, en lenguas indígenas y en español, entre la población que habita actualmente los lotes 14 y 55, inclusive cada una de las comunidades víctimas. A fin de cumplir lo último ordenado, el Estado tendrá a su cargo la traducción del resumen oficial de esta Sentencia, pero deberá consensuar con los representantes las lenguas indígenas a las que se traducirá el resumen, y posibilitar que estos verifiquen, antes de su difusión, la corrección de las traducciones. Además, el Estado deberá comunicar a los representantes con una semana de anticipación la realización de las publicaciones dispuestas en los puntos a) y b) precedentes, así como los actos de difusión dispuestos en el punto c).</w:t>
      </w:r>
    </w:p>
    <w:p w14:paraId="755E6CB9" w14:textId="77777777" w:rsidR="0056309D" w:rsidRDefault="0056309D" w:rsidP="0056309D">
      <w:pPr>
        <w:pStyle w:val="Prrafodelista"/>
        <w:spacing w:after="0" w:line="240" w:lineRule="auto"/>
        <w:ind w:left="0" w:right="6"/>
        <w:jc w:val="both"/>
        <w:rPr>
          <w:rFonts w:ascii="Verdana" w:eastAsia="Batang" w:hAnsi="Verdana" w:cs="Times"/>
          <w:sz w:val="20"/>
          <w:szCs w:val="20"/>
          <w:lang w:val="es-CR" w:eastAsia="es-CR"/>
        </w:rPr>
      </w:pPr>
    </w:p>
    <w:p w14:paraId="427DDA10" w14:textId="7C953067" w:rsidR="0056309D" w:rsidRPr="00306DCB" w:rsidRDefault="003234A5"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306DCB">
        <w:rPr>
          <w:rFonts w:ascii="Verdana" w:hAnsi="Verdana"/>
          <w:sz w:val="20"/>
          <w:szCs w:val="20"/>
        </w:rPr>
        <w:t>Asimismo,</w:t>
      </w:r>
      <w:r w:rsidR="0056309D" w:rsidRPr="00306DCB">
        <w:rPr>
          <w:rFonts w:ascii="Verdana" w:hAnsi="Verdana"/>
          <w:sz w:val="20"/>
          <w:szCs w:val="20"/>
        </w:rPr>
        <w:t xml:space="preserve"> la Corte considera pertinente, tal como lo ha dispuesto en otros casos</w:t>
      </w:r>
      <w:r w:rsidR="0056309D" w:rsidRPr="0060640C">
        <w:rPr>
          <w:rStyle w:val="Refdenotaalpie"/>
        </w:rPr>
        <w:footnoteReference w:id="331"/>
      </w:r>
      <w:r w:rsidR="0056309D" w:rsidRPr="00306DCB">
        <w:rPr>
          <w:rFonts w:ascii="Verdana" w:hAnsi="Verdana"/>
          <w:sz w:val="20"/>
          <w:szCs w:val="20"/>
        </w:rPr>
        <w:t xml:space="preserve">, que el Estado difunda, a través de una emisora radial de amplia cobertura, que alcance a toda la extensión de los lotes fiscales </w:t>
      </w:r>
      <w:r w:rsidR="0056309D">
        <w:rPr>
          <w:rFonts w:ascii="Verdana" w:hAnsi="Verdana"/>
          <w:sz w:val="20"/>
          <w:szCs w:val="20"/>
        </w:rPr>
        <w:t xml:space="preserve">14 y 15 </w:t>
      </w:r>
      <w:r w:rsidR="0056309D" w:rsidRPr="00306DCB">
        <w:rPr>
          <w:rFonts w:ascii="Verdana" w:hAnsi="Verdana"/>
          <w:sz w:val="20"/>
          <w:szCs w:val="20"/>
        </w:rPr>
        <w:t xml:space="preserve">del Departamento de Rivadavia en la Provincia de Salta, el resumen oficial de la Sentencia, en español y, previo consenso con los representantes, en lenguas de las comunidades indígenas víctimas. La transmisión radial deberá efectuarse cada primer domingo de mes al menos durante cuatro meses, después de las 8:00 hs. y antes de las 22:00 hs. Dos semanas antes de que el Estado realice la primera acción de radiodifusión deberá comunicar por escrito a esta Corte y a los representantes la fecha, horario y emisora en que efectuará tal acto. El Estado deberá cumplir con esta medida dentro del plazo de seis meses contado a partir de la notificación de la presente Sentencia. </w:t>
      </w:r>
      <w:r w:rsidR="0056309D" w:rsidRPr="00306DCB">
        <w:rPr>
          <w:rFonts w:ascii="Verdana" w:hAnsi="Verdana"/>
          <w:sz w:val="20"/>
          <w:szCs w:val="20"/>
          <w:lang w:val="es-CR"/>
        </w:rPr>
        <w:t xml:space="preserve">Argentina deberá comunicar de forma inmediata a esta Corte una vez que haya procedido a realizar cada una de las transmisiones radiales dispuestas en este párrafo y de las publicaciones ordenadas en el párrafo anterior. </w:t>
      </w:r>
    </w:p>
    <w:p w14:paraId="71235E2B" w14:textId="77777777" w:rsidR="0056309D" w:rsidRDefault="0056309D" w:rsidP="0056309D">
      <w:pPr>
        <w:pStyle w:val="Prrafodelista"/>
        <w:spacing w:after="0" w:line="240" w:lineRule="auto"/>
        <w:ind w:left="0" w:right="6"/>
        <w:jc w:val="both"/>
        <w:rPr>
          <w:rFonts w:ascii="Verdana" w:hAnsi="Verdana"/>
          <w:sz w:val="20"/>
          <w:szCs w:val="20"/>
          <w:lang w:val="es-CR"/>
        </w:rPr>
      </w:pPr>
    </w:p>
    <w:p w14:paraId="74E086F6" w14:textId="77777777" w:rsidR="0056309D" w:rsidRPr="00D21870" w:rsidRDefault="0056309D" w:rsidP="0056309D">
      <w:pPr>
        <w:pStyle w:val="Prrafodelista"/>
        <w:numPr>
          <w:ilvl w:val="0"/>
          <w:numId w:val="43"/>
        </w:numPr>
        <w:spacing w:after="0" w:line="240" w:lineRule="auto"/>
        <w:jc w:val="both"/>
        <w:outlineLvl w:val="1"/>
        <w:rPr>
          <w:rFonts w:ascii="Verdana" w:hAnsi="Verdana"/>
          <w:b/>
          <w:i/>
          <w:sz w:val="20"/>
          <w:u w:val="single"/>
        </w:rPr>
      </w:pPr>
      <w:bookmarkStart w:id="355" w:name="_Toc22224950"/>
      <w:bookmarkStart w:id="356" w:name="_Toc32218897"/>
      <w:bookmarkStart w:id="357" w:name="_Toc32227177"/>
      <w:bookmarkStart w:id="358" w:name="_Toc34337604"/>
      <w:r w:rsidRPr="00D21870">
        <w:rPr>
          <w:rFonts w:ascii="Verdana" w:hAnsi="Verdana"/>
          <w:b/>
          <w:i/>
          <w:sz w:val="20"/>
          <w:u w:val="single"/>
        </w:rPr>
        <w:t>Medidas de no repetición</w:t>
      </w:r>
      <w:bookmarkEnd w:id="355"/>
      <w:bookmarkEnd w:id="356"/>
      <w:bookmarkEnd w:id="357"/>
      <w:bookmarkEnd w:id="358"/>
    </w:p>
    <w:p w14:paraId="64A68892" w14:textId="77777777" w:rsidR="0056309D" w:rsidRPr="00306DCB" w:rsidRDefault="0056309D" w:rsidP="0056309D">
      <w:pPr>
        <w:pStyle w:val="Prrafodelista"/>
        <w:spacing w:after="0" w:line="240" w:lineRule="auto"/>
        <w:ind w:left="0" w:right="6"/>
        <w:jc w:val="both"/>
        <w:rPr>
          <w:rFonts w:ascii="Verdana" w:eastAsia="Batang" w:hAnsi="Verdana" w:cs="Times"/>
          <w:sz w:val="20"/>
          <w:szCs w:val="20"/>
          <w:lang w:val="es-CR" w:eastAsia="es-CR"/>
        </w:rPr>
      </w:pPr>
    </w:p>
    <w:p w14:paraId="63D236F5" w14:textId="7584E4FF" w:rsidR="0056309D" w:rsidRPr="00306DCB"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306DCB">
        <w:rPr>
          <w:rFonts w:ascii="Verdana" w:hAnsi="Verdana"/>
          <w:sz w:val="20"/>
          <w:szCs w:val="20"/>
        </w:rPr>
        <w:t xml:space="preserve">La </w:t>
      </w:r>
      <w:r w:rsidRPr="00306DCB">
        <w:rPr>
          <w:rFonts w:ascii="Verdana" w:hAnsi="Verdana"/>
          <w:b/>
          <w:i/>
          <w:sz w:val="20"/>
          <w:szCs w:val="20"/>
        </w:rPr>
        <w:t>Comisión</w:t>
      </w:r>
      <w:r w:rsidRPr="00306DCB">
        <w:rPr>
          <w:rFonts w:ascii="Verdana" w:hAnsi="Verdana"/>
          <w:sz w:val="20"/>
          <w:szCs w:val="20"/>
        </w:rPr>
        <w:t xml:space="preserve"> solicitó a la Corte que el Estado adop</w:t>
      </w:r>
      <w:r w:rsidR="000E5A72">
        <w:rPr>
          <w:rFonts w:ascii="Verdana" w:hAnsi="Verdana"/>
          <w:sz w:val="20"/>
          <w:szCs w:val="20"/>
        </w:rPr>
        <w:t>ara</w:t>
      </w:r>
      <w:r w:rsidRPr="00306DCB">
        <w:rPr>
          <w:rFonts w:ascii="Verdana" w:hAnsi="Verdana"/>
          <w:sz w:val="20"/>
          <w:szCs w:val="20"/>
        </w:rPr>
        <w:t xml:space="preserve"> medidas legislativas, administrativas y de cualquier otro carácter, que sean pertinentes para la creación de un mecanismo eficaz de reclamación de la tierra ancestral de los pueblos indígenas.</w:t>
      </w:r>
    </w:p>
    <w:p w14:paraId="129340C1" w14:textId="77777777" w:rsidR="0056309D" w:rsidRDefault="0056309D" w:rsidP="0056309D">
      <w:pPr>
        <w:pStyle w:val="Prrafodelista"/>
        <w:spacing w:after="0" w:line="240" w:lineRule="auto"/>
        <w:ind w:left="0" w:right="6"/>
        <w:jc w:val="both"/>
        <w:rPr>
          <w:rFonts w:ascii="Verdana" w:eastAsia="Batang" w:hAnsi="Verdana" w:cs="Times"/>
          <w:sz w:val="20"/>
          <w:szCs w:val="20"/>
          <w:lang w:val="es-CR" w:eastAsia="es-CR"/>
        </w:rPr>
      </w:pPr>
      <w:r w:rsidRPr="00306DCB">
        <w:rPr>
          <w:rFonts w:ascii="Verdana" w:hAnsi="Verdana" w:cs="Times New Roman"/>
          <w:color w:val="262626"/>
          <w:w w:val="108"/>
          <w:sz w:val="20"/>
          <w:szCs w:val="20"/>
        </w:rPr>
        <w:t xml:space="preserve"> </w:t>
      </w:r>
    </w:p>
    <w:p w14:paraId="3627E73C" w14:textId="1379B73C" w:rsidR="0056309D"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306DCB">
        <w:rPr>
          <w:rFonts w:ascii="Verdana" w:hAnsi="Verdana"/>
          <w:sz w:val="20"/>
          <w:szCs w:val="20"/>
        </w:rPr>
        <w:t>Los</w:t>
      </w:r>
      <w:r w:rsidRPr="00306DCB">
        <w:rPr>
          <w:rFonts w:ascii="Verdana" w:hAnsi="Verdana"/>
          <w:sz w:val="20"/>
        </w:rPr>
        <w:t xml:space="preserve"> </w:t>
      </w:r>
      <w:r w:rsidRPr="00306DCB">
        <w:rPr>
          <w:rFonts w:ascii="Verdana" w:hAnsi="Verdana"/>
          <w:b/>
          <w:i/>
          <w:sz w:val="20"/>
        </w:rPr>
        <w:t>representantes</w:t>
      </w:r>
      <w:r w:rsidRPr="00306DCB">
        <w:rPr>
          <w:rFonts w:ascii="Verdana" w:hAnsi="Verdana"/>
          <w:sz w:val="20"/>
        </w:rPr>
        <w:t xml:space="preserve"> solicitaron a la Corte que orden</w:t>
      </w:r>
      <w:r w:rsidR="000E5A72">
        <w:rPr>
          <w:rFonts w:ascii="Verdana" w:hAnsi="Verdana"/>
          <w:sz w:val="20"/>
        </w:rPr>
        <w:t>ara</w:t>
      </w:r>
      <w:r w:rsidRPr="00306DCB">
        <w:rPr>
          <w:rFonts w:ascii="Verdana" w:hAnsi="Verdana"/>
          <w:sz w:val="20"/>
        </w:rPr>
        <w:t xml:space="preserve"> al Estado sancionar normativa nacional y provincial sobre consulta libre, previa e informada </w:t>
      </w:r>
      <w:r>
        <w:rPr>
          <w:rFonts w:ascii="Verdana" w:hAnsi="Verdana"/>
          <w:sz w:val="20"/>
        </w:rPr>
        <w:t>a</w:t>
      </w:r>
      <w:r w:rsidRPr="00306DCB">
        <w:rPr>
          <w:rFonts w:ascii="Verdana" w:hAnsi="Verdana"/>
          <w:sz w:val="20"/>
        </w:rPr>
        <w:t xml:space="preserve"> comunidades </w:t>
      </w:r>
      <w:r w:rsidRPr="00306DCB">
        <w:rPr>
          <w:rFonts w:ascii="Verdana" w:hAnsi="Verdana"/>
          <w:sz w:val="20"/>
        </w:rPr>
        <w:lastRenderedPageBreak/>
        <w:t xml:space="preserve">indígenas por proyectos a ejecutarse en sus territorios. También solicitaron que la Corte ordene al Estado sancionar e implementar la normativa nacional y provincial </w:t>
      </w:r>
      <w:r>
        <w:rPr>
          <w:rFonts w:ascii="Verdana" w:hAnsi="Verdana"/>
          <w:sz w:val="20"/>
        </w:rPr>
        <w:t xml:space="preserve">que permita </w:t>
      </w:r>
      <w:r w:rsidRPr="00306DCB">
        <w:rPr>
          <w:rFonts w:ascii="Verdana" w:hAnsi="Verdana"/>
          <w:sz w:val="20"/>
        </w:rPr>
        <w:t xml:space="preserve">el registro adecuado de </w:t>
      </w:r>
      <w:r>
        <w:rPr>
          <w:rFonts w:ascii="Verdana" w:hAnsi="Verdana"/>
          <w:sz w:val="20"/>
        </w:rPr>
        <w:t xml:space="preserve">la </w:t>
      </w:r>
      <w:r w:rsidRPr="00306DCB">
        <w:rPr>
          <w:rFonts w:ascii="Verdana" w:hAnsi="Verdana"/>
          <w:sz w:val="20"/>
        </w:rPr>
        <w:t>Asociaci</w:t>
      </w:r>
      <w:r>
        <w:rPr>
          <w:rFonts w:ascii="Verdana" w:hAnsi="Verdana"/>
          <w:sz w:val="20"/>
        </w:rPr>
        <w:t>ón L</w:t>
      </w:r>
      <w:r w:rsidRPr="00306DCB">
        <w:rPr>
          <w:rFonts w:ascii="Verdana" w:hAnsi="Verdana"/>
          <w:sz w:val="20"/>
        </w:rPr>
        <w:t xml:space="preserve">haka Honhat y de otras organizaciones y asociaciones indígenas de su naturaleza. Agregaron a su solicitud que el Estado sancione e implemente en su normativa nacional y provincial la garantía </w:t>
      </w:r>
      <w:r>
        <w:rPr>
          <w:rFonts w:ascii="Verdana" w:hAnsi="Verdana"/>
          <w:sz w:val="20"/>
        </w:rPr>
        <w:t>del</w:t>
      </w:r>
      <w:r w:rsidRPr="00306DCB">
        <w:rPr>
          <w:rFonts w:ascii="Verdana" w:hAnsi="Verdana"/>
          <w:sz w:val="20"/>
        </w:rPr>
        <w:t xml:space="preserve"> derecho a la propiedad comunitaria. </w:t>
      </w:r>
    </w:p>
    <w:p w14:paraId="33DEA856" w14:textId="77777777" w:rsidR="0056309D" w:rsidRPr="00EE5E26" w:rsidRDefault="0056309D" w:rsidP="0056309D">
      <w:pPr>
        <w:pStyle w:val="Prrafodelista"/>
        <w:spacing w:line="240" w:lineRule="auto"/>
        <w:rPr>
          <w:rFonts w:ascii="Verdana" w:hAnsi="Verdana"/>
          <w:sz w:val="20"/>
          <w:lang w:val="es-CR"/>
        </w:rPr>
      </w:pPr>
    </w:p>
    <w:p w14:paraId="7FECC647" w14:textId="77777777" w:rsidR="0056309D"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306DCB">
        <w:rPr>
          <w:rFonts w:ascii="Verdana" w:hAnsi="Verdana"/>
          <w:sz w:val="20"/>
        </w:rPr>
        <w:t xml:space="preserve">El </w:t>
      </w:r>
      <w:r w:rsidRPr="00306DCB">
        <w:rPr>
          <w:rFonts w:ascii="Verdana" w:hAnsi="Verdana"/>
          <w:b/>
          <w:i/>
          <w:sz w:val="20"/>
        </w:rPr>
        <w:t>Estado</w:t>
      </w:r>
      <w:r w:rsidRPr="00306DCB">
        <w:rPr>
          <w:rFonts w:ascii="Verdana" w:hAnsi="Verdana"/>
          <w:sz w:val="20"/>
        </w:rPr>
        <w:t xml:space="preserve"> consideró que la normativa interna es pertinente y adecuada a los estándares </w:t>
      </w:r>
      <w:r w:rsidRPr="00306DCB">
        <w:rPr>
          <w:rFonts w:ascii="Verdana" w:hAnsi="Verdana"/>
          <w:sz w:val="20"/>
          <w:szCs w:val="20"/>
        </w:rPr>
        <w:t xml:space="preserve">internacionales. También alegó </w:t>
      </w:r>
      <w:r>
        <w:rPr>
          <w:rFonts w:ascii="Verdana" w:hAnsi="Verdana"/>
          <w:sz w:val="20"/>
          <w:szCs w:val="20"/>
        </w:rPr>
        <w:t xml:space="preserve">que </w:t>
      </w:r>
      <w:r w:rsidRPr="00306DCB">
        <w:rPr>
          <w:rFonts w:ascii="Verdana" w:hAnsi="Verdana"/>
          <w:sz w:val="20"/>
        </w:rPr>
        <w:t xml:space="preserve">el Estado Provincial ha hecho propuestas de protocolos para consultas previas, y que los representantes no dieron respuestas ni consideraciones. </w:t>
      </w:r>
    </w:p>
    <w:p w14:paraId="397F863B" w14:textId="77777777" w:rsidR="0056309D" w:rsidRPr="00306DCB" w:rsidRDefault="0056309D" w:rsidP="0056309D">
      <w:pPr>
        <w:pStyle w:val="Prrafodelista"/>
        <w:spacing w:line="240" w:lineRule="auto"/>
        <w:rPr>
          <w:rFonts w:ascii="Verdana" w:hAnsi="Verdana"/>
          <w:sz w:val="20"/>
          <w:szCs w:val="20"/>
        </w:rPr>
      </w:pPr>
    </w:p>
    <w:p w14:paraId="6C4D69C3" w14:textId="77777777" w:rsidR="0056309D" w:rsidRPr="00694140"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EE5E26">
        <w:rPr>
          <w:rFonts w:ascii="Verdana" w:hAnsi="Verdana"/>
          <w:sz w:val="20"/>
          <w:szCs w:val="20"/>
        </w:rPr>
        <w:t xml:space="preserve">La </w:t>
      </w:r>
      <w:r w:rsidRPr="00EE5E26">
        <w:rPr>
          <w:rFonts w:ascii="Verdana" w:hAnsi="Verdana"/>
          <w:b/>
          <w:i/>
          <w:sz w:val="20"/>
          <w:szCs w:val="20"/>
        </w:rPr>
        <w:t>Corte</w:t>
      </w:r>
      <w:r w:rsidRPr="00EE5E26">
        <w:rPr>
          <w:rFonts w:ascii="Verdana" w:hAnsi="Verdana"/>
          <w:sz w:val="20"/>
          <w:szCs w:val="20"/>
        </w:rPr>
        <w:t xml:space="preserve"> </w:t>
      </w:r>
      <w:r w:rsidRPr="00EE5E26">
        <w:rPr>
          <w:rFonts w:ascii="Verdana" w:hAnsi="Verdana" w:cs="Tahoma"/>
          <w:sz w:val="20"/>
          <w:szCs w:val="20"/>
        </w:rPr>
        <w:t xml:space="preserve">determinó que las regulaciones normativas existentes no son suficientes para </w:t>
      </w:r>
      <w:r w:rsidRPr="00EE5E26">
        <w:rPr>
          <w:rStyle w:val="TextonotapieCar1"/>
          <w:lang w:val="es-CR"/>
        </w:rPr>
        <w:t>dotar de seguridad jurídica al derecho de propiedad comunitaria indígena, previendo procedimientos específicos adecuados para tal fin.</w:t>
      </w:r>
      <w:r w:rsidRPr="00EE5E26">
        <w:rPr>
          <w:rFonts w:ascii="Verdana" w:hAnsi="Verdana"/>
          <w:sz w:val="20"/>
          <w:szCs w:val="20"/>
        </w:rPr>
        <w:t xml:space="preserve"> </w:t>
      </w:r>
      <w:r>
        <w:rPr>
          <w:rFonts w:ascii="Verdana" w:hAnsi="Verdana"/>
          <w:sz w:val="20"/>
          <w:szCs w:val="20"/>
        </w:rPr>
        <w:t>En ese sentido, s</w:t>
      </w:r>
      <w:r w:rsidRPr="00306DCB">
        <w:rPr>
          <w:rFonts w:ascii="Verdana" w:hAnsi="Verdana"/>
          <w:sz w:val="20"/>
          <w:szCs w:val="20"/>
        </w:rPr>
        <w:t>urge de lo expuesto</w:t>
      </w:r>
      <w:r>
        <w:rPr>
          <w:rFonts w:ascii="Verdana" w:hAnsi="Verdana"/>
          <w:sz w:val="20"/>
          <w:szCs w:val="20"/>
        </w:rPr>
        <w:t xml:space="preserve"> antes en esta Sentencia</w:t>
      </w:r>
      <w:r w:rsidRPr="00306DCB">
        <w:rPr>
          <w:rFonts w:ascii="Verdana" w:hAnsi="Verdana"/>
          <w:sz w:val="20"/>
          <w:szCs w:val="20"/>
        </w:rPr>
        <w:t xml:space="preserve"> que las propias autoridades argentinas han notado la insuficiencia del ordenamiento interno y la necesidad de adoptar medidas respecto a la propiedad indígena (</w:t>
      </w:r>
      <w:r w:rsidRPr="00306DCB">
        <w:rPr>
          <w:rFonts w:ascii="Verdana" w:hAnsi="Verdana"/>
          <w:i/>
          <w:sz w:val="20"/>
          <w:szCs w:val="20"/>
        </w:rPr>
        <w:t>supra</w:t>
      </w:r>
      <w:r w:rsidRPr="00306DCB">
        <w:rPr>
          <w:rFonts w:ascii="Verdana" w:hAnsi="Verdana"/>
          <w:sz w:val="20"/>
          <w:szCs w:val="20"/>
        </w:rPr>
        <w:t xml:space="preserve"> párrs. </w:t>
      </w:r>
      <w:r>
        <w:rPr>
          <w:rFonts w:ascii="Verdana" w:hAnsi="Verdana"/>
          <w:sz w:val="20"/>
          <w:szCs w:val="20"/>
        </w:rPr>
        <w:t>54 y 165</w:t>
      </w:r>
      <w:r w:rsidRPr="00306DCB">
        <w:rPr>
          <w:rFonts w:ascii="Verdana" w:hAnsi="Verdana"/>
          <w:sz w:val="20"/>
          <w:szCs w:val="20"/>
        </w:rPr>
        <w:t xml:space="preserve">). </w:t>
      </w:r>
      <w:r>
        <w:rPr>
          <w:rFonts w:ascii="Verdana" w:hAnsi="Verdana"/>
          <w:sz w:val="20"/>
          <w:szCs w:val="20"/>
        </w:rPr>
        <w:t>A su vez</w:t>
      </w:r>
      <w:r w:rsidRPr="00694140">
        <w:rPr>
          <w:rFonts w:ascii="Verdana" w:hAnsi="Verdana"/>
          <w:sz w:val="20"/>
          <w:szCs w:val="20"/>
        </w:rPr>
        <w:t>, el perito Solá ha indicado que “no existen procedimientos adecuados a nivel nacional ni provincial para recibir pretensiones territoriales de pueblos indígenas conforme a los estándares del sistema interamericano”</w:t>
      </w:r>
      <w:r>
        <w:rPr>
          <w:rStyle w:val="Refdenotaalpie"/>
        </w:rPr>
        <w:footnoteReference w:id="332"/>
      </w:r>
      <w:r w:rsidRPr="00694140">
        <w:rPr>
          <w:rFonts w:ascii="Verdana" w:hAnsi="Verdana"/>
          <w:sz w:val="20"/>
          <w:szCs w:val="20"/>
        </w:rPr>
        <w:t xml:space="preserve">. </w:t>
      </w:r>
    </w:p>
    <w:p w14:paraId="70DF3FFE" w14:textId="77777777" w:rsidR="0056309D" w:rsidRPr="00694140" w:rsidRDefault="0056309D" w:rsidP="0056309D">
      <w:pPr>
        <w:pStyle w:val="Prrafodelista"/>
        <w:spacing w:after="0" w:line="240" w:lineRule="auto"/>
        <w:ind w:left="0" w:right="6"/>
        <w:jc w:val="both"/>
        <w:rPr>
          <w:rFonts w:ascii="Verdana" w:eastAsia="Batang" w:hAnsi="Verdana" w:cs="Times"/>
          <w:sz w:val="20"/>
          <w:szCs w:val="20"/>
          <w:lang w:val="es-CR" w:eastAsia="es-CR"/>
        </w:rPr>
      </w:pPr>
    </w:p>
    <w:p w14:paraId="3FA6F1AE" w14:textId="77777777" w:rsidR="0056309D"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306DCB">
        <w:rPr>
          <w:rFonts w:ascii="Verdana" w:hAnsi="Verdana" w:cs="Tahoma"/>
          <w:sz w:val="20"/>
          <w:szCs w:val="20"/>
        </w:rPr>
        <w:t>Por lo anterior, de modo similar a como lo ha hecho en otras oportunidades</w:t>
      </w:r>
      <w:r>
        <w:rPr>
          <w:rStyle w:val="Refdenotaalpie"/>
        </w:rPr>
        <w:footnoteReference w:id="333"/>
      </w:r>
      <w:r w:rsidRPr="00306DCB">
        <w:rPr>
          <w:rFonts w:ascii="Verdana" w:hAnsi="Verdana" w:cs="Tahoma"/>
          <w:sz w:val="20"/>
          <w:szCs w:val="20"/>
        </w:rPr>
        <w:t>, la Corte ordena al Estado que, en un plazo razonable, adopte las medidas legislativas y/o de otro carácter que fueren necesarias para, conforme a las pautas indicadas en la presente Sentencia (</w:t>
      </w:r>
      <w:r w:rsidRPr="00306DCB">
        <w:rPr>
          <w:rFonts w:ascii="Verdana" w:hAnsi="Verdana" w:cs="Tahoma"/>
          <w:i/>
          <w:sz w:val="20"/>
          <w:szCs w:val="20"/>
        </w:rPr>
        <w:t xml:space="preserve">supra </w:t>
      </w:r>
      <w:r w:rsidRPr="00306DCB">
        <w:rPr>
          <w:rFonts w:ascii="Verdana" w:hAnsi="Verdana" w:cs="Tahoma"/>
          <w:sz w:val="20"/>
          <w:szCs w:val="20"/>
        </w:rPr>
        <w:t>párrs.</w:t>
      </w:r>
      <w:r>
        <w:rPr>
          <w:rFonts w:ascii="Verdana" w:hAnsi="Verdana" w:cs="Tahoma"/>
          <w:sz w:val="20"/>
          <w:szCs w:val="20"/>
        </w:rPr>
        <w:t xml:space="preserve"> 93</w:t>
      </w:r>
      <w:r w:rsidR="00FF71A8">
        <w:rPr>
          <w:rFonts w:ascii="Verdana" w:hAnsi="Verdana" w:cs="Tahoma"/>
          <w:sz w:val="20"/>
          <w:szCs w:val="20"/>
        </w:rPr>
        <w:t xml:space="preserve"> a</w:t>
      </w:r>
      <w:r>
        <w:rPr>
          <w:rFonts w:ascii="Verdana" w:hAnsi="Verdana" w:cs="Tahoma"/>
          <w:sz w:val="20"/>
          <w:szCs w:val="20"/>
        </w:rPr>
        <w:t xml:space="preserve"> 98, 115 y 116),</w:t>
      </w:r>
      <w:r w:rsidRPr="00306DCB">
        <w:rPr>
          <w:rFonts w:ascii="Verdana" w:hAnsi="Verdana" w:cs="Tahoma"/>
          <w:sz w:val="20"/>
          <w:szCs w:val="20"/>
        </w:rPr>
        <w:t xml:space="preserve"> </w:t>
      </w:r>
      <w:r w:rsidRPr="00306DCB">
        <w:rPr>
          <w:rFonts w:ascii="Verdana" w:hAnsi="Verdana"/>
          <w:sz w:val="20"/>
          <w:szCs w:val="20"/>
        </w:rPr>
        <w:t xml:space="preserve">dotar de seguridad jurídica al derecho humano de propiedad comunitaria indígena, previendo procedimientos específicos adecuados para tal fin. </w:t>
      </w:r>
    </w:p>
    <w:p w14:paraId="0292642D" w14:textId="77777777" w:rsidR="0056309D" w:rsidRPr="00306DCB" w:rsidRDefault="0056309D" w:rsidP="0056309D">
      <w:pPr>
        <w:pStyle w:val="Prrafodelista"/>
        <w:spacing w:line="240" w:lineRule="auto"/>
        <w:rPr>
          <w:rFonts w:ascii="Verdana" w:hAnsi="Verdana" w:cs="Tahoma"/>
          <w:sz w:val="20"/>
          <w:szCs w:val="20"/>
        </w:rPr>
      </w:pPr>
    </w:p>
    <w:p w14:paraId="4519BC28" w14:textId="5D7F41D8" w:rsidR="0056309D"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306DCB">
        <w:rPr>
          <w:rFonts w:ascii="Verdana" w:hAnsi="Verdana" w:cs="Tahoma"/>
          <w:sz w:val="20"/>
          <w:szCs w:val="20"/>
        </w:rPr>
        <w:t>Este Tribunal advierte que el artículo XXIII de la Declaración Americana sobre Derechos de los Pueblos Indígenas, expresa que “[l]</w:t>
      </w:r>
      <w:r w:rsidRPr="00306DCB">
        <w:rPr>
          <w:rFonts w:ascii="Verdana" w:hAnsi="Verdana" w:cs="Times New Roman"/>
          <w:color w:val="000000"/>
          <w:sz w:val="20"/>
          <w:szCs w:val="20"/>
          <w:lang w:val="es-CR"/>
        </w:rPr>
        <w:t xml:space="preserve">os pueblos indígenas tienen derecho a la participación plena y efectiva, por conducto de representantes elegidos por ellos de conformidad con sus propias instituciones, en la adopción de decisiones en las cuestiones que afecten sus derechos y que tengan relación con la elaboración y ejecución de leyes, políticas públicas, programas, planes y acciones relacionadas con los asuntos indígenas”. </w:t>
      </w:r>
      <w:r w:rsidRPr="00306DCB">
        <w:rPr>
          <w:rFonts w:ascii="Verdana" w:hAnsi="Verdana" w:cs="Times New Roman"/>
          <w:color w:val="000000"/>
          <w:sz w:val="20"/>
          <w:szCs w:val="20"/>
          <w:lang w:val="es-CR"/>
        </w:rPr>
        <w:lastRenderedPageBreak/>
        <w:t>En el mismo sentido, el P</w:t>
      </w:r>
      <w:r>
        <w:rPr>
          <w:rFonts w:ascii="Verdana" w:hAnsi="Verdana" w:cs="Times New Roman"/>
          <w:color w:val="000000"/>
          <w:sz w:val="20"/>
          <w:szCs w:val="20"/>
          <w:lang w:val="es-CR"/>
        </w:rPr>
        <w:t xml:space="preserve">oder </w:t>
      </w:r>
      <w:r w:rsidRPr="00306DCB">
        <w:rPr>
          <w:rFonts w:ascii="Verdana" w:hAnsi="Verdana" w:cs="Times New Roman"/>
          <w:color w:val="000000"/>
          <w:sz w:val="20"/>
          <w:szCs w:val="20"/>
          <w:lang w:val="es-CR"/>
        </w:rPr>
        <w:t>E</w:t>
      </w:r>
      <w:r>
        <w:rPr>
          <w:rFonts w:ascii="Verdana" w:hAnsi="Verdana" w:cs="Times New Roman"/>
          <w:color w:val="000000"/>
          <w:sz w:val="20"/>
          <w:szCs w:val="20"/>
          <w:lang w:val="es-CR"/>
        </w:rPr>
        <w:t xml:space="preserve">jecutivo </w:t>
      </w:r>
      <w:r w:rsidRPr="00306DCB">
        <w:rPr>
          <w:rFonts w:ascii="Verdana" w:hAnsi="Verdana" w:cs="Times New Roman"/>
          <w:color w:val="000000"/>
          <w:sz w:val="20"/>
          <w:szCs w:val="20"/>
          <w:lang w:val="es-CR"/>
        </w:rPr>
        <w:t>N</w:t>
      </w:r>
      <w:r>
        <w:rPr>
          <w:rFonts w:ascii="Verdana" w:hAnsi="Verdana" w:cs="Times New Roman"/>
          <w:color w:val="000000"/>
          <w:sz w:val="20"/>
          <w:szCs w:val="20"/>
          <w:lang w:val="es-CR"/>
        </w:rPr>
        <w:t>acional argentino</w:t>
      </w:r>
      <w:r w:rsidRPr="00306DCB">
        <w:rPr>
          <w:rFonts w:ascii="Verdana" w:hAnsi="Verdana" w:cs="Times New Roman"/>
          <w:color w:val="000000"/>
          <w:sz w:val="20"/>
          <w:szCs w:val="20"/>
          <w:lang w:val="es-CR"/>
        </w:rPr>
        <w:t xml:space="preserve"> ha advertido la procedencia e importancia de la participación de </w:t>
      </w:r>
      <w:r w:rsidR="00487A82">
        <w:rPr>
          <w:rFonts w:ascii="Verdana" w:hAnsi="Verdana" w:cs="Times New Roman"/>
          <w:color w:val="000000"/>
          <w:sz w:val="20"/>
          <w:szCs w:val="20"/>
          <w:lang w:val="es-CR"/>
        </w:rPr>
        <w:t xml:space="preserve">los </w:t>
      </w:r>
      <w:r w:rsidRPr="00306DCB">
        <w:rPr>
          <w:rFonts w:ascii="Verdana" w:hAnsi="Verdana" w:cs="Times New Roman"/>
          <w:color w:val="000000"/>
          <w:sz w:val="20"/>
          <w:szCs w:val="20"/>
          <w:lang w:val="es-CR"/>
        </w:rPr>
        <w:t>pue</w:t>
      </w:r>
      <w:r w:rsidR="000E5A72">
        <w:rPr>
          <w:rFonts w:ascii="Verdana" w:hAnsi="Verdana" w:cs="Times New Roman"/>
          <w:color w:val="000000"/>
          <w:sz w:val="20"/>
          <w:szCs w:val="20"/>
          <w:lang w:val="es-CR"/>
        </w:rPr>
        <w:t>blos indígenas en asuntos que le</w:t>
      </w:r>
      <w:r w:rsidRPr="00306DCB">
        <w:rPr>
          <w:rFonts w:ascii="Verdana" w:hAnsi="Verdana" w:cs="Times New Roman"/>
          <w:color w:val="000000"/>
          <w:sz w:val="20"/>
          <w:szCs w:val="20"/>
          <w:lang w:val="es-CR"/>
        </w:rPr>
        <w:t>s afecten, como surge del Decreto 672/2016</w:t>
      </w:r>
      <w:r w:rsidRPr="00487A82">
        <w:rPr>
          <w:rStyle w:val="Refdenotaalpie"/>
          <w:rFonts w:ascii="Verdana" w:hAnsi="Verdana"/>
          <w:color w:val="000000"/>
          <w:sz w:val="20"/>
          <w:lang w:val="es-CR"/>
        </w:rPr>
        <w:footnoteReference w:id="334"/>
      </w:r>
      <w:r w:rsidRPr="00306DCB">
        <w:rPr>
          <w:rFonts w:ascii="Verdana" w:hAnsi="Verdana" w:cs="Times New Roman"/>
          <w:color w:val="000000"/>
          <w:sz w:val="20"/>
          <w:szCs w:val="20"/>
          <w:lang w:val="es-CR"/>
        </w:rPr>
        <w:t>. La Corte ordena al Estado que</w:t>
      </w:r>
      <w:r w:rsidR="00487A82">
        <w:rPr>
          <w:rFonts w:ascii="Verdana" w:hAnsi="Verdana" w:cs="Times New Roman"/>
          <w:color w:val="000000"/>
          <w:sz w:val="20"/>
          <w:szCs w:val="20"/>
          <w:lang w:val="es-CR"/>
        </w:rPr>
        <w:t>,</w:t>
      </w:r>
      <w:r w:rsidRPr="00306DCB">
        <w:rPr>
          <w:rFonts w:ascii="Verdana" w:hAnsi="Verdana" w:cs="Times New Roman"/>
          <w:color w:val="000000"/>
          <w:sz w:val="20"/>
          <w:szCs w:val="20"/>
          <w:lang w:val="es-CR"/>
        </w:rPr>
        <w:t xml:space="preserve"> de forma previa a la adopción de las medidas legislativas y/o de otro carácter ordenadas (</w:t>
      </w:r>
      <w:r w:rsidRPr="00306DCB">
        <w:rPr>
          <w:rFonts w:ascii="Verdana" w:hAnsi="Verdana" w:cs="Times New Roman"/>
          <w:i/>
          <w:color w:val="000000"/>
          <w:sz w:val="20"/>
          <w:szCs w:val="20"/>
          <w:lang w:val="es-CR"/>
        </w:rPr>
        <w:t>supra</w:t>
      </w:r>
      <w:r w:rsidRPr="00306DCB">
        <w:rPr>
          <w:rFonts w:ascii="Verdana" w:hAnsi="Verdana" w:cs="Times New Roman"/>
          <w:color w:val="000000"/>
          <w:sz w:val="20"/>
          <w:szCs w:val="20"/>
          <w:lang w:val="es-CR"/>
        </w:rPr>
        <w:t xml:space="preserve"> párr.</w:t>
      </w:r>
      <w:r>
        <w:rPr>
          <w:rFonts w:ascii="Verdana" w:hAnsi="Verdana" w:cs="Times New Roman"/>
          <w:color w:val="000000"/>
          <w:sz w:val="20"/>
          <w:szCs w:val="20"/>
          <w:lang w:val="es-CR"/>
        </w:rPr>
        <w:t xml:space="preserve"> 354</w:t>
      </w:r>
      <w:r w:rsidRPr="00306DCB">
        <w:rPr>
          <w:rFonts w:ascii="Verdana" w:hAnsi="Verdana" w:cs="Times New Roman"/>
          <w:color w:val="000000"/>
          <w:sz w:val="20"/>
          <w:szCs w:val="20"/>
          <w:lang w:val="es-CR"/>
        </w:rPr>
        <w:t>), arbitre acciones que permitan la participación de pueblos y/o comunidades indígenas del país (no sólo las víctimas de este caso) en procesos de consulta respecto de tales medidas</w:t>
      </w:r>
      <w:r>
        <w:rPr>
          <w:rStyle w:val="Refdenotaalpie"/>
          <w:color w:val="000000"/>
          <w:lang w:val="es-CR"/>
        </w:rPr>
        <w:footnoteReference w:id="335"/>
      </w:r>
      <w:r w:rsidRPr="00306DCB">
        <w:rPr>
          <w:rFonts w:ascii="Verdana" w:hAnsi="Verdana" w:cs="Times New Roman"/>
          <w:color w:val="000000"/>
          <w:sz w:val="20"/>
          <w:szCs w:val="20"/>
          <w:lang w:val="es-CR"/>
        </w:rPr>
        <w:t xml:space="preserve">. </w:t>
      </w:r>
    </w:p>
    <w:p w14:paraId="07543203" w14:textId="77777777" w:rsidR="0056309D" w:rsidRPr="00306DCB" w:rsidRDefault="0056309D" w:rsidP="0056309D">
      <w:pPr>
        <w:pStyle w:val="Prrafodelista"/>
        <w:spacing w:line="240" w:lineRule="auto"/>
        <w:rPr>
          <w:rFonts w:ascii="Verdana" w:hAnsi="Verdana" w:cs="Tahoma"/>
          <w:sz w:val="20"/>
          <w:szCs w:val="20"/>
        </w:rPr>
      </w:pPr>
    </w:p>
    <w:p w14:paraId="440F61A6" w14:textId="77777777" w:rsidR="0056309D"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306DCB">
        <w:rPr>
          <w:rFonts w:ascii="Verdana" w:hAnsi="Verdana" w:cs="Tahoma"/>
          <w:sz w:val="20"/>
          <w:szCs w:val="20"/>
        </w:rPr>
        <w:t>La Corte recuerda que, de conformidad con el artículo 28 de la Convención Americana, un Estado no puede válidamente oponer el sistema federal para incumplir normas convencionales. Aunado a ello, este Tribunal nota que l</w:t>
      </w:r>
      <w:r w:rsidRPr="00306DCB">
        <w:rPr>
          <w:rFonts w:ascii="Verdana" w:hAnsi="Verdana"/>
          <w:sz w:val="20"/>
          <w:szCs w:val="20"/>
        </w:rPr>
        <w:t>as máximas autoridades judiciales de Argentina y de Salta han indicado, con base en textos constitucionales, que en materia de derechos de pueblos indígenas las facultades nacionales y provinciales son “concurrentes”, y que normativa nacional opera como un “piso mínimo” (</w:t>
      </w:r>
      <w:r w:rsidRPr="00306DCB">
        <w:rPr>
          <w:rFonts w:ascii="Verdana" w:hAnsi="Verdana"/>
          <w:i/>
          <w:sz w:val="20"/>
          <w:szCs w:val="20"/>
        </w:rPr>
        <w:t>supra</w:t>
      </w:r>
      <w:r w:rsidRPr="00306DCB">
        <w:rPr>
          <w:rFonts w:ascii="Verdana" w:hAnsi="Verdana"/>
          <w:sz w:val="20"/>
          <w:szCs w:val="20"/>
        </w:rPr>
        <w:t xml:space="preserve"> párr. </w:t>
      </w:r>
      <w:r>
        <w:rPr>
          <w:rFonts w:ascii="Verdana" w:hAnsi="Verdana"/>
          <w:sz w:val="20"/>
          <w:szCs w:val="20"/>
        </w:rPr>
        <w:t>161</w:t>
      </w:r>
      <w:r w:rsidRPr="00306DCB">
        <w:rPr>
          <w:rFonts w:ascii="Verdana" w:hAnsi="Verdana"/>
          <w:sz w:val="20"/>
          <w:szCs w:val="20"/>
        </w:rPr>
        <w:t xml:space="preserve">). </w:t>
      </w:r>
      <w:r w:rsidRPr="00306DCB">
        <w:rPr>
          <w:rFonts w:ascii="Verdana" w:hAnsi="Verdana" w:cs="Tahoma"/>
          <w:sz w:val="20"/>
          <w:szCs w:val="20"/>
        </w:rPr>
        <w:t>La Corte entiende, considerando lo dicho,</w:t>
      </w:r>
      <w:r w:rsidRPr="00306DCB" w:rsidDel="00707337">
        <w:rPr>
          <w:rFonts w:ascii="Verdana" w:hAnsi="Verdana" w:cs="Tahoma"/>
          <w:sz w:val="20"/>
          <w:szCs w:val="20"/>
        </w:rPr>
        <w:t xml:space="preserve"> </w:t>
      </w:r>
      <w:r w:rsidRPr="00306DCB">
        <w:rPr>
          <w:rFonts w:ascii="Verdana" w:hAnsi="Verdana" w:cs="Tahoma"/>
          <w:sz w:val="20"/>
          <w:szCs w:val="20"/>
        </w:rPr>
        <w:t>que a efectos de garantizar efectivamente la no repetición de las violaciones declaradas en el presente caso, es pertinente que las regulaciones normativas y/o de otro carácter cuya adopción fue ordenada sean aplicables en todo el territorio nacional, tanto por el Estado Nacional como por todas la entidades estatales federativas que conforman la federación argentina; es decir, todas las Provincias y la Ciudad Autónoma de Buenos Aires</w:t>
      </w:r>
      <w:r>
        <w:rPr>
          <w:rStyle w:val="Refdenotaalpie"/>
        </w:rPr>
        <w:footnoteReference w:id="336"/>
      </w:r>
      <w:r w:rsidRPr="00306DCB">
        <w:rPr>
          <w:rFonts w:ascii="Verdana" w:hAnsi="Verdana" w:cs="Tahoma"/>
          <w:sz w:val="20"/>
          <w:szCs w:val="20"/>
        </w:rPr>
        <w:t xml:space="preserve">. </w:t>
      </w:r>
    </w:p>
    <w:p w14:paraId="1D21FEDD" w14:textId="77777777" w:rsidR="0056309D" w:rsidRPr="00306DCB" w:rsidRDefault="0056309D" w:rsidP="0056309D">
      <w:pPr>
        <w:pStyle w:val="Prrafodelista"/>
        <w:spacing w:line="240" w:lineRule="auto"/>
        <w:rPr>
          <w:rFonts w:ascii="Verdana" w:hAnsi="Verdana" w:cs="Tahoma"/>
          <w:sz w:val="20"/>
          <w:szCs w:val="20"/>
        </w:rPr>
      </w:pPr>
    </w:p>
    <w:p w14:paraId="3C3B2ACB" w14:textId="38837D81" w:rsidR="0056309D"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306DCB">
        <w:rPr>
          <w:rFonts w:ascii="Verdana" w:hAnsi="Verdana" w:cs="Tahoma"/>
          <w:sz w:val="20"/>
          <w:szCs w:val="20"/>
        </w:rPr>
        <w:t>Por lo dicho</w:t>
      </w:r>
      <w:r>
        <w:rPr>
          <w:rFonts w:ascii="Verdana" w:hAnsi="Verdana" w:cs="Tahoma"/>
          <w:sz w:val="20"/>
          <w:szCs w:val="20"/>
        </w:rPr>
        <w:t>,</w:t>
      </w:r>
      <w:r w:rsidRPr="00306DCB">
        <w:rPr>
          <w:rFonts w:ascii="Verdana" w:hAnsi="Verdana" w:cs="Tahoma"/>
          <w:sz w:val="20"/>
          <w:szCs w:val="20"/>
        </w:rPr>
        <w:t xml:space="preserve"> el Estado, de conformidad con el marco de las competencias y funciones propias de su sistema de organización federal, debe </w:t>
      </w:r>
      <w:r w:rsidR="00487A82">
        <w:rPr>
          <w:rFonts w:ascii="Verdana" w:hAnsi="Verdana" w:cs="Tahoma"/>
          <w:sz w:val="20"/>
          <w:szCs w:val="20"/>
        </w:rPr>
        <w:t>adoptar</w:t>
      </w:r>
      <w:r w:rsidRPr="00306DCB">
        <w:rPr>
          <w:rFonts w:ascii="Verdana" w:hAnsi="Verdana" w:cs="Tahoma"/>
          <w:sz w:val="20"/>
          <w:szCs w:val="20"/>
        </w:rPr>
        <w:t xml:space="preserve"> las medidas pertinentes a fin de que: a) las medidas normativas y/o de otro carácter ordenadas (</w:t>
      </w:r>
      <w:r w:rsidRPr="00306DCB">
        <w:rPr>
          <w:rFonts w:ascii="Verdana" w:hAnsi="Verdana" w:cs="Tahoma"/>
          <w:i/>
          <w:sz w:val="20"/>
          <w:szCs w:val="20"/>
        </w:rPr>
        <w:t>supra</w:t>
      </w:r>
      <w:r w:rsidRPr="00306DCB">
        <w:rPr>
          <w:rFonts w:ascii="Verdana" w:hAnsi="Verdana" w:cs="Tahoma"/>
          <w:sz w:val="20"/>
          <w:szCs w:val="20"/>
        </w:rPr>
        <w:t xml:space="preserve"> párr. </w:t>
      </w:r>
      <w:r>
        <w:rPr>
          <w:rFonts w:ascii="Verdana" w:hAnsi="Verdana" w:cs="Tahoma"/>
          <w:sz w:val="20"/>
          <w:szCs w:val="20"/>
        </w:rPr>
        <w:t>354</w:t>
      </w:r>
      <w:r w:rsidRPr="00306DCB">
        <w:rPr>
          <w:rFonts w:ascii="Verdana" w:hAnsi="Verdana" w:cs="Tahoma"/>
          <w:sz w:val="20"/>
          <w:szCs w:val="20"/>
        </w:rPr>
        <w:t>) sean de aplicación tanto respecto al Estado nacional como a todas las entidades federativas, y b) respecto de las acciones de reconocimiento, implementación o garantía de los derechos de pueblos o comunidades indígenas al reconocimiento de la propiedad colectiva</w:t>
      </w:r>
      <w:r w:rsidRPr="00306DCB">
        <w:rPr>
          <w:rFonts w:ascii="Verdana" w:hAnsi="Verdana"/>
          <w:sz w:val="20"/>
          <w:szCs w:val="20"/>
        </w:rPr>
        <w:t>,</w:t>
      </w:r>
      <w:r w:rsidRPr="00306DCB">
        <w:rPr>
          <w:rFonts w:ascii="Verdana" w:hAnsi="Verdana" w:cs="Tahoma"/>
          <w:sz w:val="20"/>
          <w:szCs w:val="20"/>
        </w:rPr>
        <w:t xml:space="preserve"> se </w:t>
      </w:r>
      <w:r w:rsidRPr="00306DCB">
        <w:rPr>
          <w:rFonts w:ascii="Verdana" w:hAnsi="Verdana"/>
          <w:sz w:val="20"/>
          <w:szCs w:val="20"/>
        </w:rPr>
        <w:t>asegure la coordinación del ámbito federal y de las entidades federativas, de modo que las actuaciones desarrolladas en uno de tales ámbitos tengan validez en los otros y que se evite la duplicidad, superposición o contradicción de procedimientos o actos jurídicos.</w:t>
      </w:r>
    </w:p>
    <w:p w14:paraId="44E584AA" w14:textId="77777777" w:rsidR="0056309D" w:rsidRDefault="0056309D" w:rsidP="0056309D">
      <w:pPr>
        <w:pStyle w:val="Prrafodelista"/>
        <w:spacing w:line="240" w:lineRule="auto"/>
        <w:rPr>
          <w:rFonts w:ascii="Verdana" w:hAnsi="Verdana"/>
          <w:sz w:val="20"/>
          <w:szCs w:val="20"/>
        </w:rPr>
      </w:pPr>
    </w:p>
    <w:p w14:paraId="341F3C35" w14:textId="77777777" w:rsidR="0056309D" w:rsidRPr="00D21870" w:rsidRDefault="0056309D" w:rsidP="0056309D">
      <w:pPr>
        <w:pStyle w:val="Prrafodelista"/>
        <w:numPr>
          <w:ilvl w:val="0"/>
          <w:numId w:val="43"/>
        </w:numPr>
        <w:spacing w:after="0" w:line="240" w:lineRule="auto"/>
        <w:jc w:val="both"/>
        <w:outlineLvl w:val="1"/>
        <w:rPr>
          <w:rFonts w:ascii="Verdana" w:hAnsi="Verdana"/>
          <w:b/>
          <w:i/>
          <w:sz w:val="20"/>
          <w:szCs w:val="20"/>
          <w:u w:val="single"/>
        </w:rPr>
      </w:pPr>
      <w:bookmarkStart w:id="359" w:name="_Toc22224951"/>
      <w:bookmarkStart w:id="360" w:name="_Toc32218898"/>
      <w:bookmarkStart w:id="361" w:name="_Toc32227178"/>
      <w:bookmarkStart w:id="362" w:name="_Toc34337605"/>
      <w:r w:rsidRPr="00D21870">
        <w:rPr>
          <w:rFonts w:ascii="Verdana" w:hAnsi="Verdana"/>
          <w:b/>
          <w:i/>
          <w:sz w:val="20"/>
          <w:szCs w:val="20"/>
          <w:u w:val="single"/>
        </w:rPr>
        <w:t>Otras medidas solicitadas</w:t>
      </w:r>
      <w:bookmarkEnd w:id="359"/>
      <w:bookmarkEnd w:id="360"/>
      <w:bookmarkEnd w:id="361"/>
      <w:bookmarkEnd w:id="362"/>
    </w:p>
    <w:p w14:paraId="2D559DEA" w14:textId="77777777" w:rsidR="0056309D" w:rsidRPr="00306DCB" w:rsidRDefault="0056309D" w:rsidP="0056309D">
      <w:pPr>
        <w:pStyle w:val="Prrafodelista"/>
        <w:spacing w:line="240" w:lineRule="auto"/>
        <w:rPr>
          <w:rFonts w:ascii="Verdana" w:hAnsi="Verdana"/>
          <w:sz w:val="20"/>
          <w:szCs w:val="20"/>
        </w:rPr>
      </w:pPr>
    </w:p>
    <w:p w14:paraId="4897D99F" w14:textId="77777777" w:rsidR="0056309D" w:rsidRPr="00306DCB"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306DCB">
        <w:rPr>
          <w:rFonts w:ascii="Verdana" w:hAnsi="Verdana"/>
          <w:sz w:val="20"/>
          <w:szCs w:val="20"/>
        </w:rPr>
        <w:t xml:space="preserve">Los </w:t>
      </w:r>
      <w:r w:rsidRPr="00306DCB">
        <w:rPr>
          <w:rFonts w:ascii="Verdana" w:hAnsi="Verdana"/>
          <w:b/>
          <w:i/>
          <w:sz w:val="20"/>
          <w:szCs w:val="20"/>
        </w:rPr>
        <w:t>representantes</w:t>
      </w:r>
      <w:r w:rsidRPr="00306DCB">
        <w:rPr>
          <w:rFonts w:ascii="Verdana" w:hAnsi="Verdana"/>
          <w:sz w:val="20"/>
          <w:szCs w:val="20"/>
        </w:rPr>
        <w:t xml:space="preserve"> </w:t>
      </w:r>
      <w:r w:rsidRPr="00306DCB">
        <w:rPr>
          <w:rFonts w:ascii="Verdana" w:hAnsi="Verdana" w:cs="Arial Narrow"/>
          <w:sz w:val="20"/>
          <w:szCs w:val="20"/>
        </w:rPr>
        <w:t>solicitaron que se disponga que</w:t>
      </w:r>
      <w:r>
        <w:rPr>
          <w:rFonts w:ascii="Verdana" w:hAnsi="Verdana" w:cs="Arial Narrow"/>
          <w:sz w:val="20"/>
          <w:szCs w:val="20"/>
        </w:rPr>
        <w:t>,</w:t>
      </w:r>
      <w:r w:rsidRPr="00306DCB">
        <w:rPr>
          <w:rFonts w:ascii="Verdana" w:hAnsi="Verdana" w:cs="Arial Narrow"/>
          <w:sz w:val="20"/>
          <w:szCs w:val="20"/>
        </w:rPr>
        <w:t xml:space="preserve"> “de inmediato”</w:t>
      </w:r>
      <w:r>
        <w:rPr>
          <w:rFonts w:ascii="Verdana" w:hAnsi="Verdana" w:cs="Arial Narrow"/>
          <w:sz w:val="20"/>
          <w:szCs w:val="20"/>
        </w:rPr>
        <w:t>,</w:t>
      </w:r>
      <w:r w:rsidRPr="00306DCB">
        <w:rPr>
          <w:rFonts w:ascii="Verdana" w:hAnsi="Verdana" w:cs="Arial Narrow"/>
          <w:sz w:val="20"/>
          <w:szCs w:val="20"/>
        </w:rPr>
        <w:t xml:space="preserve"> el Estado “solvente los </w:t>
      </w:r>
      <w:r w:rsidRPr="00306DCB">
        <w:rPr>
          <w:rFonts w:ascii="Verdana" w:hAnsi="Verdana" w:cs="Arial Narrow"/>
          <w:i/>
          <w:sz w:val="20"/>
          <w:szCs w:val="20"/>
        </w:rPr>
        <w:t>gastos de acompañamiento</w:t>
      </w:r>
      <w:r w:rsidRPr="00306DCB">
        <w:rPr>
          <w:rFonts w:ascii="Verdana" w:hAnsi="Verdana" w:cs="Arial Narrow"/>
          <w:sz w:val="20"/>
          <w:szCs w:val="20"/>
        </w:rPr>
        <w:t xml:space="preserve">” de la Asociación de Comunidades Aborígenes Lhaka Honhat, para que pueda haber “continuidad en el acompañamiento de Lhaka Honhat en terreno”. Además, requirieron que se ordene la realización de un </w:t>
      </w:r>
      <w:r w:rsidRPr="00467429">
        <w:rPr>
          <w:rFonts w:ascii="Verdana" w:hAnsi="Verdana" w:cs="Arial Narrow"/>
          <w:i/>
          <w:sz w:val="20"/>
          <w:szCs w:val="20"/>
        </w:rPr>
        <w:t>acto público</w:t>
      </w:r>
      <w:r w:rsidRPr="00306DCB">
        <w:rPr>
          <w:rFonts w:ascii="Verdana" w:hAnsi="Verdana" w:cs="Arial Narrow"/>
          <w:sz w:val="20"/>
          <w:szCs w:val="20"/>
        </w:rPr>
        <w:t xml:space="preserve"> de reconocimiento de responsabilidad. </w:t>
      </w:r>
    </w:p>
    <w:p w14:paraId="04848AC6" w14:textId="77777777" w:rsidR="0056309D" w:rsidRDefault="0056309D" w:rsidP="0056309D">
      <w:pPr>
        <w:pStyle w:val="Prrafodelista"/>
        <w:spacing w:after="0" w:line="240" w:lineRule="auto"/>
        <w:ind w:left="0" w:right="6"/>
        <w:jc w:val="both"/>
        <w:rPr>
          <w:rFonts w:ascii="Verdana" w:eastAsia="Batang" w:hAnsi="Verdana" w:cs="Times"/>
          <w:sz w:val="20"/>
          <w:szCs w:val="20"/>
          <w:lang w:val="es-CR" w:eastAsia="es-CR"/>
        </w:rPr>
      </w:pPr>
    </w:p>
    <w:p w14:paraId="6BCC7185" w14:textId="6911E926" w:rsidR="0056309D"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306DCB">
        <w:rPr>
          <w:rFonts w:ascii="Verdana" w:hAnsi="Verdana"/>
          <w:sz w:val="20"/>
          <w:szCs w:val="20"/>
        </w:rPr>
        <w:t xml:space="preserve">El </w:t>
      </w:r>
      <w:r w:rsidRPr="00306DCB">
        <w:rPr>
          <w:rFonts w:ascii="Verdana" w:hAnsi="Verdana"/>
          <w:b/>
          <w:i/>
          <w:sz w:val="20"/>
          <w:szCs w:val="20"/>
        </w:rPr>
        <w:t>Estado</w:t>
      </w:r>
      <w:r w:rsidRPr="00306DCB">
        <w:rPr>
          <w:rFonts w:ascii="Verdana" w:hAnsi="Verdana"/>
          <w:sz w:val="20"/>
          <w:szCs w:val="20"/>
        </w:rPr>
        <w:t xml:space="preserve"> afirmó que los “gastos de acompañamiento” para Lhaka Honha “están contemplados”, aunque no de modo explícito, en un convenio entre el INAI y Salta.</w:t>
      </w:r>
      <w:r>
        <w:rPr>
          <w:rFonts w:ascii="Verdana" w:hAnsi="Verdana"/>
          <w:sz w:val="20"/>
          <w:szCs w:val="20"/>
        </w:rPr>
        <w:t xml:space="preserve"> </w:t>
      </w:r>
      <w:r w:rsidRPr="00306DCB">
        <w:rPr>
          <w:rFonts w:ascii="Verdana" w:hAnsi="Verdana"/>
          <w:sz w:val="20"/>
          <w:szCs w:val="20"/>
        </w:rPr>
        <w:t xml:space="preserve">Por otra parte, como ya se señaló, se opuso a </w:t>
      </w:r>
      <w:r w:rsidR="00487A82">
        <w:rPr>
          <w:rFonts w:ascii="Verdana" w:hAnsi="Verdana"/>
          <w:sz w:val="20"/>
          <w:szCs w:val="20"/>
        </w:rPr>
        <w:t xml:space="preserve">las </w:t>
      </w:r>
      <w:r w:rsidRPr="00306DCB">
        <w:rPr>
          <w:rFonts w:ascii="Verdana" w:hAnsi="Verdana"/>
          <w:sz w:val="20"/>
          <w:szCs w:val="20"/>
        </w:rPr>
        <w:t>medidas de satisfacción</w:t>
      </w:r>
      <w:r w:rsidR="00487A82">
        <w:rPr>
          <w:rFonts w:ascii="Verdana" w:hAnsi="Verdana"/>
          <w:sz w:val="20"/>
          <w:szCs w:val="20"/>
        </w:rPr>
        <w:t xml:space="preserve"> solicitadas</w:t>
      </w:r>
      <w:r w:rsidRPr="00306DCB">
        <w:rPr>
          <w:rFonts w:ascii="Verdana" w:hAnsi="Verdana"/>
          <w:sz w:val="20"/>
          <w:szCs w:val="20"/>
        </w:rPr>
        <w:t xml:space="preserve"> </w:t>
      </w:r>
      <w:r w:rsidRPr="00487A82">
        <w:rPr>
          <w:rFonts w:ascii="Verdana" w:hAnsi="Verdana"/>
          <w:sz w:val="20"/>
          <w:szCs w:val="20"/>
        </w:rPr>
        <w:t>(</w:t>
      </w:r>
      <w:r w:rsidRPr="00306DCB">
        <w:rPr>
          <w:rFonts w:ascii="Verdana" w:hAnsi="Verdana"/>
          <w:i/>
          <w:sz w:val="20"/>
          <w:szCs w:val="20"/>
        </w:rPr>
        <w:t xml:space="preserve">supra </w:t>
      </w:r>
      <w:r w:rsidRPr="00306DCB">
        <w:rPr>
          <w:rFonts w:ascii="Verdana" w:hAnsi="Verdana"/>
          <w:sz w:val="20"/>
          <w:szCs w:val="20"/>
        </w:rPr>
        <w:t xml:space="preserve">párr. </w:t>
      </w:r>
      <w:r>
        <w:rPr>
          <w:rFonts w:ascii="Verdana" w:hAnsi="Verdana"/>
          <w:sz w:val="20"/>
          <w:szCs w:val="20"/>
        </w:rPr>
        <w:t>347</w:t>
      </w:r>
      <w:r w:rsidRPr="00306DCB">
        <w:rPr>
          <w:rFonts w:ascii="Verdana" w:hAnsi="Verdana"/>
          <w:sz w:val="20"/>
          <w:szCs w:val="20"/>
        </w:rPr>
        <w:t>)</w:t>
      </w:r>
      <w:r w:rsidR="00487A82">
        <w:rPr>
          <w:rFonts w:ascii="Verdana" w:hAnsi="Verdana"/>
          <w:sz w:val="20"/>
          <w:szCs w:val="20"/>
        </w:rPr>
        <w:t>.</w:t>
      </w:r>
    </w:p>
    <w:p w14:paraId="1D2BDFDF" w14:textId="77777777" w:rsidR="0056309D" w:rsidRPr="00306DCB" w:rsidRDefault="0056309D" w:rsidP="0056309D">
      <w:pPr>
        <w:pStyle w:val="Prrafodelista"/>
        <w:spacing w:line="240" w:lineRule="auto"/>
        <w:rPr>
          <w:rFonts w:ascii="Verdana" w:hAnsi="Verdana"/>
          <w:sz w:val="20"/>
          <w:szCs w:val="20"/>
        </w:rPr>
      </w:pPr>
    </w:p>
    <w:p w14:paraId="37383EDC" w14:textId="77777777" w:rsidR="0056309D"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306DCB">
        <w:rPr>
          <w:rFonts w:ascii="Verdana" w:hAnsi="Verdana"/>
          <w:sz w:val="20"/>
          <w:szCs w:val="20"/>
        </w:rPr>
        <w:t xml:space="preserve">La </w:t>
      </w:r>
      <w:r w:rsidRPr="00306DCB">
        <w:rPr>
          <w:rFonts w:ascii="Verdana" w:hAnsi="Verdana"/>
          <w:b/>
          <w:i/>
          <w:sz w:val="20"/>
          <w:szCs w:val="20"/>
        </w:rPr>
        <w:t>Corte</w:t>
      </w:r>
      <w:r w:rsidRPr="00306DCB">
        <w:rPr>
          <w:rFonts w:ascii="Verdana" w:hAnsi="Verdana"/>
          <w:sz w:val="20"/>
          <w:szCs w:val="20"/>
        </w:rPr>
        <w:t xml:space="preserve"> </w:t>
      </w:r>
      <w:r w:rsidRPr="00306DCB">
        <w:rPr>
          <w:rFonts w:ascii="Verdana" w:hAnsi="Verdana" w:cs="Arial Narrow"/>
          <w:sz w:val="20"/>
          <w:szCs w:val="20"/>
        </w:rPr>
        <w:t xml:space="preserve">rechaza la solicitud de los representantes de que se ordene al Estado solventar </w:t>
      </w:r>
      <w:r w:rsidRPr="00306DCB">
        <w:rPr>
          <w:rFonts w:ascii="Verdana" w:hAnsi="Verdana"/>
          <w:sz w:val="20"/>
          <w:szCs w:val="20"/>
        </w:rPr>
        <w:t>“</w:t>
      </w:r>
      <w:r w:rsidRPr="00306DCB">
        <w:rPr>
          <w:rFonts w:ascii="Verdana" w:hAnsi="Verdana"/>
          <w:i/>
          <w:sz w:val="20"/>
          <w:szCs w:val="20"/>
        </w:rPr>
        <w:t>gastos de acompañamiento</w:t>
      </w:r>
      <w:r w:rsidRPr="00306DCB">
        <w:rPr>
          <w:rFonts w:ascii="Verdana" w:hAnsi="Verdana"/>
          <w:sz w:val="20"/>
          <w:szCs w:val="20"/>
        </w:rPr>
        <w:t>” para Lhaka Honhat. La Asociación Lhaka Honhat no es en sí misma víctima en el caso (</w:t>
      </w:r>
      <w:r w:rsidRPr="00306DCB">
        <w:rPr>
          <w:rFonts w:ascii="Verdana" w:hAnsi="Verdana"/>
          <w:i/>
          <w:sz w:val="20"/>
          <w:szCs w:val="20"/>
        </w:rPr>
        <w:t>supra</w:t>
      </w:r>
      <w:r w:rsidRPr="00306DCB">
        <w:rPr>
          <w:rFonts w:ascii="Verdana" w:hAnsi="Verdana"/>
          <w:sz w:val="20"/>
          <w:szCs w:val="20"/>
        </w:rPr>
        <w:t xml:space="preserve"> párr</w:t>
      </w:r>
      <w:r>
        <w:rPr>
          <w:rFonts w:ascii="Verdana" w:hAnsi="Verdana"/>
          <w:sz w:val="20"/>
          <w:szCs w:val="20"/>
        </w:rPr>
        <w:t>s</w:t>
      </w:r>
      <w:r w:rsidRPr="00306DCB">
        <w:rPr>
          <w:rFonts w:ascii="Verdana" w:hAnsi="Verdana"/>
          <w:sz w:val="20"/>
          <w:szCs w:val="20"/>
        </w:rPr>
        <w:t xml:space="preserve">. </w:t>
      </w:r>
      <w:r>
        <w:rPr>
          <w:rFonts w:ascii="Verdana" w:hAnsi="Verdana"/>
          <w:sz w:val="20"/>
          <w:szCs w:val="20"/>
        </w:rPr>
        <w:t>35 y 309, y Anexo V a la presente Sentencia</w:t>
      </w:r>
      <w:r w:rsidRPr="00306DCB">
        <w:rPr>
          <w:rFonts w:ascii="Verdana" w:hAnsi="Verdana"/>
          <w:sz w:val="20"/>
          <w:szCs w:val="20"/>
        </w:rPr>
        <w:t xml:space="preserve">), y no se ha explicado de qué forma esa prestación patrimonial del Estado a Lhaka Honhat estaría vinculada a la lesión de derechos de las comunidades víctimas o sería necesaria para la reparación de los mismos. Por otra parte, entiende suficientes las medidas de satisfacción ya dispuestas y no considera pertinente en el caso la realización de un </w:t>
      </w:r>
      <w:r w:rsidRPr="00306DCB">
        <w:rPr>
          <w:rFonts w:ascii="Verdana" w:hAnsi="Verdana"/>
          <w:i/>
          <w:sz w:val="20"/>
          <w:szCs w:val="20"/>
        </w:rPr>
        <w:t xml:space="preserve">acto público </w:t>
      </w:r>
      <w:r w:rsidRPr="00467429">
        <w:rPr>
          <w:rFonts w:ascii="Verdana" w:hAnsi="Verdana"/>
          <w:sz w:val="20"/>
          <w:szCs w:val="20"/>
        </w:rPr>
        <w:t xml:space="preserve">de reconocimiento de responsabilidad. </w:t>
      </w:r>
    </w:p>
    <w:p w14:paraId="03D05764" w14:textId="77777777" w:rsidR="0056309D" w:rsidRDefault="0056309D" w:rsidP="0056309D">
      <w:pPr>
        <w:pStyle w:val="Prrafodelista"/>
        <w:spacing w:line="240" w:lineRule="auto"/>
        <w:rPr>
          <w:rFonts w:ascii="Verdana" w:hAnsi="Verdana"/>
          <w:sz w:val="20"/>
          <w:szCs w:val="20"/>
        </w:rPr>
      </w:pPr>
    </w:p>
    <w:p w14:paraId="6AB54628" w14:textId="77777777" w:rsidR="0056309D" w:rsidRPr="00D21870" w:rsidRDefault="0056309D" w:rsidP="0056309D">
      <w:pPr>
        <w:pStyle w:val="Prrafodelista"/>
        <w:numPr>
          <w:ilvl w:val="0"/>
          <w:numId w:val="43"/>
        </w:numPr>
        <w:spacing w:after="160" w:line="240" w:lineRule="auto"/>
        <w:jc w:val="both"/>
        <w:outlineLvl w:val="1"/>
        <w:rPr>
          <w:rFonts w:ascii="Verdana" w:hAnsi="Verdana"/>
          <w:b/>
          <w:i/>
          <w:sz w:val="20"/>
          <w:szCs w:val="20"/>
          <w:u w:val="single"/>
        </w:rPr>
      </w:pPr>
      <w:bookmarkStart w:id="363" w:name="_Toc22224952"/>
      <w:bookmarkStart w:id="364" w:name="_Toc32218899"/>
      <w:bookmarkStart w:id="365" w:name="_Toc32227179"/>
      <w:bookmarkStart w:id="366" w:name="_Toc34337606"/>
      <w:r w:rsidRPr="00D21870">
        <w:rPr>
          <w:rFonts w:ascii="Verdana" w:hAnsi="Verdana"/>
          <w:b/>
          <w:i/>
          <w:sz w:val="20"/>
          <w:szCs w:val="20"/>
          <w:u w:val="single"/>
        </w:rPr>
        <w:t>Costas y gastos</w:t>
      </w:r>
      <w:bookmarkEnd w:id="363"/>
      <w:bookmarkEnd w:id="364"/>
      <w:bookmarkEnd w:id="365"/>
      <w:bookmarkEnd w:id="366"/>
    </w:p>
    <w:p w14:paraId="47515A87" w14:textId="77777777" w:rsidR="0056309D" w:rsidRPr="00306DCB" w:rsidRDefault="0056309D" w:rsidP="0056309D">
      <w:pPr>
        <w:pStyle w:val="Prrafodelista"/>
        <w:spacing w:line="240" w:lineRule="auto"/>
        <w:rPr>
          <w:rFonts w:ascii="Verdana" w:hAnsi="Verdana"/>
          <w:sz w:val="20"/>
          <w:szCs w:val="20"/>
        </w:rPr>
      </w:pPr>
    </w:p>
    <w:p w14:paraId="170AB966" w14:textId="77777777" w:rsidR="0056309D" w:rsidRPr="00306DCB"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306DCB">
        <w:rPr>
          <w:rFonts w:ascii="Verdana" w:hAnsi="Verdana"/>
          <w:sz w:val="20"/>
          <w:szCs w:val="20"/>
        </w:rPr>
        <w:t xml:space="preserve">Los </w:t>
      </w:r>
      <w:r w:rsidRPr="00306DCB">
        <w:rPr>
          <w:rFonts w:ascii="Verdana" w:hAnsi="Verdana"/>
          <w:b/>
          <w:i/>
          <w:sz w:val="20"/>
          <w:szCs w:val="20"/>
        </w:rPr>
        <w:t>representantes</w:t>
      </w:r>
      <w:r w:rsidRPr="00306DCB">
        <w:rPr>
          <w:rFonts w:ascii="Verdana" w:hAnsi="Verdana"/>
          <w:i/>
          <w:sz w:val="20"/>
          <w:szCs w:val="20"/>
        </w:rPr>
        <w:t xml:space="preserve"> </w:t>
      </w:r>
      <w:r w:rsidRPr="00306DCB">
        <w:rPr>
          <w:rFonts w:ascii="Verdana" w:hAnsi="Verdana"/>
          <w:sz w:val="20"/>
          <w:szCs w:val="20"/>
        </w:rPr>
        <w:t xml:space="preserve">recordaron que el caso se originó en la década de 1980, y expresaron que debido a su “complejidad y magnitud” se formó un equipo de varias personas del CELS, que “han tenido que sobrellevar muchísimas tareas”. Señalaron que si bien cuentan con respaldo documental de gastos realizados, “no considera[n] prudente solicitar un monto fijo” y pidieron que lo determine la Corte. </w:t>
      </w:r>
    </w:p>
    <w:p w14:paraId="1177350E" w14:textId="77777777" w:rsidR="0056309D" w:rsidRDefault="0056309D" w:rsidP="0056309D">
      <w:pPr>
        <w:pStyle w:val="Prrafodelista"/>
        <w:spacing w:after="0" w:line="240" w:lineRule="auto"/>
        <w:ind w:left="0" w:right="6"/>
        <w:jc w:val="both"/>
        <w:rPr>
          <w:rFonts w:ascii="Verdana" w:eastAsia="Batang" w:hAnsi="Verdana" w:cs="Times"/>
          <w:sz w:val="20"/>
          <w:szCs w:val="20"/>
          <w:lang w:val="es-CR" w:eastAsia="es-CR"/>
        </w:rPr>
      </w:pPr>
    </w:p>
    <w:p w14:paraId="253B1A00" w14:textId="77777777" w:rsidR="0056309D"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306DCB">
        <w:rPr>
          <w:rFonts w:ascii="Verdana" w:hAnsi="Verdana"/>
          <w:sz w:val="20"/>
          <w:szCs w:val="20"/>
        </w:rPr>
        <w:t xml:space="preserve">El </w:t>
      </w:r>
      <w:r w:rsidRPr="00306DCB">
        <w:rPr>
          <w:rFonts w:ascii="Verdana" w:hAnsi="Verdana"/>
          <w:b/>
          <w:i/>
          <w:sz w:val="20"/>
          <w:szCs w:val="20"/>
        </w:rPr>
        <w:t>Estado</w:t>
      </w:r>
      <w:r w:rsidRPr="00306DCB">
        <w:rPr>
          <w:rFonts w:ascii="Verdana" w:hAnsi="Verdana"/>
          <w:sz w:val="20"/>
          <w:szCs w:val="20"/>
        </w:rPr>
        <w:t xml:space="preserve">, al referirse a las costas y gastos demandados, recordó que tanto el Estado nacional como el provincial se encuentran ejecutando un plan de regularización de tierras, destinando recursos económicos a tal fin.   </w:t>
      </w:r>
    </w:p>
    <w:p w14:paraId="67614984" w14:textId="77777777" w:rsidR="0056309D" w:rsidRPr="00C03A15" w:rsidRDefault="0056309D" w:rsidP="0056309D">
      <w:pPr>
        <w:pStyle w:val="Prrafodelista"/>
        <w:spacing w:line="240" w:lineRule="auto"/>
        <w:rPr>
          <w:rFonts w:ascii="Verdana" w:hAnsi="Verdana"/>
          <w:sz w:val="20"/>
          <w:szCs w:val="20"/>
          <w:lang w:val="es-CR"/>
        </w:rPr>
      </w:pPr>
    </w:p>
    <w:p w14:paraId="1A4E2CCA" w14:textId="77777777" w:rsidR="0056309D"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306DCB">
        <w:rPr>
          <w:rFonts w:ascii="Verdana" w:hAnsi="Verdana"/>
          <w:sz w:val="20"/>
          <w:szCs w:val="20"/>
        </w:rPr>
        <w:t xml:space="preserve">La </w:t>
      </w:r>
      <w:r w:rsidRPr="00306DCB">
        <w:rPr>
          <w:rFonts w:ascii="Verdana" w:hAnsi="Verdana"/>
          <w:b/>
          <w:i/>
          <w:sz w:val="20"/>
          <w:szCs w:val="20"/>
        </w:rPr>
        <w:t>Corte</w:t>
      </w:r>
      <w:r w:rsidRPr="00306DCB">
        <w:rPr>
          <w:rFonts w:ascii="Verdana" w:hAnsi="Verdana"/>
          <w:i/>
          <w:sz w:val="20"/>
          <w:szCs w:val="20"/>
        </w:rPr>
        <w:t xml:space="preserve"> </w:t>
      </w:r>
      <w:r w:rsidRPr="00306DCB">
        <w:rPr>
          <w:rFonts w:ascii="Verdana" w:hAnsi="Verdana"/>
          <w:sz w:val="20"/>
          <w:szCs w:val="20"/>
        </w:rPr>
        <w:t xml:space="preserve">reitera que, </w:t>
      </w:r>
    </w:p>
    <w:p w14:paraId="44190112" w14:textId="77777777" w:rsidR="0056309D" w:rsidRDefault="0056309D" w:rsidP="0056309D">
      <w:pPr>
        <w:pStyle w:val="Prrafodelista"/>
        <w:spacing w:line="240" w:lineRule="auto"/>
        <w:rPr>
          <w:rFonts w:ascii="Verdana" w:hAnsi="Verdana"/>
          <w:sz w:val="20"/>
          <w:szCs w:val="20"/>
        </w:rPr>
      </w:pPr>
    </w:p>
    <w:p w14:paraId="0E4AF884" w14:textId="77777777" w:rsidR="0056309D" w:rsidRPr="007F1D7B" w:rsidRDefault="0056309D" w:rsidP="0056309D">
      <w:pPr>
        <w:pStyle w:val="Prrafodelista"/>
        <w:spacing w:after="0" w:line="240" w:lineRule="auto"/>
        <w:ind w:left="284" w:right="284"/>
        <w:jc w:val="both"/>
        <w:rPr>
          <w:rFonts w:ascii="Verdana" w:hAnsi="Verdana"/>
          <w:sz w:val="16"/>
          <w:szCs w:val="16"/>
        </w:rPr>
      </w:pPr>
      <w:r w:rsidRPr="007F1D7B">
        <w:rPr>
          <w:rFonts w:ascii="Verdana" w:hAnsi="Verdana"/>
          <w:sz w:val="16"/>
          <w:szCs w:val="16"/>
        </w:rPr>
        <w:t xml:space="preserve">conforme a su jurisprudencia, las costas y gastos </w:t>
      </w:r>
      <w:r>
        <w:rPr>
          <w:rFonts w:ascii="Verdana" w:hAnsi="Verdana"/>
          <w:sz w:val="16"/>
          <w:szCs w:val="16"/>
        </w:rPr>
        <w:t>son</w:t>
      </w:r>
      <w:r w:rsidRPr="007F1D7B">
        <w:rPr>
          <w:rFonts w:ascii="Verdana" w:hAnsi="Verdana"/>
          <w:sz w:val="16"/>
          <w:szCs w:val="16"/>
        </w:rPr>
        <w:t xml:space="preserve"> parte del concepto de reparación, toda vez que la actividad desplegada por las víctimas con el fin de obtener justicia, tanto a nivel nacional como </w:t>
      </w:r>
      <w:r w:rsidRPr="007F1D7B">
        <w:rPr>
          <w:rFonts w:ascii="Verdana" w:hAnsi="Verdana"/>
          <w:sz w:val="16"/>
          <w:szCs w:val="16"/>
        </w:rPr>
        <w:lastRenderedPageBreak/>
        <w:t>internacional, implica erogaciones que deben ser compe</w:t>
      </w:r>
      <w:r w:rsidRPr="00654963">
        <w:rPr>
          <w:rFonts w:ascii="Verdana" w:hAnsi="Verdana"/>
          <w:sz w:val="16"/>
          <w:szCs w:val="16"/>
        </w:rPr>
        <w:t xml:space="preserve">nsadas cuando la responsabilidad internacional del Estado es declarada mediante una sentencia condenatoria. En cuanto al reembolso de las costas y gastos, corresponde al Tribunal apreciar prudentemente su alcance, el cual comprende los gastos generados ante las autoridades de la jurisdicción interna, así como los generados en el curso del proceso ante el sistema interamericano, teniendo en cuenta las circunstancias del caso concreto y la naturaleza de la jurisdicción internacional de protección de derechos humanos. Esta apreciación puede ser realizada con base en el principio de equidad y tomando en cuenta los gastos señalados por las partes, siempre que su </w:t>
      </w:r>
      <w:r w:rsidRPr="00654963">
        <w:rPr>
          <w:rFonts w:ascii="Verdana" w:hAnsi="Verdana"/>
          <w:i/>
          <w:iCs/>
          <w:sz w:val="16"/>
          <w:szCs w:val="16"/>
        </w:rPr>
        <w:t xml:space="preserve">quantum </w:t>
      </w:r>
      <w:r w:rsidRPr="00654963">
        <w:rPr>
          <w:rFonts w:ascii="Verdana" w:hAnsi="Verdana"/>
          <w:sz w:val="16"/>
          <w:szCs w:val="16"/>
        </w:rPr>
        <w:t>sea razonable</w:t>
      </w:r>
      <w:r w:rsidRPr="00487A82">
        <w:rPr>
          <w:rStyle w:val="Refdenotaalpie"/>
          <w:rFonts w:ascii="Verdana" w:hAnsi="Verdana"/>
          <w:sz w:val="16"/>
          <w:szCs w:val="16"/>
        </w:rPr>
        <w:footnoteReference w:id="337"/>
      </w:r>
      <w:r w:rsidRPr="00487A82">
        <w:rPr>
          <w:rFonts w:ascii="Verdana" w:hAnsi="Verdana"/>
          <w:sz w:val="16"/>
          <w:szCs w:val="16"/>
        </w:rPr>
        <w:t>.</w:t>
      </w:r>
      <w:r w:rsidRPr="007F1D7B">
        <w:rPr>
          <w:rFonts w:ascii="Verdana" w:hAnsi="Verdana"/>
          <w:sz w:val="16"/>
          <w:szCs w:val="16"/>
        </w:rPr>
        <w:t xml:space="preserve"> </w:t>
      </w:r>
    </w:p>
    <w:p w14:paraId="6D2CA5C9" w14:textId="77777777" w:rsidR="0056309D" w:rsidRPr="00306DCB" w:rsidRDefault="0056309D" w:rsidP="0056309D">
      <w:pPr>
        <w:pStyle w:val="Prrafodelista"/>
        <w:spacing w:line="240" w:lineRule="auto"/>
        <w:rPr>
          <w:rFonts w:ascii="Verdana" w:hAnsi="Verdana"/>
          <w:sz w:val="20"/>
          <w:szCs w:val="20"/>
        </w:rPr>
      </w:pPr>
    </w:p>
    <w:p w14:paraId="64E0F4F2" w14:textId="77777777" w:rsidR="0056309D" w:rsidRPr="00306DCB"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306DCB">
        <w:rPr>
          <w:rFonts w:ascii="Verdana" w:hAnsi="Verdana"/>
          <w:sz w:val="20"/>
          <w:szCs w:val="20"/>
        </w:rPr>
        <w:t xml:space="preserve">Este Tribunal nota que los representantes no han solicitado un monto dinerario específico para el reintegro de gastos y costas, ni acreditado en forma debida y razonada la totalidad de los gastos efectuados. El argumento estatal, por otra parte, no se relaciona con esta cuestión. </w:t>
      </w:r>
    </w:p>
    <w:p w14:paraId="2521DB88" w14:textId="77777777" w:rsidR="0056309D" w:rsidRDefault="0056309D" w:rsidP="0056309D">
      <w:pPr>
        <w:pStyle w:val="Prrafodelista"/>
        <w:spacing w:after="0" w:line="240" w:lineRule="auto"/>
        <w:ind w:left="0" w:right="6"/>
        <w:jc w:val="both"/>
        <w:rPr>
          <w:rFonts w:ascii="Verdana" w:eastAsia="Batang" w:hAnsi="Verdana" w:cs="Times"/>
          <w:sz w:val="20"/>
          <w:szCs w:val="20"/>
          <w:lang w:val="es-CR" w:eastAsia="es-CR"/>
        </w:rPr>
      </w:pPr>
    </w:p>
    <w:p w14:paraId="1EEFAE4D" w14:textId="06076C87" w:rsidR="0056309D"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306DCB">
        <w:rPr>
          <w:rFonts w:ascii="Verdana" w:hAnsi="Verdana"/>
          <w:sz w:val="20"/>
          <w:szCs w:val="20"/>
        </w:rPr>
        <w:t xml:space="preserve">La Corte decide, por entenderlo razonable, fijar el pago de un monto total </w:t>
      </w:r>
      <w:r w:rsidR="00DB2FD9">
        <w:rPr>
          <w:rFonts w:ascii="Verdana" w:hAnsi="Verdana"/>
          <w:sz w:val="20"/>
          <w:szCs w:val="20"/>
        </w:rPr>
        <w:t>de US$ 50.</w:t>
      </w:r>
      <w:r w:rsidRPr="00306DCB">
        <w:rPr>
          <w:rFonts w:ascii="Verdana" w:hAnsi="Verdana"/>
          <w:sz w:val="20"/>
          <w:szCs w:val="20"/>
        </w:rPr>
        <w:t>000.00 (cincuenta mil dólares de los Estados Unidos de América) por concepto de costas y gastos. Dicha cantidad será entregada, en el plazo de seis meses a partir de la notificación de la presente Sentencia, al Centro de Estudios Legales y Sociales (CELS)</w:t>
      </w:r>
      <w:r w:rsidRPr="004370B9">
        <w:rPr>
          <w:rStyle w:val="Refdenotaalpie"/>
        </w:rPr>
        <w:footnoteReference w:id="338"/>
      </w:r>
      <w:r w:rsidRPr="00306DCB">
        <w:rPr>
          <w:rFonts w:ascii="Verdana" w:hAnsi="Verdana"/>
          <w:sz w:val="20"/>
          <w:szCs w:val="20"/>
        </w:rPr>
        <w:t>. En el procedimiento de supervisión de cumplimiento de la presente Sentencia, el Tribunal podrá disponer el reembolso por parte del Estado a las víctimas o sus representantes de los gastos razonables debidamente comprobados en dicha etapa procesal</w:t>
      </w:r>
      <w:r w:rsidRPr="004370B9">
        <w:rPr>
          <w:rStyle w:val="Refdenotaalpie"/>
        </w:rPr>
        <w:footnoteReference w:id="339"/>
      </w:r>
      <w:r w:rsidRPr="00306DCB">
        <w:rPr>
          <w:rFonts w:ascii="Verdana" w:hAnsi="Verdana"/>
          <w:sz w:val="20"/>
          <w:szCs w:val="20"/>
        </w:rPr>
        <w:t xml:space="preserve">. </w:t>
      </w:r>
    </w:p>
    <w:p w14:paraId="6BFE74CB" w14:textId="77777777" w:rsidR="0056309D" w:rsidRDefault="0056309D" w:rsidP="0056309D">
      <w:pPr>
        <w:pStyle w:val="Prrafodelista"/>
        <w:spacing w:line="240" w:lineRule="auto"/>
        <w:rPr>
          <w:rFonts w:ascii="Verdana" w:hAnsi="Verdana"/>
          <w:sz w:val="20"/>
          <w:szCs w:val="20"/>
        </w:rPr>
      </w:pPr>
    </w:p>
    <w:p w14:paraId="1BD39220" w14:textId="77777777" w:rsidR="0056309D" w:rsidRPr="00D21870" w:rsidRDefault="0056309D" w:rsidP="0056309D">
      <w:pPr>
        <w:pStyle w:val="Prrafodelista"/>
        <w:numPr>
          <w:ilvl w:val="0"/>
          <w:numId w:val="43"/>
        </w:numPr>
        <w:spacing w:after="160" w:line="240" w:lineRule="auto"/>
        <w:jc w:val="both"/>
        <w:outlineLvl w:val="1"/>
        <w:rPr>
          <w:rFonts w:ascii="Verdana" w:hAnsi="Verdana"/>
          <w:b/>
          <w:i/>
          <w:sz w:val="20"/>
          <w:szCs w:val="20"/>
          <w:u w:val="single"/>
        </w:rPr>
      </w:pPr>
      <w:bookmarkStart w:id="367" w:name="_Toc22224953"/>
      <w:bookmarkStart w:id="368" w:name="_Toc32218900"/>
      <w:bookmarkStart w:id="369" w:name="_Toc32227180"/>
      <w:bookmarkStart w:id="370" w:name="_Toc34337607"/>
      <w:r w:rsidRPr="00D21870">
        <w:rPr>
          <w:rFonts w:ascii="Verdana" w:hAnsi="Verdana"/>
          <w:b/>
          <w:i/>
          <w:sz w:val="20"/>
          <w:szCs w:val="20"/>
          <w:u w:val="single"/>
        </w:rPr>
        <w:t>Modalidad de cumplimiento</w:t>
      </w:r>
      <w:bookmarkEnd w:id="367"/>
      <w:bookmarkEnd w:id="368"/>
      <w:bookmarkEnd w:id="369"/>
      <w:bookmarkEnd w:id="370"/>
    </w:p>
    <w:p w14:paraId="1E998B33" w14:textId="77777777" w:rsidR="0056309D" w:rsidRPr="00306DCB" w:rsidRDefault="0056309D" w:rsidP="0056309D">
      <w:pPr>
        <w:pStyle w:val="Prrafodelista"/>
        <w:spacing w:line="240" w:lineRule="auto"/>
        <w:rPr>
          <w:rFonts w:ascii="Verdana" w:hAnsi="Verdana"/>
          <w:sz w:val="20"/>
          <w:szCs w:val="20"/>
        </w:rPr>
      </w:pPr>
    </w:p>
    <w:p w14:paraId="037DF880" w14:textId="77777777" w:rsidR="0056309D" w:rsidRPr="00306DCB"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306DCB">
        <w:rPr>
          <w:rFonts w:ascii="Verdana" w:hAnsi="Verdana"/>
          <w:sz w:val="20"/>
          <w:szCs w:val="20"/>
        </w:rPr>
        <w:t xml:space="preserve">El Estado debe cumplir sus obligaciones monetarias mediante el pago en dólares de los Estados Unidos de América </w:t>
      </w:r>
      <w:r w:rsidRPr="00306DCB">
        <w:rPr>
          <w:rFonts w:ascii="Verdana" w:eastAsia="Calibri" w:hAnsi="Verdana" w:cs="Times New Roman"/>
          <w:iCs/>
          <w:sz w:val="20"/>
          <w:szCs w:val="20"/>
          <w:lang w:val="es-ES"/>
        </w:rPr>
        <w:t xml:space="preserve">o, de no ser esto posible, en su equivalente en moneda argentina, utilizando para el cálculo respectivo la tasa más alta y más beneficiosa para las personas beneficiarias que permita su ordenamiento interno, vigente al momento del pago. Durante la etapa de supervisión de cumplimento de la sentencia, la Corte podrá reajustar prudentemente el equivalente de estas cifras en moneda argentina, con el objeto de evitar que las variaciones </w:t>
      </w:r>
      <w:r>
        <w:rPr>
          <w:rFonts w:ascii="Verdana" w:eastAsia="Calibri" w:hAnsi="Verdana" w:cs="Times New Roman"/>
          <w:iCs/>
          <w:sz w:val="20"/>
          <w:szCs w:val="20"/>
          <w:lang w:val="es-ES"/>
        </w:rPr>
        <w:t xml:space="preserve">cambiarias </w:t>
      </w:r>
      <w:r w:rsidRPr="00306DCB">
        <w:rPr>
          <w:rFonts w:ascii="Verdana" w:eastAsia="Calibri" w:hAnsi="Verdana" w:cs="Times New Roman"/>
          <w:iCs/>
          <w:sz w:val="20"/>
          <w:szCs w:val="20"/>
          <w:lang w:val="es-ES"/>
        </w:rPr>
        <w:t>afecten sustancialmente el valor adquisitivo de esos montos</w:t>
      </w:r>
      <w:r>
        <w:rPr>
          <w:rFonts w:ascii="Verdana" w:eastAsia="Calibri" w:hAnsi="Verdana" w:cs="Times New Roman"/>
          <w:iCs/>
          <w:sz w:val="20"/>
          <w:szCs w:val="20"/>
          <w:lang w:val="es-ES"/>
        </w:rPr>
        <w:t>.</w:t>
      </w:r>
    </w:p>
    <w:p w14:paraId="12B2F93B" w14:textId="77777777" w:rsidR="0056309D" w:rsidRDefault="0056309D" w:rsidP="0056309D">
      <w:pPr>
        <w:pStyle w:val="Prrafodelista"/>
        <w:spacing w:after="0" w:line="240" w:lineRule="auto"/>
        <w:ind w:left="0" w:right="6"/>
        <w:jc w:val="both"/>
        <w:rPr>
          <w:rFonts w:ascii="Verdana" w:eastAsia="Batang" w:hAnsi="Verdana" w:cs="Times"/>
          <w:sz w:val="20"/>
          <w:szCs w:val="20"/>
          <w:lang w:val="es-CR" w:eastAsia="es-CR"/>
        </w:rPr>
      </w:pPr>
    </w:p>
    <w:p w14:paraId="770FFEC8" w14:textId="77777777" w:rsidR="0056309D"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306DCB">
        <w:rPr>
          <w:rFonts w:ascii="Verdana" w:hAnsi="Verdana"/>
          <w:sz w:val="20"/>
          <w:szCs w:val="20"/>
        </w:rPr>
        <w:t xml:space="preserve">Si por causas atribuibles a los beneficiarios no fuese posible el pago de la cantidad determinada dentro del plazo indicado, el Estado consignará dicho monto a su favor en una cuenta o certificado de depósito en una institución financiera argentina solvente, en dólares de los Estados Unidos de América, y en las condiciones financieras más favorables que permitan la legislación y la práctica bancaria. Si no se reclama el monto correspondiente una vez transcurridos diez años, las cantidades serán devueltas al Estado con los intereses devengados. </w:t>
      </w:r>
    </w:p>
    <w:p w14:paraId="3BAE4142" w14:textId="77777777" w:rsidR="0056309D" w:rsidRPr="00306DCB" w:rsidRDefault="0056309D" w:rsidP="0056309D">
      <w:pPr>
        <w:pStyle w:val="Prrafodelista"/>
        <w:spacing w:line="240" w:lineRule="auto"/>
        <w:rPr>
          <w:rFonts w:ascii="Verdana" w:hAnsi="Verdana"/>
          <w:sz w:val="20"/>
          <w:szCs w:val="20"/>
        </w:rPr>
      </w:pPr>
    </w:p>
    <w:p w14:paraId="270A4B88" w14:textId="77777777" w:rsidR="0056309D"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306DCB">
        <w:rPr>
          <w:rFonts w:ascii="Verdana" w:hAnsi="Verdana"/>
          <w:sz w:val="20"/>
          <w:szCs w:val="20"/>
        </w:rPr>
        <w:t>Las cantidades asignada</w:t>
      </w:r>
      <w:r>
        <w:rPr>
          <w:rFonts w:ascii="Verdana" w:hAnsi="Verdana"/>
          <w:sz w:val="20"/>
          <w:szCs w:val="20"/>
        </w:rPr>
        <w:t>s</w:t>
      </w:r>
      <w:r w:rsidRPr="00306DCB">
        <w:rPr>
          <w:rFonts w:ascii="Verdana" w:hAnsi="Verdana"/>
          <w:sz w:val="20"/>
          <w:szCs w:val="20"/>
        </w:rPr>
        <w:t xml:space="preserve"> en la presente Sentencia como medidas de reparación del daño y como reintegro de costas y gastos deberán ser entregadas de forma íntegra, sin reducciones derivadas de eventuales cargas fiscales. </w:t>
      </w:r>
    </w:p>
    <w:p w14:paraId="51006FFB" w14:textId="77777777" w:rsidR="0056309D" w:rsidRPr="00C03A15" w:rsidRDefault="0056309D" w:rsidP="0056309D">
      <w:pPr>
        <w:pStyle w:val="Prrafodelista"/>
        <w:spacing w:line="240" w:lineRule="auto"/>
        <w:rPr>
          <w:rFonts w:ascii="Verdana" w:hAnsi="Verdana"/>
          <w:sz w:val="20"/>
          <w:szCs w:val="20"/>
          <w:lang w:val="es-CR"/>
        </w:rPr>
      </w:pPr>
    </w:p>
    <w:p w14:paraId="18D4C647" w14:textId="77777777" w:rsidR="00F46A92" w:rsidRDefault="0056309D" w:rsidP="00F46A92">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306DCB">
        <w:rPr>
          <w:rFonts w:ascii="Verdana" w:hAnsi="Verdana"/>
          <w:sz w:val="20"/>
          <w:szCs w:val="20"/>
        </w:rPr>
        <w:lastRenderedPageBreak/>
        <w:t xml:space="preserve">En caso de que el Estado incurriera en mora deberá pagar un interés sobre la cantidad adeudada, correspondiente al interés bancario moratorio en la República Argentina. </w:t>
      </w:r>
    </w:p>
    <w:p w14:paraId="65DB2AAB" w14:textId="77777777" w:rsidR="00DB2FD9" w:rsidRDefault="00DB2FD9" w:rsidP="00F46A92">
      <w:pPr>
        <w:pStyle w:val="Default"/>
        <w:tabs>
          <w:tab w:val="left" w:pos="4262"/>
          <w:tab w:val="center" w:pos="4419"/>
        </w:tabs>
        <w:jc w:val="center"/>
        <w:outlineLvl w:val="0"/>
        <w:rPr>
          <w:b/>
          <w:sz w:val="20"/>
          <w:szCs w:val="20"/>
        </w:rPr>
      </w:pPr>
      <w:bookmarkStart w:id="371" w:name="_Toc32218901"/>
      <w:bookmarkStart w:id="372" w:name="_Toc32227181"/>
      <w:bookmarkStart w:id="373" w:name="_Toc34337608"/>
    </w:p>
    <w:p w14:paraId="0BAB9726" w14:textId="77777777" w:rsidR="00F46A92" w:rsidRPr="00B26CD7" w:rsidRDefault="00F46A92" w:rsidP="00F46A92">
      <w:pPr>
        <w:pStyle w:val="Default"/>
        <w:tabs>
          <w:tab w:val="left" w:pos="4262"/>
          <w:tab w:val="center" w:pos="4419"/>
        </w:tabs>
        <w:jc w:val="center"/>
        <w:outlineLvl w:val="0"/>
        <w:rPr>
          <w:b/>
          <w:sz w:val="20"/>
          <w:szCs w:val="20"/>
        </w:rPr>
      </w:pPr>
      <w:r>
        <w:rPr>
          <w:b/>
          <w:sz w:val="20"/>
          <w:szCs w:val="20"/>
        </w:rPr>
        <w:t>I</w:t>
      </w:r>
      <w:r w:rsidRPr="00B26CD7">
        <w:rPr>
          <w:b/>
          <w:sz w:val="20"/>
          <w:szCs w:val="20"/>
        </w:rPr>
        <w:t>X</w:t>
      </w:r>
      <w:bookmarkEnd w:id="371"/>
      <w:bookmarkEnd w:id="372"/>
      <w:bookmarkEnd w:id="373"/>
    </w:p>
    <w:p w14:paraId="50D2533D" w14:textId="77777777" w:rsidR="00F46A92" w:rsidRPr="00B26CD7" w:rsidRDefault="00F46A92" w:rsidP="00F46A92">
      <w:pPr>
        <w:pStyle w:val="Default"/>
        <w:tabs>
          <w:tab w:val="left" w:pos="2788"/>
          <w:tab w:val="center" w:pos="4419"/>
        </w:tabs>
        <w:jc w:val="center"/>
        <w:outlineLvl w:val="0"/>
        <w:rPr>
          <w:b/>
          <w:sz w:val="20"/>
          <w:szCs w:val="20"/>
        </w:rPr>
      </w:pPr>
      <w:bookmarkStart w:id="374" w:name="_Toc22224955"/>
      <w:bookmarkStart w:id="375" w:name="_Toc32218902"/>
      <w:bookmarkStart w:id="376" w:name="_Toc32227182"/>
      <w:bookmarkStart w:id="377" w:name="_Toc34337609"/>
      <w:r w:rsidRPr="00B26CD7">
        <w:rPr>
          <w:b/>
          <w:sz w:val="20"/>
          <w:szCs w:val="20"/>
        </w:rPr>
        <w:t>PUNTOS RESOLUTIVOS</w:t>
      </w:r>
      <w:bookmarkEnd w:id="374"/>
      <w:bookmarkEnd w:id="375"/>
      <w:bookmarkEnd w:id="376"/>
      <w:bookmarkEnd w:id="377"/>
    </w:p>
    <w:p w14:paraId="2FD01B1C" w14:textId="77777777" w:rsidR="00F46A92" w:rsidRPr="00F46A92" w:rsidRDefault="00F46A92" w:rsidP="00F46A92">
      <w:pPr>
        <w:pStyle w:val="Prrafodelista"/>
        <w:rPr>
          <w:rFonts w:ascii="Verdana" w:hAnsi="Verdana"/>
          <w:sz w:val="20"/>
          <w:szCs w:val="20"/>
        </w:rPr>
      </w:pPr>
    </w:p>
    <w:p w14:paraId="5DACD3BE" w14:textId="77777777" w:rsidR="00F46A92" w:rsidRPr="00F46A92" w:rsidRDefault="00F46A92" w:rsidP="00F46A92">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F46A92">
        <w:rPr>
          <w:rFonts w:ascii="Verdana" w:hAnsi="Verdana"/>
          <w:sz w:val="20"/>
          <w:szCs w:val="20"/>
        </w:rPr>
        <w:t xml:space="preserve">Por tanto, </w:t>
      </w:r>
    </w:p>
    <w:p w14:paraId="4A44004E" w14:textId="77777777" w:rsidR="00F46A92" w:rsidRDefault="00F46A92" w:rsidP="00F46A92">
      <w:pPr>
        <w:pStyle w:val="Prrafodelista"/>
        <w:spacing w:after="0" w:line="240" w:lineRule="auto"/>
        <w:ind w:left="0"/>
        <w:jc w:val="both"/>
        <w:rPr>
          <w:rFonts w:ascii="Verdana" w:hAnsi="Verdana"/>
          <w:sz w:val="20"/>
          <w:szCs w:val="20"/>
        </w:rPr>
      </w:pPr>
    </w:p>
    <w:p w14:paraId="2DCC99D6" w14:textId="77777777" w:rsidR="00F46A92" w:rsidRDefault="00F46A92" w:rsidP="00F46A92">
      <w:pPr>
        <w:pStyle w:val="Prrafodelista"/>
        <w:spacing w:after="0" w:line="240" w:lineRule="auto"/>
        <w:ind w:left="0"/>
        <w:jc w:val="both"/>
        <w:rPr>
          <w:rFonts w:ascii="Verdana" w:hAnsi="Verdana"/>
          <w:sz w:val="20"/>
          <w:szCs w:val="20"/>
        </w:rPr>
      </w:pPr>
    </w:p>
    <w:p w14:paraId="1D3676FE" w14:textId="77777777" w:rsidR="00F46A92" w:rsidRPr="00B26CD7" w:rsidRDefault="00F46A92" w:rsidP="00F46A92">
      <w:pPr>
        <w:pStyle w:val="Prrafodelista"/>
        <w:spacing w:after="0" w:line="240" w:lineRule="auto"/>
        <w:ind w:left="0"/>
        <w:jc w:val="both"/>
        <w:rPr>
          <w:rFonts w:ascii="Verdana" w:hAnsi="Verdana"/>
          <w:b/>
          <w:sz w:val="20"/>
          <w:szCs w:val="20"/>
        </w:rPr>
      </w:pPr>
      <w:r w:rsidRPr="00B26CD7">
        <w:rPr>
          <w:rFonts w:ascii="Verdana" w:hAnsi="Verdana"/>
          <w:b/>
          <w:sz w:val="20"/>
          <w:szCs w:val="20"/>
        </w:rPr>
        <w:t>LA CORTE</w:t>
      </w:r>
    </w:p>
    <w:p w14:paraId="4D7FB65B" w14:textId="77777777" w:rsidR="00F46A92" w:rsidRPr="00B26CD7" w:rsidRDefault="00F46A92" w:rsidP="00F46A92">
      <w:pPr>
        <w:pStyle w:val="Default"/>
        <w:jc w:val="both"/>
        <w:rPr>
          <w:sz w:val="20"/>
          <w:szCs w:val="20"/>
        </w:rPr>
      </w:pPr>
    </w:p>
    <w:p w14:paraId="378390DC" w14:textId="77777777" w:rsidR="00F46A92" w:rsidRPr="00B26CD7" w:rsidRDefault="00F46A92" w:rsidP="00F46A92">
      <w:pPr>
        <w:pStyle w:val="Default"/>
        <w:jc w:val="both"/>
        <w:rPr>
          <w:b/>
          <w:sz w:val="20"/>
          <w:szCs w:val="20"/>
        </w:rPr>
      </w:pPr>
      <w:r w:rsidRPr="00B26CD7">
        <w:rPr>
          <w:b/>
          <w:sz w:val="20"/>
          <w:szCs w:val="20"/>
        </w:rPr>
        <w:t>DECLARA:</w:t>
      </w:r>
    </w:p>
    <w:p w14:paraId="4D590C8E" w14:textId="77777777" w:rsidR="00F46A92" w:rsidRDefault="00F46A92" w:rsidP="00F46A92">
      <w:pPr>
        <w:pStyle w:val="Default"/>
        <w:jc w:val="both"/>
        <w:rPr>
          <w:sz w:val="20"/>
          <w:szCs w:val="20"/>
        </w:rPr>
      </w:pPr>
    </w:p>
    <w:p w14:paraId="6C438C1C" w14:textId="77777777" w:rsidR="00F46A92" w:rsidRPr="00B26CD7" w:rsidRDefault="00F46A92" w:rsidP="00F46A92">
      <w:pPr>
        <w:pStyle w:val="Default"/>
        <w:jc w:val="both"/>
        <w:rPr>
          <w:sz w:val="20"/>
          <w:szCs w:val="20"/>
        </w:rPr>
      </w:pPr>
    </w:p>
    <w:p w14:paraId="7662F6EB" w14:textId="4DC73C2B" w:rsidR="00F46A92" w:rsidRPr="00B26CD7" w:rsidRDefault="00F46A92" w:rsidP="00F46A92">
      <w:pPr>
        <w:pStyle w:val="Prrafodelista"/>
        <w:spacing w:after="0" w:line="240" w:lineRule="auto"/>
        <w:ind w:left="0"/>
        <w:jc w:val="both"/>
        <w:rPr>
          <w:rFonts w:ascii="Verdana" w:hAnsi="Verdana"/>
          <w:sz w:val="20"/>
          <w:szCs w:val="20"/>
        </w:rPr>
      </w:pPr>
      <w:r>
        <w:rPr>
          <w:rFonts w:ascii="Verdana" w:hAnsi="Verdana"/>
          <w:sz w:val="20"/>
          <w:szCs w:val="20"/>
        </w:rPr>
        <w:t>Por unanimidad</w:t>
      </w:r>
      <w:r w:rsidRPr="00B26CD7">
        <w:rPr>
          <w:rFonts w:ascii="Verdana" w:hAnsi="Verdana"/>
          <w:sz w:val="20"/>
          <w:szCs w:val="20"/>
        </w:rPr>
        <w:t>, que</w:t>
      </w:r>
      <w:r w:rsidR="00487A82">
        <w:rPr>
          <w:rFonts w:ascii="Verdana" w:hAnsi="Verdana"/>
          <w:sz w:val="20"/>
          <w:szCs w:val="20"/>
        </w:rPr>
        <w:t>:</w:t>
      </w:r>
    </w:p>
    <w:p w14:paraId="4DA7932D" w14:textId="77777777" w:rsidR="00F46A92" w:rsidRPr="00B26CD7" w:rsidRDefault="00F46A92" w:rsidP="00F46A92">
      <w:pPr>
        <w:pStyle w:val="Default"/>
        <w:jc w:val="both"/>
        <w:rPr>
          <w:sz w:val="20"/>
          <w:szCs w:val="20"/>
        </w:rPr>
      </w:pPr>
    </w:p>
    <w:p w14:paraId="30C5FE4A" w14:textId="17E59CB5" w:rsidR="00F46A92" w:rsidRPr="002C7806" w:rsidRDefault="00F46A92" w:rsidP="00F46A92">
      <w:pPr>
        <w:pStyle w:val="Default"/>
        <w:numPr>
          <w:ilvl w:val="0"/>
          <w:numId w:val="13"/>
        </w:numPr>
        <w:ind w:left="0" w:firstLine="0"/>
        <w:jc w:val="both"/>
        <w:rPr>
          <w:color w:val="000000" w:themeColor="text1"/>
          <w:sz w:val="20"/>
          <w:szCs w:val="20"/>
        </w:rPr>
      </w:pPr>
      <w:r w:rsidRPr="00B26CD7">
        <w:rPr>
          <w:sz w:val="20"/>
          <w:szCs w:val="20"/>
        </w:rPr>
        <w:t>El Estado es responsable</w:t>
      </w:r>
      <w:r w:rsidR="00487A82">
        <w:rPr>
          <w:sz w:val="20"/>
          <w:szCs w:val="20"/>
        </w:rPr>
        <w:t xml:space="preserve"> por la violación del derecho a la</w:t>
      </w:r>
      <w:r w:rsidRPr="00B26CD7">
        <w:rPr>
          <w:sz w:val="20"/>
          <w:szCs w:val="20"/>
        </w:rPr>
        <w:t xml:space="preserve"> propiedad, establecido en el artículo 21 de la Convención Americana sobre Derechos Humanos, en relación con los derechos </w:t>
      </w:r>
      <w:r>
        <w:rPr>
          <w:sz w:val="20"/>
          <w:szCs w:val="20"/>
        </w:rPr>
        <w:t>a</w:t>
      </w:r>
      <w:r w:rsidRPr="00B26CD7">
        <w:rPr>
          <w:sz w:val="20"/>
          <w:szCs w:val="20"/>
        </w:rPr>
        <w:t xml:space="preserve"> las garantías judiciales</w:t>
      </w:r>
      <w:r>
        <w:rPr>
          <w:sz w:val="20"/>
          <w:szCs w:val="20"/>
        </w:rPr>
        <w:t xml:space="preserve"> y a la protección judicial</w:t>
      </w:r>
      <w:r w:rsidRPr="00B26CD7">
        <w:rPr>
          <w:sz w:val="20"/>
          <w:szCs w:val="20"/>
        </w:rPr>
        <w:t>, establecidos en los artículos</w:t>
      </w:r>
      <w:r>
        <w:rPr>
          <w:sz w:val="20"/>
          <w:szCs w:val="20"/>
        </w:rPr>
        <w:t xml:space="preserve"> </w:t>
      </w:r>
      <w:r>
        <w:rPr>
          <w:color w:val="000000" w:themeColor="text1"/>
          <w:sz w:val="20"/>
          <w:szCs w:val="20"/>
          <w:lang w:val="es-ES"/>
        </w:rPr>
        <w:t>8.1 y 25.1</w:t>
      </w:r>
      <w:r w:rsidRPr="00B26CD7">
        <w:rPr>
          <w:color w:val="000000" w:themeColor="text1"/>
          <w:sz w:val="20"/>
          <w:szCs w:val="20"/>
          <w:lang w:val="es-ES"/>
        </w:rPr>
        <w:t xml:space="preserve"> del mismo tratado</w:t>
      </w:r>
      <w:r w:rsidR="00487A82">
        <w:rPr>
          <w:color w:val="000000" w:themeColor="text1"/>
          <w:sz w:val="20"/>
          <w:szCs w:val="20"/>
          <w:lang w:val="es-ES"/>
        </w:rPr>
        <w:t>,</w:t>
      </w:r>
      <w:r w:rsidRPr="00B26CD7">
        <w:rPr>
          <w:color w:val="000000" w:themeColor="text1"/>
          <w:sz w:val="20"/>
          <w:szCs w:val="20"/>
          <w:lang w:val="es-ES"/>
        </w:rPr>
        <w:t xml:space="preserve"> y con los</w:t>
      </w:r>
      <w:r w:rsidR="00487A82">
        <w:rPr>
          <w:color w:val="000000" w:themeColor="text1"/>
          <w:sz w:val="20"/>
          <w:szCs w:val="20"/>
          <w:lang w:val="es-ES"/>
        </w:rPr>
        <w:t xml:space="preserve"> deberes establecidos en los</w:t>
      </w:r>
      <w:r w:rsidRPr="00B26CD7">
        <w:rPr>
          <w:color w:val="000000" w:themeColor="text1"/>
          <w:sz w:val="20"/>
          <w:szCs w:val="20"/>
          <w:lang w:val="es-ES"/>
        </w:rPr>
        <w:t xml:space="preserve"> artículos 1.1 y 2 del mismo instrumento, </w:t>
      </w:r>
      <w:r w:rsidRPr="00B26CD7">
        <w:rPr>
          <w:sz w:val="20"/>
          <w:szCs w:val="20"/>
        </w:rPr>
        <w:t>en perjuicio de las 132 comunidades indígenas señaladas en el A</w:t>
      </w:r>
      <w:r>
        <w:rPr>
          <w:sz w:val="20"/>
          <w:szCs w:val="20"/>
        </w:rPr>
        <w:t xml:space="preserve">nexo V a la presente Sentencia, en los términos de sus párrafos </w:t>
      </w:r>
      <w:r w:rsidR="00A0136E">
        <w:rPr>
          <w:sz w:val="20"/>
          <w:szCs w:val="20"/>
        </w:rPr>
        <w:t>92 a 98, 114 a</w:t>
      </w:r>
      <w:r w:rsidR="004D1ADB">
        <w:rPr>
          <w:sz w:val="20"/>
          <w:szCs w:val="20"/>
        </w:rPr>
        <w:t xml:space="preserve"> 152 y 158 a 168</w:t>
      </w:r>
      <w:r>
        <w:rPr>
          <w:sz w:val="20"/>
          <w:szCs w:val="20"/>
        </w:rPr>
        <w:t>.</w:t>
      </w:r>
    </w:p>
    <w:p w14:paraId="36B927AA" w14:textId="77777777" w:rsidR="00F46A92" w:rsidRDefault="00F46A92" w:rsidP="00F46A92">
      <w:pPr>
        <w:pStyle w:val="Default"/>
        <w:jc w:val="both"/>
        <w:rPr>
          <w:sz w:val="20"/>
          <w:szCs w:val="20"/>
        </w:rPr>
      </w:pPr>
    </w:p>
    <w:p w14:paraId="783362DF" w14:textId="77777777" w:rsidR="00F46A92" w:rsidRDefault="00F46A92" w:rsidP="00F46A92">
      <w:pPr>
        <w:pStyle w:val="Default"/>
        <w:jc w:val="both"/>
        <w:rPr>
          <w:sz w:val="20"/>
          <w:szCs w:val="20"/>
        </w:rPr>
      </w:pPr>
    </w:p>
    <w:p w14:paraId="6664F51A" w14:textId="7BB79B21" w:rsidR="00F46A92" w:rsidRDefault="00F46A92" w:rsidP="00F46A92">
      <w:pPr>
        <w:pStyle w:val="Default"/>
        <w:jc w:val="both"/>
        <w:rPr>
          <w:sz w:val="20"/>
          <w:szCs w:val="20"/>
        </w:rPr>
      </w:pPr>
      <w:r>
        <w:rPr>
          <w:sz w:val="20"/>
          <w:szCs w:val="20"/>
        </w:rPr>
        <w:t>Por unanimidad, que</w:t>
      </w:r>
      <w:r w:rsidR="00487A82">
        <w:rPr>
          <w:sz w:val="20"/>
          <w:szCs w:val="20"/>
        </w:rPr>
        <w:t>:</w:t>
      </w:r>
    </w:p>
    <w:p w14:paraId="4A1BDC75" w14:textId="77777777" w:rsidR="00F46A92" w:rsidRPr="00B26CD7" w:rsidRDefault="00F46A92" w:rsidP="00F46A92">
      <w:pPr>
        <w:pStyle w:val="Prrafodelista"/>
        <w:spacing w:after="0" w:line="240" w:lineRule="auto"/>
        <w:jc w:val="both"/>
        <w:rPr>
          <w:rFonts w:ascii="Verdana" w:hAnsi="Verdana"/>
          <w:color w:val="000000" w:themeColor="text1"/>
          <w:sz w:val="20"/>
          <w:szCs w:val="20"/>
          <w:lang w:val="es-CR"/>
        </w:rPr>
      </w:pPr>
    </w:p>
    <w:p w14:paraId="29E55191" w14:textId="77777777" w:rsidR="00F46A92" w:rsidRPr="000A4DF5" w:rsidRDefault="00F46A92" w:rsidP="00F46A92">
      <w:pPr>
        <w:pStyle w:val="Default"/>
        <w:numPr>
          <w:ilvl w:val="0"/>
          <w:numId w:val="13"/>
        </w:numPr>
        <w:ind w:left="0" w:firstLine="0"/>
        <w:jc w:val="both"/>
        <w:rPr>
          <w:color w:val="000000" w:themeColor="text1"/>
          <w:sz w:val="20"/>
          <w:szCs w:val="20"/>
        </w:rPr>
      </w:pPr>
      <w:r w:rsidRPr="00B26CD7">
        <w:rPr>
          <w:color w:val="000000" w:themeColor="text1"/>
          <w:sz w:val="20"/>
          <w:szCs w:val="20"/>
        </w:rPr>
        <w:t xml:space="preserve">El Estado es responsable por la violación </w:t>
      </w:r>
      <w:r>
        <w:rPr>
          <w:color w:val="000000" w:themeColor="text1"/>
          <w:sz w:val="20"/>
          <w:szCs w:val="20"/>
        </w:rPr>
        <w:t xml:space="preserve">al derecho a la propiedad y a los derechos políticos, establecidos en </w:t>
      </w:r>
      <w:r w:rsidRPr="00B26CD7">
        <w:rPr>
          <w:color w:val="000000" w:themeColor="text1"/>
          <w:sz w:val="20"/>
          <w:szCs w:val="20"/>
        </w:rPr>
        <w:t>l</w:t>
      </w:r>
      <w:r>
        <w:rPr>
          <w:color w:val="000000" w:themeColor="text1"/>
          <w:sz w:val="20"/>
          <w:szCs w:val="20"/>
        </w:rPr>
        <w:t>os</w:t>
      </w:r>
      <w:r w:rsidRPr="00B26CD7">
        <w:rPr>
          <w:color w:val="000000" w:themeColor="text1"/>
          <w:sz w:val="20"/>
          <w:szCs w:val="20"/>
        </w:rPr>
        <w:t xml:space="preserve"> artículo</w:t>
      </w:r>
      <w:r>
        <w:rPr>
          <w:color w:val="000000" w:themeColor="text1"/>
          <w:sz w:val="20"/>
          <w:szCs w:val="20"/>
        </w:rPr>
        <w:t>s 21 y</w:t>
      </w:r>
      <w:r w:rsidRPr="00B26CD7">
        <w:rPr>
          <w:color w:val="000000" w:themeColor="text1"/>
          <w:sz w:val="20"/>
          <w:szCs w:val="20"/>
        </w:rPr>
        <w:t xml:space="preserve"> 2</w:t>
      </w:r>
      <w:r>
        <w:rPr>
          <w:color w:val="000000" w:themeColor="text1"/>
          <w:sz w:val="20"/>
          <w:szCs w:val="20"/>
        </w:rPr>
        <w:t>3</w:t>
      </w:r>
      <w:r w:rsidRPr="00B26CD7">
        <w:rPr>
          <w:color w:val="000000" w:themeColor="text1"/>
          <w:sz w:val="20"/>
          <w:szCs w:val="20"/>
        </w:rPr>
        <w:t xml:space="preserve">.1 de la Convención Americana sobre Derechos Humanos, </w:t>
      </w:r>
      <w:r>
        <w:rPr>
          <w:color w:val="000000" w:themeColor="text1"/>
          <w:sz w:val="20"/>
          <w:szCs w:val="20"/>
        </w:rPr>
        <w:t xml:space="preserve">en relación con el artículo 1.1 del mismo tratado, </w:t>
      </w:r>
      <w:r w:rsidRPr="002D5CBC">
        <w:rPr>
          <w:color w:val="000000" w:themeColor="text1"/>
          <w:sz w:val="20"/>
          <w:szCs w:val="20"/>
        </w:rPr>
        <w:t xml:space="preserve">en perjuicio de </w:t>
      </w:r>
      <w:r w:rsidRPr="002D5CBC">
        <w:rPr>
          <w:sz w:val="20"/>
          <w:szCs w:val="20"/>
        </w:rPr>
        <w:t xml:space="preserve">las 132 comunidades indígenas señaladas en el Anexo V a la presente Sentencia, en los términos de sus párrafos </w:t>
      </w:r>
      <w:r w:rsidR="004D1ADB">
        <w:rPr>
          <w:sz w:val="20"/>
          <w:szCs w:val="20"/>
        </w:rPr>
        <w:t>173 a 184</w:t>
      </w:r>
      <w:r w:rsidRPr="002D5CBC">
        <w:rPr>
          <w:sz w:val="20"/>
          <w:szCs w:val="20"/>
        </w:rPr>
        <w:t>.</w:t>
      </w:r>
    </w:p>
    <w:p w14:paraId="5D76F214" w14:textId="77777777" w:rsidR="00F46A92" w:rsidRDefault="00F46A92" w:rsidP="00F46A92">
      <w:pPr>
        <w:pStyle w:val="Default"/>
        <w:jc w:val="both"/>
        <w:rPr>
          <w:color w:val="000000" w:themeColor="text1"/>
          <w:sz w:val="20"/>
          <w:szCs w:val="20"/>
        </w:rPr>
      </w:pPr>
    </w:p>
    <w:p w14:paraId="3731D144" w14:textId="77777777" w:rsidR="00F46A92" w:rsidRDefault="00F46A92" w:rsidP="00F46A92">
      <w:pPr>
        <w:pStyle w:val="Default"/>
        <w:jc w:val="both"/>
        <w:rPr>
          <w:color w:val="000000" w:themeColor="text1"/>
          <w:sz w:val="20"/>
          <w:szCs w:val="20"/>
        </w:rPr>
      </w:pPr>
    </w:p>
    <w:p w14:paraId="0D35FC0B" w14:textId="5EB982D3" w:rsidR="00F46A92" w:rsidRDefault="00F46A92" w:rsidP="00F46A92">
      <w:pPr>
        <w:pStyle w:val="Default"/>
        <w:jc w:val="both"/>
        <w:rPr>
          <w:color w:val="000000" w:themeColor="text1"/>
          <w:sz w:val="20"/>
          <w:szCs w:val="20"/>
        </w:rPr>
      </w:pPr>
      <w:r>
        <w:rPr>
          <w:color w:val="000000" w:themeColor="text1"/>
          <w:sz w:val="20"/>
          <w:szCs w:val="20"/>
        </w:rPr>
        <w:t>Por tres votos a favor, incluido el de la Presidenta de la Corte, y tres en contra</w:t>
      </w:r>
      <w:r>
        <w:rPr>
          <w:rStyle w:val="Refdenotaalpie"/>
          <w:color w:val="000000" w:themeColor="text1"/>
          <w:sz w:val="20"/>
        </w:rPr>
        <w:footnoteReference w:id="340"/>
      </w:r>
      <w:r>
        <w:rPr>
          <w:color w:val="000000" w:themeColor="text1"/>
          <w:sz w:val="20"/>
          <w:szCs w:val="20"/>
        </w:rPr>
        <w:t>, que</w:t>
      </w:r>
      <w:r w:rsidR="00487A82">
        <w:rPr>
          <w:color w:val="000000" w:themeColor="text1"/>
          <w:sz w:val="20"/>
          <w:szCs w:val="20"/>
        </w:rPr>
        <w:t>:</w:t>
      </w:r>
      <w:r>
        <w:rPr>
          <w:color w:val="000000" w:themeColor="text1"/>
          <w:sz w:val="20"/>
          <w:szCs w:val="20"/>
        </w:rPr>
        <w:t xml:space="preserve"> </w:t>
      </w:r>
    </w:p>
    <w:p w14:paraId="6B12D968" w14:textId="77777777" w:rsidR="00F46A92" w:rsidRDefault="00F46A92" w:rsidP="00F46A92">
      <w:pPr>
        <w:pStyle w:val="Default"/>
        <w:jc w:val="both"/>
        <w:rPr>
          <w:color w:val="000000" w:themeColor="text1"/>
          <w:sz w:val="20"/>
          <w:szCs w:val="20"/>
        </w:rPr>
      </w:pPr>
    </w:p>
    <w:p w14:paraId="4D2B5973" w14:textId="2F62B3D1" w:rsidR="00F46A92" w:rsidRPr="00747C15" w:rsidRDefault="00F46A92" w:rsidP="00F46A92">
      <w:pPr>
        <w:pStyle w:val="Default"/>
        <w:numPr>
          <w:ilvl w:val="0"/>
          <w:numId w:val="13"/>
        </w:numPr>
        <w:ind w:left="0" w:firstLine="0"/>
        <w:jc w:val="both"/>
        <w:rPr>
          <w:color w:val="000000" w:themeColor="text1"/>
          <w:sz w:val="20"/>
          <w:szCs w:val="20"/>
        </w:rPr>
      </w:pPr>
      <w:r w:rsidRPr="00747C15">
        <w:rPr>
          <w:sz w:val="20"/>
          <w:szCs w:val="20"/>
        </w:rPr>
        <w:t xml:space="preserve">El Estado es responsable por la violación a los derechos a participar en la vida cultural, en lo atinente a </w:t>
      </w:r>
      <w:r w:rsidR="00682C54">
        <w:rPr>
          <w:sz w:val="20"/>
          <w:szCs w:val="20"/>
        </w:rPr>
        <w:t>la</w:t>
      </w:r>
      <w:r w:rsidRPr="00747C15">
        <w:rPr>
          <w:sz w:val="20"/>
          <w:szCs w:val="20"/>
        </w:rPr>
        <w:t xml:space="preserve"> identidad cultural, al medio ambiente sano, a la alimentación adecuada y al agua, establecidos en el artículo 26 de la Convención Americana sobre Derechos Humanos, en relación con el artículo 1.1 del mismo tratado, en perjuicio de las 132 comunidades indígenas señaladas en el Anexo V a la presente S</w:t>
      </w:r>
      <w:r>
        <w:rPr>
          <w:sz w:val="20"/>
          <w:szCs w:val="20"/>
        </w:rPr>
        <w:t>entencia, en los términos de sus</w:t>
      </w:r>
      <w:r w:rsidRPr="00747C15">
        <w:rPr>
          <w:sz w:val="20"/>
          <w:szCs w:val="20"/>
        </w:rPr>
        <w:t xml:space="preserve"> párrafos </w:t>
      </w:r>
      <w:r w:rsidR="004D1ADB">
        <w:rPr>
          <w:sz w:val="20"/>
          <w:szCs w:val="20"/>
        </w:rPr>
        <w:t>195 a 289</w:t>
      </w:r>
      <w:r w:rsidRPr="00747C15">
        <w:rPr>
          <w:sz w:val="20"/>
          <w:szCs w:val="20"/>
        </w:rPr>
        <w:t xml:space="preserve">. </w:t>
      </w:r>
    </w:p>
    <w:p w14:paraId="1313758F" w14:textId="77777777" w:rsidR="00F46A92" w:rsidRDefault="00F46A92" w:rsidP="00F46A92">
      <w:pPr>
        <w:spacing w:after="0" w:line="240" w:lineRule="auto"/>
        <w:rPr>
          <w:rFonts w:ascii="Verdana" w:hAnsi="Verdana"/>
          <w:color w:val="000000" w:themeColor="text1"/>
          <w:sz w:val="20"/>
          <w:szCs w:val="20"/>
        </w:rPr>
      </w:pPr>
    </w:p>
    <w:p w14:paraId="6C91AE30" w14:textId="77777777" w:rsidR="00F46A92" w:rsidRPr="00666448" w:rsidRDefault="00F46A92" w:rsidP="00F46A92">
      <w:pPr>
        <w:spacing w:after="0" w:line="240" w:lineRule="auto"/>
        <w:jc w:val="both"/>
        <w:rPr>
          <w:rFonts w:ascii="Verdana" w:hAnsi="Verdana"/>
          <w:sz w:val="20"/>
          <w:szCs w:val="20"/>
          <w:lang w:val="es-CR"/>
        </w:rPr>
      </w:pPr>
      <w:r>
        <w:rPr>
          <w:rFonts w:ascii="Verdana" w:hAnsi="Verdana"/>
          <w:sz w:val="20"/>
          <w:szCs w:val="20"/>
          <w:lang w:val="es-CR"/>
        </w:rPr>
        <w:t>Disienten los jueces Eduardo Vio Grossi, Humberto Antonio Sierra Porto</w:t>
      </w:r>
      <w:r w:rsidRPr="00666448">
        <w:rPr>
          <w:rFonts w:ascii="Verdana" w:hAnsi="Verdana"/>
          <w:sz w:val="20"/>
          <w:szCs w:val="20"/>
          <w:lang w:val="es-CR"/>
        </w:rPr>
        <w:t xml:space="preserve"> y Ricardo Pérez Manrique</w:t>
      </w:r>
    </w:p>
    <w:p w14:paraId="2BD44CF8" w14:textId="77777777" w:rsidR="00F46A92" w:rsidRDefault="00F46A92" w:rsidP="00F46A92">
      <w:pPr>
        <w:spacing w:after="0" w:line="240" w:lineRule="auto"/>
        <w:rPr>
          <w:rFonts w:ascii="Verdana" w:hAnsi="Verdana"/>
          <w:color w:val="000000" w:themeColor="text1"/>
          <w:sz w:val="20"/>
          <w:szCs w:val="20"/>
        </w:rPr>
      </w:pPr>
    </w:p>
    <w:p w14:paraId="0A997E5E" w14:textId="77777777" w:rsidR="00F46A92" w:rsidRDefault="00F46A92" w:rsidP="00F46A92">
      <w:pPr>
        <w:spacing w:after="0" w:line="240" w:lineRule="auto"/>
        <w:rPr>
          <w:rFonts w:ascii="Verdana" w:hAnsi="Verdana"/>
          <w:color w:val="000000" w:themeColor="text1"/>
          <w:sz w:val="20"/>
          <w:szCs w:val="20"/>
        </w:rPr>
      </w:pPr>
    </w:p>
    <w:p w14:paraId="71718A77" w14:textId="77777777" w:rsidR="00FE1010" w:rsidRDefault="00FE1010" w:rsidP="00F46A92">
      <w:pPr>
        <w:spacing w:after="0" w:line="240" w:lineRule="auto"/>
        <w:rPr>
          <w:rFonts w:ascii="Verdana" w:hAnsi="Verdana"/>
          <w:color w:val="000000" w:themeColor="text1"/>
          <w:sz w:val="20"/>
          <w:szCs w:val="20"/>
        </w:rPr>
      </w:pPr>
    </w:p>
    <w:p w14:paraId="2BD9EB12" w14:textId="77777777" w:rsidR="00FE1010" w:rsidRDefault="00FE1010" w:rsidP="00F46A92">
      <w:pPr>
        <w:spacing w:after="0" w:line="240" w:lineRule="auto"/>
        <w:rPr>
          <w:rFonts w:ascii="Verdana" w:hAnsi="Verdana"/>
          <w:color w:val="000000" w:themeColor="text1"/>
          <w:sz w:val="20"/>
          <w:szCs w:val="20"/>
        </w:rPr>
      </w:pPr>
    </w:p>
    <w:p w14:paraId="621BE47C" w14:textId="77777777" w:rsidR="00FE1010" w:rsidRPr="00747C15" w:rsidRDefault="00FE1010" w:rsidP="00F46A92">
      <w:pPr>
        <w:spacing w:after="0" w:line="240" w:lineRule="auto"/>
        <w:rPr>
          <w:rFonts w:ascii="Verdana" w:hAnsi="Verdana"/>
          <w:color w:val="000000" w:themeColor="text1"/>
          <w:sz w:val="20"/>
          <w:szCs w:val="20"/>
        </w:rPr>
      </w:pPr>
    </w:p>
    <w:p w14:paraId="3D919F6F" w14:textId="3E8932AC" w:rsidR="00F46A92" w:rsidRDefault="00F46A92" w:rsidP="00F46A92">
      <w:pPr>
        <w:tabs>
          <w:tab w:val="left" w:pos="3045"/>
        </w:tabs>
        <w:spacing w:after="0" w:line="240" w:lineRule="auto"/>
        <w:rPr>
          <w:rFonts w:ascii="Verdana" w:hAnsi="Verdana"/>
          <w:color w:val="000000" w:themeColor="text1"/>
          <w:sz w:val="20"/>
          <w:szCs w:val="20"/>
        </w:rPr>
      </w:pPr>
      <w:r>
        <w:rPr>
          <w:rFonts w:ascii="Verdana" w:hAnsi="Verdana"/>
          <w:color w:val="000000" w:themeColor="text1"/>
          <w:sz w:val="20"/>
          <w:szCs w:val="20"/>
        </w:rPr>
        <w:t>Por unanimidad</w:t>
      </w:r>
      <w:r w:rsidRPr="00747C15">
        <w:rPr>
          <w:rFonts w:ascii="Verdana" w:hAnsi="Verdana"/>
          <w:color w:val="000000" w:themeColor="text1"/>
          <w:sz w:val="20"/>
          <w:szCs w:val="20"/>
        </w:rPr>
        <w:t>, que</w:t>
      </w:r>
      <w:r w:rsidR="00487A82">
        <w:rPr>
          <w:rFonts w:ascii="Verdana" w:hAnsi="Verdana"/>
          <w:color w:val="000000" w:themeColor="text1"/>
          <w:sz w:val="20"/>
          <w:szCs w:val="20"/>
        </w:rPr>
        <w:t>:</w:t>
      </w:r>
      <w:r w:rsidRPr="00747C15">
        <w:rPr>
          <w:rFonts w:ascii="Verdana" w:hAnsi="Verdana"/>
          <w:color w:val="000000" w:themeColor="text1"/>
          <w:sz w:val="20"/>
          <w:szCs w:val="20"/>
        </w:rPr>
        <w:t xml:space="preserve"> </w:t>
      </w:r>
    </w:p>
    <w:p w14:paraId="169E4383" w14:textId="77777777" w:rsidR="00F46A92" w:rsidRPr="00747C15" w:rsidRDefault="00F46A92" w:rsidP="00F46A92">
      <w:pPr>
        <w:tabs>
          <w:tab w:val="left" w:pos="3045"/>
        </w:tabs>
        <w:spacing w:after="0" w:line="240" w:lineRule="auto"/>
        <w:rPr>
          <w:rFonts w:ascii="Verdana" w:hAnsi="Verdana"/>
          <w:color w:val="000000" w:themeColor="text1"/>
          <w:sz w:val="20"/>
          <w:szCs w:val="20"/>
        </w:rPr>
      </w:pPr>
    </w:p>
    <w:p w14:paraId="5090B86E" w14:textId="527BBC94" w:rsidR="00F46A92" w:rsidRDefault="00F46A92" w:rsidP="00F46A92">
      <w:pPr>
        <w:pStyle w:val="Default"/>
        <w:numPr>
          <w:ilvl w:val="0"/>
          <w:numId w:val="13"/>
        </w:numPr>
        <w:ind w:left="0" w:firstLine="0"/>
        <w:jc w:val="both"/>
        <w:rPr>
          <w:color w:val="000000" w:themeColor="text1"/>
          <w:sz w:val="20"/>
          <w:szCs w:val="20"/>
        </w:rPr>
      </w:pPr>
      <w:r>
        <w:rPr>
          <w:color w:val="000000" w:themeColor="text1"/>
          <w:sz w:val="20"/>
          <w:szCs w:val="20"/>
        </w:rPr>
        <w:t xml:space="preserve">El Estado es responsable por la violación al derecho a las garantías judiciales, establecido en el artículo 8.1 de la Convención Americana sobre Derechos Humanos, en relación con el artículo 1.1 del mismo tratado, en perjuicio de las 132 comunidades indígenas señaladas en el Anexo V de la presente Sentencia, en los términos de los párrafos </w:t>
      </w:r>
      <w:r w:rsidR="004D1ADB">
        <w:rPr>
          <w:color w:val="000000" w:themeColor="text1"/>
          <w:sz w:val="20"/>
          <w:szCs w:val="20"/>
        </w:rPr>
        <w:t>294, 295, 300 a 302 y 305</w:t>
      </w:r>
      <w:r>
        <w:rPr>
          <w:color w:val="000000" w:themeColor="text1"/>
          <w:sz w:val="20"/>
          <w:szCs w:val="20"/>
        </w:rPr>
        <w:t xml:space="preserve">. </w:t>
      </w:r>
    </w:p>
    <w:p w14:paraId="5B002482" w14:textId="77777777" w:rsidR="00F46A92" w:rsidRDefault="00F46A92" w:rsidP="00F46A92">
      <w:pPr>
        <w:pStyle w:val="Default"/>
        <w:jc w:val="both"/>
        <w:rPr>
          <w:sz w:val="20"/>
          <w:szCs w:val="20"/>
        </w:rPr>
      </w:pPr>
    </w:p>
    <w:p w14:paraId="2F85732F" w14:textId="77777777" w:rsidR="00F46A92" w:rsidRDefault="00F46A92" w:rsidP="00F46A92">
      <w:pPr>
        <w:pStyle w:val="Default"/>
        <w:jc w:val="both"/>
        <w:rPr>
          <w:sz w:val="20"/>
          <w:szCs w:val="20"/>
        </w:rPr>
      </w:pPr>
    </w:p>
    <w:p w14:paraId="2DA09164" w14:textId="3069CC1F" w:rsidR="00F46A92" w:rsidRDefault="00F46A92" w:rsidP="00F46A92">
      <w:pPr>
        <w:pStyle w:val="Default"/>
        <w:jc w:val="both"/>
        <w:rPr>
          <w:sz w:val="20"/>
          <w:szCs w:val="20"/>
        </w:rPr>
      </w:pPr>
      <w:r>
        <w:rPr>
          <w:sz w:val="20"/>
          <w:szCs w:val="20"/>
        </w:rPr>
        <w:t>Por unanimidad, que</w:t>
      </w:r>
      <w:r w:rsidR="00487A82">
        <w:rPr>
          <w:sz w:val="20"/>
          <w:szCs w:val="20"/>
        </w:rPr>
        <w:t>:</w:t>
      </w:r>
      <w:r>
        <w:rPr>
          <w:sz w:val="20"/>
          <w:szCs w:val="20"/>
        </w:rPr>
        <w:t xml:space="preserve"> </w:t>
      </w:r>
    </w:p>
    <w:p w14:paraId="03F66F77" w14:textId="77777777" w:rsidR="00F46A92" w:rsidRDefault="00F46A92" w:rsidP="00F46A92">
      <w:pPr>
        <w:pStyle w:val="Default"/>
        <w:jc w:val="both"/>
        <w:rPr>
          <w:color w:val="000000" w:themeColor="text1"/>
          <w:sz w:val="20"/>
          <w:szCs w:val="20"/>
        </w:rPr>
      </w:pPr>
    </w:p>
    <w:p w14:paraId="201EDC4F" w14:textId="45ED6FB8" w:rsidR="00F46A92" w:rsidRPr="002D5CBC" w:rsidRDefault="00F46A92" w:rsidP="00F46A92">
      <w:pPr>
        <w:pStyle w:val="Default"/>
        <w:numPr>
          <w:ilvl w:val="0"/>
          <w:numId w:val="13"/>
        </w:numPr>
        <w:ind w:left="0" w:firstLine="0"/>
        <w:jc w:val="both"/>
        <w:rPr>
          <w:color w:val="000000" w:themeColor="text1"/>
          <w:sz w:val="20"/>
          <w:szCs w:val="20"/>
        </w:rPr>
      </w:pPr>
      <w:r w:rsidRPr="002D5CBC">
        <w:rPr>
          <w:color w:val="000000" w:themeColor="text1"/>
          <w:sz w:val="20"/>
          <w:szCs w:val="20"/>
        </w:rPr>
        <w:t xml:space="preserve">El Estado </w:t>
      </w:r>
      <w:r>
        <w:rPr>
          <w:color w:val="000000" w:themeColor="text1"/>
          <w:sz w:val="20"/>
          <w:szCs w:val="20"/>
        </w:rPr>
        <w:t xml:space="preserve">no es </w:t>
      </w:r>
      <w:r w:rsidRPr="002D5CBC">
        <w:rPr>
          <w:color w:val="000000" w:themeColor="text1"/>
          <w:sz w:val="20"/>
          <w:szCs w:val="20"/>
        </w:rPr>
        <w:t>responsable por la violación a</w:t>
      </w:r>
      <w:r>
        <w:rPr>
          <w:color w:val="000000" w:themeColor="text1"/>
          <w:sz w:val="20"/>
          <w:szCs w:val="20"/>
        </w:rPr>
        <w:t>l derecho al reconocimiento de la personalidad jurídica ni de</w:t>
      </w:r>
      <w:r w:rsidRPr="002D5CBC">
        <w:rPr>
          <w:color w:val="000000" w:themeColor="text1"/>
          <w:sz w:val="20"/>
          <w:szCs w:val="20"/>
        </w:rPr>
        <w:t xml:space="preserve"> las libertades </w:t>
      </w:r>
      <w:r>
        <w:rPr>
          <w:color w:val="000000" w:themeColor="text1"/>
          <w:sz w:val="20"/>
          <w:szCs w:val="20"/>
        </w:rPr>
        <w:t xml:space="preserve">de pensamiento y de expresión, de asociación y </w:t>
      </w:r>
      <w:r w:rsidRPr="002D5CBC">
        <w:rPr>
          <w:color w:val="000000" w:themeColor="text1"/>
          <w:sz w:val="20"/>
          <w:szCs w:val="20"/>
        </w:rPr>
        <w:t>de circulac</w:t>
      </w:r>
      <w:r>
        <w:rPr>
          <w:color w:val="000000" w:themeColor="text1"/>
          <w:sz w:val="20"/>
          <w:szCs w:val="20"/>
        </w:rPr>
        <w:t>ión y de residencia, conforme establecen</w:t>
      </w:r>
      <w:r w:rsidRPr="002D5CBC">
        <w:rPr>
          <w:color w:val="000000" w:themeColor="text1"/>
          <w:sz w:val="20"/>
          <w:szCs w:val="20"/>
        </w:rPr>
        <w:t xml:space="preserve"> los artículos </w:t>
      </w:r>
      <w:r>
        <w:rPr>
          <w:color w:val="000000" w:themeColor="text1"/>
          <w:sz w:val="20"/>
          <w:szCs w:val="20"/>
        </w:rPr>
        <w:t xml:space="preserve">3, </w:t>
      </w:r>
      <w:r w:rsidRPr="002D5CBC">
        <w:rPr>
          <w:color w:val="000000" w:themeColor="text1"/>
          <w:sz w:val="20"/>
          <w:szCs w:val="20"/>
        </w:rPr>
        <w:t>13</w:t>
      </w:r>
      <w:r>
        <w:rPr>
          <w:color w:val="000000" w:themeColor="text1"/>
          <w:sz w:val="20"/>
          <w:szCs w:val="20"/>
        </w:rPr>
        <w:t>, 16</w:t>
      </w:r>
      <w:r w:rsidRPr="002D5CBC">
        <w:rPr>
          <w:color w:val="000000" w:themeColor="text1"/>
          <w:sz w:val="20"/>
          <w:szCs w:val="20"/>
        </w:rPr>
        <w:t xml:space="preserve"> y 22.1 de la Convención Americana sobre Derechos Humanos, en los términos de los párrafos </w:t>
      </w:r>
      <w:r w:rsidR="004B788B">
        <w:rPr>
          <w:color w:val="000000" w:themeColor="text1"/>
          <w:sz w:val="20"/>
          <w:szCs w:val="20"/>
        </w:rPr>
        <w:t>153 a 157, 185 y</w:t>
      </w:r>
      <w:r w:rsidR="004D1ADB">
        <w:rPr>
          <w:color w:val="000000" w:themeColor="text1"/>
          <w:sz w:val="20"/>
          <w:szCs w:val="20"/>
        </w:rPr>
        <w:t xml:space="preserve"> 194</w:t>
      </w:r>
      <w:r w:rsidRPr="002D5CBC">
        <w:rPr>
          <w:color w:val="000000" w:themeColor="text1"/>
          <w:sz w:val="20"/>
          <w:szCs w:val="20"/>
        </w:rPr>
        <w:t xml:space="preserve"> de la presente Sentencia.</w:t>
      </w:r>
    </w:p>
    <w:p w14:paraId="5AF67F64" w14:textId="77777777" w:rsidR="00F46A92" w:rsidRDefault="00F46A92" w:rsidP="00F46A92">
      <w:pPr>
        <w:pStyle w:val="Prrafodelista"/>
        <w:spacing w:after="0" w:line="240" w:lineRule="auto"/>
        <w:jc w:val="both"/>
        <w:rPr>
          <w:rFonts w:ascii="Verdana" w:hAnsi="Verdana"/>
          <w:color w:val="000000" w:themeColor="text1"/>
          <w:sz w:val="20"/>
          <w:szCs w:val="20"/>
          <w:lang w:val="es-CR"/>
        </w:rPr>
      </w:pPr>
    </w:p>
    <w:p w14:paraId="3D81FE1D" w14:textId="77777777" w:rsidR="00F46A92" w:rsidRPr="00CA5670" w:rsidRDefault="00F46A92" w:rsidP="00F46A92">
      <w:pPr>
        <w:pStyle w:val="Prrafodelista"/>
        <w:spacing w:after="0" w:line="240" w:lineRule="auto"/>
        <w:jc w:val="both"/>
        <w:rPr>
          <w:rFonts w:ascii="Verdana" w:hAnsi="Verdana"/>
          <w:color w:val="000000" w:themeColor="text1"/>
          <w:sz w:val="20"/>
          <w:szCs w:val="20"/>
          <w:lang w:val="es-CR"/>
        </w:rPr>
      </w:pPr>
    </w:p>
    <w:p w14:paraId="3EFE6FC2" w14:textId="77777777" w:rsidR="00F46A92" w:rsidRPr="00B26CD7" w:rsidRDefault="00F46A92" w:rsidP="00F46A92">
      <w:pPr>
        <w:pStyle w:val="Default"/>
        <w:jc w:val="both"/>
        <w:rPr>
          <w:b/>
          <w:bCs/>
          <w:sz w:val="20"/>
          <w:szCs w:val="20"/>
        </w:rPr>
      </w:pPr>
      <w:r w:rsidRPr="00B26CD7">
        <w:rPr>
          <w:b/>
          <w:bCs/>
          <w:sz w:val="20"/>
          <w:szCs w:val="20"/>
        </w:rPr>
        <w:t xml:space="preserve">Y DISPONE, </w:t>
      </w:r>
    </w:p>
    <w:p w14:paraId="42123B6B" w14:textId="77777777" w:rsidR="00F46A92" w:rsidRDefault="00F46A92" w:rsidP="00F46A92">
      <w:pPr>
        <w:pStyle w:val="Default"/>
        <w:jc w:val="both"/>
        <w:rPr>
          <w:sz w:val="20"/>
          <w:szCs w:val="20"/>
        </w:rPr>
      </w:pPr>
    </w:p>
    <w:p w14:paraId="507E5ED2" w14:textId="77777777" w:rsidR="00F46A92" w:rsidRPr="00B26CD7" w:rsidRDefault="00F46A92" w:rsidP="00F46A92">
      <w:pPr>
        <w:pStyle w:val="Default"/>
        <w:jc w:val="both"/>
        <w:rPr>
          <w:sz w:val="20"/>
          <w:szCs w:val="20"/>
        </w:rPr>
      </w:pPr>
    </w:p>
    <w:p w14:paraId="1B088E29" w14:textId="77777777" w:rsidR="00F46A92" w:rsidRPr="00B26CD7" w:rsidRDefault="00F46A92" w:rsidP="00F46A92">
      <w:pPr>
        <w:pStyle w:val="Default"/>
        <w:jc w:val="both"/>
        <w:rPr>
          <w:sz w:val="20"/>
          <w:szCs w:val="20"/>
        </w:rPr>
      </w:pPr>
      <w:r w:rsidRPr="00B26CD7">
        <w:rPr>
          <w:sz w:val="20"/>
          <w:szCs w:val="20"/>
        </w:rPr>
        <w:t xml:space="preserve">Por </w:t>
      </w:r>
      <w:r>
        <w:rPr>
          <w:sz w:val="20"/>
          <w:szCs w:val="20"/>
        </w:rPr>
        <w:t>unanimidad</w:t>
      </w:r>
      <w:r w:rsidRPr="00B26CD7">
        <w:rPr>
          <w:sz w:val="20"/>
          <w:szCs w:val="20"/>
        </w:rPr>
        <w:t xml:space="preserve">, que: </w:t>
      </w:r>
    </w:p>
    <w:p w14:paraId="324275A4" w14:textId="77777777" w:rsidR="00F46A92" w:rsidRPr="00B26CD7" w:rsidRDefault="00F46A92" w:rsidP="00F46A92">
      <w:pPr>
        <w:pStyle w:val="Default"/>
        <w:jc w:val="both"/>
        <w:rPr>
          <w:sz w:val="20"/>
          <w:szCs w:val="20"/>
        </w:rPr>
      </w:pPr>
    </w:p>
    <w:p w14:paraId="3AA7D7A4" w14:textId="760DF0F4" w:rsidR="00F46A92" w:rsidRPr="00B26CD7" w:rsidRDefault="00F46A92" w:rsidP="00F46A92">
      <w:pPr>
        <w:pStyle w:val="Default"/>
        <w:numPr>
          <w:ilvl w:val="0"/>
          <w:numId w:val="13"/>
        </w:numPr>
        <w:ind w:left="0" w:firstLine="0"/>
        <w:jc w:val="both"/>
        <w:rPr>
          <w:sz w:val="20"/>
          <w:szCs w:val="20"/>
        </w:rPr>
      </w:pPr>
      <w:r w:rsidRPr="00B26CD7">
        <w:rPr>
          <w:sz w:val="20"/>
          <w:szCs w:val="20"/>
        </w:rPr>
        <w:t>Esta Sentencia constituye por sí misma una forma de reparación</w:t>
      </w:r>
      <w:r w:rsidR="000E5A72">
        <w:rPr>
          <w:sz w:val="20"/>
          <w:szCs w:val="20"/>
        </w:rPr>
        <w:t>.</w:t>
      </w:r>
      <w:r w:rsidRPr="00B26CD7">
        <w:rPr>
          <w:sz w:val="20"/>
          <w:szCs w:val="20"/>
        </w:rPr>
        <w:t xml:space="preserve"> </w:t>
      </w:r>
    </w:p>
    <w:p w14:paraId="540877DB" w14:textId="77777777" w:rsidR="00F46A92" w:rsidRDefault="00F46A92" w:rsidP="00F46A92">
      <w:pPr>
        <w:pStyle w:val="Default"/>
        <w:jc w:val="both"/>
        <w:rPr>
          <w:color w:val="000000" w:themeColor="text1"/>
          <w:sz w:val="20"/>
          <w:szCs w:val="20"/>
        </w:rPr>
      </w:pPr>
    </w:p>
    <w:p w14:paraId="63EAFF1F" w14:textId="77777777" w:rsidR="00F46A92" w:rsidRPr="00B26CD7" w:rsidRDefault="00F46A92" w:rsidP="00F46A92">
      <w:pPr>
        <w:pStyle w:val="Default"/>
        <w:jc w:val="both"/>
        <w:rPr>
          <w:color w:val="000000" w:themeColor="text1"/>
          <w:sz w:val="20"/>
          <w:szCs w:val="20"/>
        </w:rPr>
      </w:pPr>
    </w:p>
    <w:p w14:paraId="494A3E0C" w14:textId="65C8A0B8" w:rsidR="00F46A92" w:rsidRPr="00B26CD7" w:rsidRDefault="00F46A92" w:rsidP="00F46A92">
      <w:pPr>
        <w:pStyle w:val="Prrafodelista"/>
        <w:spacing w:after="0" w:line="240" w:lineRule="auto"/>
        <w:ind w:left="0"/>
        <w:jc w:val="both"/>
        <w:rPr>
          <w:rFonts w:ascii="Verdana" w:hAnsi="Verdana"/>
          <w:sz w:val="20"/>
          <w:szCs w:val="20"/>
        </w:rPr>
      </w:pPr>
      <w:r w:rsidRPr="00B26CD7">
        <w:rPr>
          <w:rFonts w:ascii="Verdana" w:hAnsi="Verdana"/>
          <w:sz w:val="20"/>
          <w:szCs w:val="20"/>
        </w:rPr>
        <w:t xml:space="preserve">Por </w:t>
      </w:r>
      <w:r>
        <w:rPr>
          <w:rFonts w:ascii="Verdana" w:hAnsi="Verdana"/>
          <w:sz w:val="20"/>
          <w:szCs w:val="20"/>
        </w:rPr>
        <w:t>unanimidad</w:t>
      </w:r>
      <w:r w:rsidRPr="00B26CD7">
        <w:rPr>
          <w:rFonts w:ascii="Verdana" w:hAnsi="Verdana"/>
          <w:sz w:val="20"/>
          <w:szCs w:val="20"/>
        </w:rPr>
        <w:t>, que</w:t>
      </w:r>
      <w:r w:rsidR="00487A82">
        <w:rPr>
          <w:rFonts w:ascii="Verdana" w:hAnsi="Verdana"/>
          <w:sz w:val="20"/>
          <w:szCs w:val="20"/>
        </w:rPr>
        <w:t>:</w:t>
      </w:r>
    </w:p>
    <w:p w14:paraId="403B40E1" w14:textId="77777777" w:rsidR="00F46A92" w:rsidRPr="00B26CD7" w:rsidRDefault="00F46A92" w:rsidP="00F46A92">
      <w:pPr>
        <w:pStyle w:val="Default"/>
        <w:jc w:val="both"/>
        <w:rPr>
          <w:color w:val="000000" w:themeColor="text1"/>
          <w:sz w:val="20"/>
          <w:szCs w:val="20"/>
        </w:rPr>
      </w:pPr>
    </w:p>
    <w:p w14:paraId="3C34CE81" w14:textId="77777777" w:rsidR="00F46A92" w:rsidRPr="00B26CD7" w:rsidRDefault="00F46A92" w:rsidP="00F46A92">
      <w:pPr>
        <w:pStyle w:val="Default"/>
        <w:numPr>
          <w:ilvl w:val="0"/>
          <w:numId w:val="13"/>
        </w:numPr>
        <w:ind w:left="0" w:firstLine="0"/>
        <w:jc w:val="both"/>
        <w:rPr>
          <w:color w:val="000000" w:themeColor="text1"/>
          <w:sz w:val="20"/>
          <w:szCs w:val="20"/>
        </w:rPr>
      </w:pPr>
      <w:r w:rsidRPr="00B26CD7">
        <w:rPr>
          <w:sz w:val="20"/>
          <w:szCs w:val="20"/>
        </w:rPr>
        <w:t xml:space="preserve">El Estado, en un plazo de </w:t>
      </w:r>
      <w:r>
        <w:rPr>
          <w:sz w:val="20"/>
          <w:szCs w:val="20"/>
        </w:rPr>
        <w:t>seis</w:t>
      </w:r>
      <w:r w:rsidRPr="00B26CD7">
        <w:rPr>
          <w:sz w:val="20"/>
          <w:szCs w:val="20"/>
        </w:rPr>
        <w:t xml:space="preserve"> años desde la notificación de la presente Sentencia, adoptar</w:t>
      </w:r>
      <w:r>
        <w:rPr>
          <w:sz w:val="20"/>
          <w:szCs w:val="20"/>
        </w:rPr>
        <w:t>á</w:t>
      </w:r>
      <w:r w:rsidRPr="00B26CD7">
        <w:rPr>
          <w:sz w:val="20"/>
          <w:szCs w:val="20"/>
        </w:rPr>
        <w:t xml:space="preserve"> y concluir</w:t>
      </w:r>
      <w:r>
        <w:rPr>
          <w:sz w:val="20"/>
          <w:szCs w:val="20"/>
        </w:rPr>
        <w:t>á</w:t>
      </w:r>
      <w:r w:rsidRPr="00B26CD7">
        <w:rPr>
          <w:sz w:val="20"/>
          <w:szCs w:val="20"/>
        </w:rPr>
        <w:t xml:space="preserve"> las acciones necesarias a fin de delimitar, demarcar y otorgar un título que reconozca la propiedad de las 132 comunidades indígenas víctimas del presente caso, señaladas en el Anexo V de la presente Sentencia, sobre su territorio, en los términos de los párrafos </w:t>
      </w:r>
      <w:r>
        <w:rPr>
          <w:sz w:val="20"/>
          <w:szCs w:val="20"/>
        </w:rPr>
        <w:t>325, 327</w:t>
      </w:r>
      <w:r w:rsidRPr="00B26CD7">
        <w:rPr>
          <w:sz w:val="20"/>
          <w:szCs w:val="20"/>
        </w:rPr>
        <w:t xml:space="preserve"> </w:t>
      </w:r>
      <w:r>
        <w:rPr>
          <w:sz w:val="20"/>
          <w:szCs w:val="20"/>
        </w:rPr>
        <w:t xml:space="preserve">y 343 </w:t>
      </w:r>
      <w:r w:rsidRPr="00B26CD7">
        <w:rPr>
          <w:sz w:val="20"/>
          <w:szCs w:val="20"/>
        </w:rPr>
        <w:t xml:space="preserve">de la presente Sentencia. </w:t>
      </w:r>
    </w:p>
    <w:p w14:paraId="50E311BD" w14:textId="77777777" w:rsidR="00F46A92" w:rsidRDefault="00F46A92" w:rsidP="00F46A92">
      <w:pPr>
        <w:pStyle w:val="Default"/>
        <w:jc w:val="both"/>
        <w:rPr>
          <w:color w:val="000000" w:themeColor="text1"/>
          <w:sz w:val="20"/>
          <w:szCs w:val="20"/>
        </w:rPr>
      </w:pPr>
    </w:p>
    <w:p w14:paraId="322C6890" w14:textId="77777777" w:rsidR="00F46A92" w:rsidRPr="00B26CD7" w:rsidRDefault="00F46A92" w:rsidP="00F46A92">
      <w:pPr>
        <w:pStyle w:val="Default"/>
        <w:jc w:val="both"/>
        <w:rPr>
          <w:color w:val="000000" w:themeColor="text1"/>
          <w:sz w:val="20"/>
          <w:szCs w:val="20"/>
        </w:rPr>
      </w:pPr>
    </w:p>
    <w:p w14:paraId="6CB41B2D" w14:textId="5CCA9C6B" w:rsidR="00F46A92" w:rsidRPr="00B26CD7" w:rsidRDefault="00F46A92" w:rsidP="00F46A92">
      <w:pPr>
        <w:pStyle w:val="Prrafodelista"/>
        <w:spacing w:after="0" w:line="240" w:lineRule="auto"/>
        <w:ind w:left="0"/>
        <w:jc w:val="both"/>
        <w:rPr>
          <w:rFonts w:ascii="Verdana" w:hAnsi="Verdana"/>
          <w:sz w:val="20"/>
          <w:szCs w:val="20"/>
        </w:rPr>
      </w:pPr>
      <w:r w:rsidRPr="00B26CD7">
        <w:rPr>
          <w:rFonts w:ascii="Verdana" w:hAnsi="Verdana"/>
          <w:sz w:val="20"/>
          <w:szCs w:val="20"/>
        </w:rPr>
        <w:t xml:space="preserve">Por </w:t>
      </w:r>
      <w:r>
        <w:rPr>
          <w:rFonts w:ascii="Verdana" w:hAnsi="Verdana"/>
          <w:sz w:val="20"/>
          <w:szCs w:val="20"/>
        </w:rPr>
        <w:t>unanimidad</w:t>
      </w:r>
      <w:r w:rsidRPr="00B26CD7">
        <w:rPr>
          <w:rFonts w:ascii="Verdana" w:hAnsi="Verdana"/>
          <w:sz w:val="20"/>
          <w:szCs w:val="20"/>
        </w:rPr>
        <w:t>, que</w:t>
      </w:r>
      <w:r w:rsidR="00487A82">
        <w:rPr>
          <w:rFonts w:ascii="Verdana" w:hAnsi="Verdana"/>
          <w:sz w:val="20"/>
          <w:szCs w:val="20"/>
        </w:rPr>
        <w:t>:</w:t>
      </w:r>
    </w:p>
    <w:p w14:paraId="54837665" w14:textId="77777777" w:rsidR="00F46A92" w:rsidRPr="00B26CD7" w:rsidRDefault="00F46A92" w:rsidP="00F46A92">
      <w:pPr>
        <w:pStyle w:val="Default"/>
        <w:jc w:val="both"/>
        <w:rPr>
          <w:color w:val="000000" w:themeColor="text1"/>
          <w:sz w:val="20"/>
          <w:szCs w:val="20"/>
        </w:rPr>
      </w:pPr>
    </w:p>
    <w:p w14:paraId="5261F401" w14:textId="50CC9E22" w:rsidR="00F46A92" w:rsidRPr="00197851" w:rsidRDefault="00F46A92" w:rsidP="00F46A92">
      <w:pPr>
        <w:pStyle w:val="Default"/>
        <w:numPr>
          <w:ilvl w:val="0"/>
          <w:numId w:val="13"/>
        </w:numPr>
        <w:ind w:left="0" w:firstLine="0"/>
        <w:jc w:val="both"/>
        <w:rPr>
          <w:sz w:val="20"/>
          <w:szCs w:val="20"/>
        </w:rPr>
      </w:pPr>
      <w:r w:rsidRPr="00197851">
        <w:rPr>
          <w:sz w:val="20"/>
          <w:szCs w:val="20"/>
        </w:rPr>
        <w:t>El Estado se abstendrá de realizar actos, obras o emprendimientos sobre el territorio indígena o que puedan afectar su existencia, valor, uso o goce</w:t>
      </w:r>
      <w:r w:rsidRPr="00747C15">
        <w:rPr>
          <w:sz w:val="20"/>
          <w:szCs w:val="20"/>
        </w:rPr>
        <w:t>, sin la previa provisión de información a las comunidades indígenas víctimas</w:t>
      </w:r>
      <w:r w:rsidR="00487A82">
        <w:rPr>
          <w:sz w:val="20"/>
          <w:szCs w:val="20"/>
        </w:rPr>
        <w:t>,</w:t>
      </w:r>
      <w:r w:rsidRPr="00747C15">
        <w:rPr>
          <w:sz w:val="20"/>
          <w:szCs w:val="20"/>
        </w:rPr>
        <w:t xml:space="preserve"> así como de la realización de consultas previas adecuadas, libres e informadas, de acuerdo a </w:t>
      </w:r>
      <w:r w:rsidR="00487A82">
        <w:rPr>
          <w:sz w:val="20"/>
          <w:szCs w:val="20"/>
        </w:rPr>
        <w:t xml:space="preserve">las </w:t>
      </w:r>
      <w:r w:rsidRPr="00747C15">
        <w:rPr>
          <w:sz w:val="20"/>
          <w:szCs w:val="20"/>
        </w:rPr>
        <w:t>pautas señaladas en la presente Sentencia</w:t>
      </w:r>
      <w:r w:rsidRPr="00B23751">
        <w:rPr>
          <w:sz w:val="20"/>
          <w:szCs w:val="20"/>
        </w:rPr>
        <w:t>,</w:t>
      </w:r>
      <w:r w:rsidRPr="00197851">
        <w:rPr>
          <w:sz w:val="20"/>
          <w:szCs w:val="20"/>
        </w:rPr>
        <w:t xml:space="preserve"> en los términos </w:t>
      </w:r>
      <w:r w:rsidR="00487A82">
        <w:rPr>
          <w:sz w:val="20"/>
          <w:szCs w:val="20"/>
        </w:rPr>
        <w:t>indicados</w:t>
      </w:r>
      <w:r w:rsidRPr="00197851">
        <w:rPr>
          <w:sz w:val="20"/>
          <w:szCs w:val="20"/>
        </w:rPr>
        <w:t xml:space="preserve"> en l</w:t>
      </w:r>
      <w:r>
        <w:rPr>
          <w:sz w:val="20"/>
          <w:szCs w:val="20"/>
        </w:rPr>
        <w:t>os</w:t>
      </w:r>
      <w:r w:rsidRPr="00197851">
        <w:rPr>
          <w:sz w:val="20"/>
          <w:szCs w:val="20"/>
        </w:rPr>
        <w:t xml:space="preserve"> párrafo</w:t>
      </w:r>
      <w:r>
        <w:rPr>
          <w:sz w:val="20"/>
          <w:szCs w:val="20"/>
        </w:rPr>
        <w:t>s</w:t>
      </w:r>
      <w:r w:rsidRPr="00197851">
        <w:rPr>
          <w:sz w:val="20"/>
          <w:szCs w:val="20"/>
        </w:rPr>
        <w:t xml:space="preserve"> </w:t>
      </w:r>
      <w:r>
        <w:rPr>
          <w:sz w:val="20"/>
          <w:szCs w:val="20"/>
        </w:rPr>
        <w:t xml:space="preserve">328 y </w:t>
      </w:r>
      <w:r w:rsidRPr="00B40863">
        <w:rPr>
          <w:sz w:val="20"/>
          <w:szCs w:val="20"/>
        </w:rPr>
        <w:t>343 de</w:t>
      </w:r>
      <w:r w:rsidRPr="00197851">
        <w:rPr>
          <w:sz w:val="20"/>
          <w:szCs w:val="20"/>
        </w:rPr>
        <w:t xml:space="preserve"> la presente Sentencia.</w:t>
      </w:r>
    </w:p>
    <w:p w14:paraId="12DAB91C" w14:textId="77777777" w:rsidR="00F46A92" w:rsidRPr="00B26CD7" w:rsidRDefault="00F46A92" w:rsidP="00F46A92">
      <w:pPr>
        <w:pStyle w:val="Default"/>
        <w:jc w:val="both"/>
        <w:rPr>
          <w:color w:val="000000" w:themeColor="text1"/>
          <w:sz w:val="20"/>
          <w:szCs w:val="20"/>
        </w:rPr>
      </w:pPr>
    </w:p>
    <w:p w14:paraId="6BFC2C7A" w14:textId="77777777" w:rsidR="00F46A92" w:rsidRPr="002A7AA1" w:rsidRDefault="00F46A92" w:rsidP="00F46A92">
      <w:pPr>
        <w:spacing w:after="0" w:line="240" w:lineRule="auto"/>
        <w:rPr>
          <w:rFonts w:ascii="Verdana" w:hAnsi="Verdana"/>
          <w:color w:val="000000" w:themeColor="text1"/>
          <w:sz w:val="20"/>
          <w:szCs w:val="20"/>
          <w:lang w:val="es-CR"/>
        </w:rPr>
      </w:pPr>
    </w:p>
    <w:p w14:paraId="44434532" w14:textId="63DF8C16" w:rsidR="00F46A92" w:rsidRPr="00B26CD7" w:rsidRDefault="00F46A92" w:rsidP="00F46A92">
      <w:pPr>
        <w:pStyle w:val="Prrafodelista"/>
        <w:spacing w:after="0" w:line="240" w:lineRule="auto"/>
        <w:ind w:left="0"/>
        <w:jc w:val="both"/>
        <w:rPr>
          <w:rFonts w:ascii="Verdana" w:hAnsi="Verdana"/>
          <w:sz w:val="20"/>
          <w:szCs w:val="20"/>
        </w:rPr>
      </w:pPr>
      <w:r w:rsidRPr="00B26CD7">
        <w:rPr>
          <w:rFonts w:ascii="Verdana" w:hAnsi="Verdana"/>
          <w:sz w:val="20"/>
          <w:szCs w:val="20"/>
        </w:rPr>
        <w:t xml:space="preserve">Por </w:t>
      </w:r>
      <w:r>
        <w:rPr>
          <w:rFonts w:ascii="Verdana" w:hAnsi="Verdana"/>
          <w:sz w:val="20"/>
          <w:szCs w:val="20"/>
        </w:rPr>
        <w:t>unanimidad</w:t>
      </w:r>
      <w:r w:rsidRPr="00B26CD7">
        <w:rPr>
          <w:rFonts w:ascii="Verdana" w:hAnsi="Verdana"/>
          <w:sz w:val="20"/>
          <w:szCs w:val="20"/>
        </w:rPr>
        <w:t>, que</w:t>
      </w:r>
      <w:r w:rsidR="00487A82">
        <w:rPr>
          <w:rFonts w:ascii="Verdana" w:hAnsi="Verdana"/>
          <w:sz w:val="20"/>
          <w:szCs w:val="20"/>
        </w:rPr>
        <w:t>:</w:t>
      </w:r>
    </w:p>
    <w:p w14:paraId="63C27930" w14:textId="77777777" w:rsidR="00F46A92" w:rsidRPr="00B26CD7" w:rsidRDefault="00F46A92" w:rsidP="00F46A92">
      <w:pPr>
        <w:pStyle w:val="Prrafodelista"/>
        <w:spacing w:after="0" w:line="240" w:lineRule="auto"/>
        <w:jc w:val="both"/>
        <w:rPr>
          <w:rFonts w:ascii="Verdana" w:hAnsi="Verdana"/>
          <w:color w:val="000000" w:themeColor="text1"/>
          <w:sz w:val="20"/>
          <w:szCs w:val="20"/>
        </w:rPr>
      </w:pPr>
    </w:p>
    <w:p w14:paraId="36B0011A" w14:textId="77777777" w:rsidR="00F46A92" w:rsidRPr="00B26CD7" w:rsidRDefault="00F46A92" w:rsidP="00F46A92">
      <w:pPr>
        <w:pStyle w:val="Default"/>
        <w:numPr>
          <w:ilvl w:val="0"/>
          <w:numId w:val="13"/>
        </w:numPr>
        <w:ind w:left="0" w:firstLine="0"/>
        <w:jc w:val="both"/>
        <w:rPr>
          <w:color w:val="000000" w:themeColor="text1"/>
          <w:sz w:val="20"/>
          <w:szCs w:val="20"/>
        </w:rPr>
      </w:pPr>
      <w:r w:rsidRPr="00B26CD7">
        <w:rPr>
          <w:color w:val="000000" w:themeColor="text1"/>
          <w:sz w:val="20"/>
          <w:szCs w:val="20"/>
          <w:lang w:val="es-ES"/>
        </w:rPr>
        <w:t>El Estado</w:t>
      </w:r>
      <w:r w:rsidRPr="00B26CD7">
        <w:rPr>
          <w:sz w:val="20"/>
          <w:szCs w:val="20"/>
        </w:rPr>
        <w:t xml:space="preserve">, en un plazo de </w:t>
      </w:r>
      <w:r>
        <w:rPr>
          <w:sz w:val="20"/>
          <w:szCs w:val="20"/>
        </w:rPr>
        <w:t>seis</w:t>
      </w:r>
      <w:r w:rsidRPr="00B26CD7">
        <w:rPr>
          <w:sz w:val="20"/>
          <w:szCs w:val="20"/>
        </w:rPr>
        <w:t xml:space="preserve"> años contado desde la notificación de la presente Sentencia, concretar</w:t>
      </w:r>
      <w:r>
        <w:rPr>
          <w:sz w:val="20"/>
          <w:szCs w:val="20"/>
        </w:rPr>
        <w:t>á</w:t>
      </w:r>
      <w:r w:rsidRPr="00B26CD7">
        <w:rPr>
          <w:sz w:val="20"/>
          <w:szCs w:val="20"/>
        </w:rPr>
        <w:t xml:space="preserve"> el traslado de la población criolla fuera del territorio indígena, en los térmi</w:t>
      </w:r>
      <w:r>
        <w:rPr>
          <w:sz w:val="20"/>
          <w:szCs w:val="20"/>
        </w:rPr>
        <w:t xml:space="preserve">nos señalados en los párrafos 325, 329 y 343 </w:t>
      </w:r>
      <w:r w:rsidRPr="00B26CD7">
        <w:rPr>
          <w:sz w:val="20"/>
          <w:szCs w:val="20"/>
        </w:rPr>
        <w:t xml:space="preserve">de la presente Sentencia. </w:t>
      </w:r>
    </w:p>
    <w:p w14:paraId="1927140B" w14:textId="77777777" w:rsidR="00F46A92" w:rsidRDefault="00F46A92" w:rsidP="00F46A92">
      <w:pPr>
        <w:spacing w:after="0" w:line="240" w:lineRule="auto"/>
        <w:jc w:val="both"/>
        <w:rPr>
          <w:rFonts w:ascii="Verdana" w:hAnsi="Verdana"/>
          <w:color w:val="000000" w:themeColor="text1"/>
          <w:sz w:val="20"/>
          <w:szCs w:val="20"/>
          <w:lang w:val="es-CR"/>
        </w:rPr>
      </w:pPr>
    </w:p>
    <w:p w14:paraId="0B38BC6C" w14:textId="77777777" w:rsidR="00F46A92" w:rsidRDefault="00F46A92" w:rsidP="00F46A92">
      <w:pPr>
        <w:spacing w:after="0" w:line="240" w:lineRule="auto"/>
        <w:jc w:val="both"/>
        <w:rPr>
          <w:rFonts w:ascii="Verdana" w:hAnsi="Verdana"/>
          <w:color w:val="000000" w:themeColor="text1"/>
          <w:sz w:val="20"/>
          <w:szCs w:val="20"/>
          <w:lang w:val="es-CR"/>
        </w:rPr>
      </w:pPr>
    </w:p>
    <w:p w14:paraId="631945CE" w14:textId="77777777" w:rsidR="00FE1010" w:rsidRDefault="00FE1010" w:rsidP="00F46A92">
      <w:pPr>
        <w:spacing w:after="0" w:line="240" w:lineRule="auto"/>
        <w:jc w:val="both"/>
        <w:rPr>
          <w:rFonts w:ascii="Verdana" w:hAnsi="Verdana"/>
          <w:color w:val="000000" w:themeColor="text1"/>
          <w:sz w:val="20"/>
          <w:szCs w:val="20"/>
          <w:lang w:val="es-CR"/>
        </w:rPr>
      </w:pPr>
    </w:p>
    <w:p w14:paraId="1AA12738" w14:textId="120E1252" w:rsidR="00F46A92" w:rsidRDefault="00F46A92" w:rsidP="00F46A92">
      <w:pPr>
        <w:spacing w:after="0" w:line="240" w:lineRule="auto"/>
        <w:jc w:val="both"/>
        <w:rPr>
          <w:rFonts w:ascii="Verdana" w:hAnsi="Verdana"/>
          <w:color w:val="000000" w:themeColor="text1"/>
          <w:sz w:val="20"/>
          <w:szCs w:val="20"/>
          <w:lang w:val="es-CR"/>
        </w:rPr>
      </w:pPr>
      <w:r>
        <w:rPr>
          <w:rFonts w:ascii="Verdana" w:hAnsi="Verdana"/>
          <w:color w:val="000000" w:themeColor="text1"/>
          <w:sz w:val="20"/>
          <w:szCs w:val="20"/>
          <w:lang w:val="es-CR"/>
        </w:rPr>
        <w:t>Por unanimidad, que</w:t>
      </w:r>
      <w:r w:rsidR="00487A82">
        <w:rPr>
          <w:rFonts w:ascii="Verdana" w:hAnsi="Verdana"/>
          <w:color w:val="000000" w:themeColor="text1"/>
          <w:sz w:val="20"/>
          <w:szCs w:val="20"/>
          <w:lang w:val="es-CR"/>
        </w:rPr>
        <w:t>:</w:t>
      </w:r>
      <w:r>
        <w:rPr>
          <w:rFonts w:ascii="Verdana" w:hAnsi="Verdana"/>
          <w:color w:val="000000" w:themeColor="text1"/>
          <w:sz w:val="20"/>
          <w:szCs w:val="20"/>
          <w:lang w:val="es-CR"/>
        </w:rPr>
        <w:t xml:space="preserve"> </w:t>
      </w:r>
    </w:p>
    <w:p w14:paraId="336A5AB9" w14:textId="77777777" w:rsidR="00F46A92" w:rsidRPr="002503D3" w:rsidRDefault="00F46A92" w:rsidP="00F46A92">
      <w:pPr>
        <w:spacing w:after="0" w:line="240" w:lineRule="auto"/>
        <w:jc w:val="both"/>
        <w:rPr>
          <w:rFonts w:ascii="Verdana" w:hAnsi="Verdana"/>
          <w:color w:val="000000" w:themeColor="text1"/>
          <w:sz w:val="20"/>
          <w:szCs w:val="20"/>
          <w:lang w:val="es-CR"/>
        </w:rPr>
      </w:pPr>
    </w:p>
    <w:p w14:paraId="12273AB6" w14:textId="54DB6C6C" w:rsidR="00F46A92" w:rsidRPr="006F3817" w:rsidRDefault="00F46A92" w:rsidP="00F46A92">
      <w:pPr>
        <w:pStyle w:val="Default"/>
        <w:numPr>
          <w:ilvl w:val="0"/>
          <w:numId w:val="13"/>
        </w:numPr>
        <w:ind w:left="0" w:firstLine="0"/>
        <w:jc w:val="both"/>
        <w:rPr>
          <w:color w:val="000000" w:themeColor="text1"/>
          <w:sz w:val="20"/>
          <w:szCs w:val="20"/>
        </w:rPr>
      </w:pPr>
      <w:r w:rsidRPr="00B26CD7">
        <w:rPr>
          <w:sz w:val="20"/>
          <w:szCs w:val="20"/>
        </w:rPr>
        <w:t xml:space="preserve">El Estado, en un plazo de </w:t>
      </w:r>
      <w:r>
        <w:rPr>
          <w:sz w:val="20"/>
          <w:szCs w:val="20"/>
        </w:rPr>
        <w:t xml:space="preserve">seis </w:t>
      </w:r>
      <w:r w:rsidRPr="00B26CD7">
        <w:rPr>
          <w:sz w:val="20"/>
          <w:szCs w:val="20"/>
        </w:rPr>
        <w:t>años contado desde la notificación de la presente Sentencia, remover</w:t>
      </w:r>
      <w:r>
        <w:rPr>
          <w:sz w:val="20"/>
          <w:szCs w:val="20"/>
        </w:rPr>
        <w:t>á</w:t>
      </w:r>
      <w:r w:rsidRPr="00B26CD7">
        <w:rPr>
          <w:sz w:val="20"/>
          <w:szCs w:val="20"/>
        </w:rPr>
        <w:t xml:space="preserve"> del territorio indígena los alambrados y el ganado perteneciente a pobladores criollos, en los términos señalados en </w:t>
      </w:r>
      <w:r>
        <w:rPr>
          <w:sz w:val="20"/>
          <w:szCs w:val="20"/>
        </w:rPr>
        <w:t xml:space="preserve">los párrafos 325, 330 y 343 </w:t>
      </w:r>
      <w:r w:rsidRPr="00B26CD7">
        <w:rPr>
          <w:sz w:val="20"/>
          <w:szCs w:val="20"/>
        </w:rPr>
        <w:t>de la presente Sentencia</w:t>
      </w:r>
      <w:r w:rsidRPr="006F3817">
        <w:rPr>
          <w:sz w:val="20"/>
          <w:szCs w:val="20"/>
        </w:rPr>
        <w:t xml:space="preserve">. </w:t>
      </w:r>
    </w:p>
    <w:p w14:paraId="060400E2" w14:textId="77777777" w:rsidR="00F46A92" w:rsidRDefault="00F46A92" w:rsidP="00F46A92">
      <w:pPr>
        <w:spacing w:after="0" w:line="240" w:lineRule="auto"/>
        <w:jc w:val="both"/>
        <w:rPr>
          <w:rFonts w:ascii="Verdana" w:hAnsi="Verdana"/>
          <w:color w:val="000000" w:themeColor="text1"/>
          <w:sz w:val="20"/>
          <w:szCs w:val="20"/>
        </w:rPr>
      </w:pPr>
    </w:p>
    <w:p w14:paraId="62A28A62" w14:textId="77777777" w:rsidR="00F46A92" w:rsidRPr="006F3817" w:rsidRDefault="00F46A92" w:rsidP="00F46A92">
      <w:pPr>
        <w:spacing w:after="0" w:line="240" w:lineRule="auto"/>
        <w:jc w:val="both"/>
        <w:rPr>
          <w:rFonts w:ascii="Verdana" w:hAnsi="Verdana"/>
          <w:color w:val="000000" w:themeColor="text1"/>
          <w:sz w:val="20"/>
          <w:szCs w:val="20"/>
        </w:rPr>
      </w:pPr>
    </w:p>
    <w:p w14:paraId="10A3B8DB" w14:textId="40E17D99" w:rsidR="00F46A92" w:rsidRDefault="00F46A92" w:rsidP="00F46A92">
      <w:pPr>
        <w:spacing w:after="0" w:line="240" w:lineRule="auto"/>
        <w:jc w:val="both"/>
        <w:rPr>
          <w:rFonts w:ascii="Verdana" w:hAnsi="Verdana"/>
          <w:color w:val="000000" w:themeColor="text1"/>
          <w:sz w:val="20"/>
          <w:szCs w:val="20"/>
        </w:rPr>
      </w:pPr>
      <w:r>
        <w:rPr>
          <w:rFonts w:ascii="Verdana" w:hAnsi="Verdana"/>
          <w:color w:val="000000" w:themeColor="text1"/>
          <w:sz w:val="20"/>
          <w:szCs w:val="20"/>
        </w:rPr>
        <w:t>Por cinco votos contra uno, que</w:t>
      </w:r>
      <w:r w:rsidR="00487A82">
        <w:rPr>
          <w:rFonts w:ascii="Verdana" w:hAnsi="Verdana"/>
          <w:color w:val="000000" w:themeColor="text1"/>
          <w:sz w:val="20"/>
          <w:szCs w:val="20"/>
        </w:rPr>
        <w:t>:</w:t>
      </w:r>
    </w:p>
    <w:p w14:paraId="73F76892" w14:textId="77777777" w:rsidR="00F46A92" w:rsidRPr="00747C15" w:rsidRDefault="00F46A92" w:rsidP="00F46A92">
      <w:pPr>
        <w:spacing w:after="0" w:line="240" w:lineRule="auto"/>
        <w:jc w:val="both"/>
        <w:rPr>
          <w:rFonts w:ascii="Verdana" w:hAnsi="Verdana"/>
          <w:color w:val="000000" w:themeColor="text1"/>
          <w:sz w:val="20"/>
          <w:szCs w:val="20"/>
        </w:rPr>
      </w:pPr>
    </w:p>
    <w:p w14:paraId="7573A006" w14:textId="77777777" w:rsidR="00F46A92" w:rsidRPr="00747C15" w:rsidRDefault="00F46A92" w:rsidP="00F46A92">
      <w:pPr>
        <w:pStyle w:val="Default"/>
        <w:numPr>
          <w:ilvl w:val="0"/>
          <w:numId w:val="13"/>
        </w:numPr>
        <w:ind w:left="0" w:firstLine="0"/>
        <w:jc w:val="both"/>
        <w:rPr>
          <w:color w:val="000000" w:themeColor="text1"/>
          <w:sz w:val="20"/>
          <w:szCs w:val="20"/>
        </w:rPr>
      </w:pPr>
      <w:r w:rsidRPr="00747C15">
        <w:rPr>
          <w:color w:val="000000" w:themeColor="text1"/>
          <w:sz w:val="20"/>
          <w:szCs w:val="20"/>
        </w:rPr>
        <w:t>El Estado</w:t>
      </w:r>
      <w:r w:rsidRPr="00747C15">
        <w:rPr>
          <w:sz w:val="20"/>
          <w:szCs w:val="20"/>
        </w:rPr>
        <w:t>, en el plazo máximo de seis meses contado a partir de la notificación de la presente Sentencia, presentará a la Corte un estudio en que identifique situaciones críticas de falta de acceso a agua potable o alimentación y formulará e implementará un plan de acción, en los términos señalados en l</w:t>
      </w:r>
      <w:r>
        <w:rPr>
          <w:sz w:val="20"/>
          <w:szCs w:val="20"/>
        </w:rPr>
        <w:t>os</w:t>
      </w:r>
      <w:r w:rsidRPr="00747C15">
        <w:rPr>
          <w:sz w:val="20"/>
          <w:szCs w:val="20"/>
        </w:rPr>
        <w:t xml:space="preserve"> párrafo</w:t>
      </w:r>
      <w:r>
        <w:rPr>
          <w:sz w:val="20"/>
          <w:szCs w:val="20"/>
        </w:rPr>
        <w:t>s</w:t>
      </w:r>
      <w:r w:rsidRPr="00747C15">
        <w:rPr>
          <w:sz w:val="20"/>
          <w:szCs w:val="20"/>
        </w:rPr>
        <w:t xml:space="preserve"> </w:t>
      </w:r>
      <w:r>
        <w:rPr>
          <w:sz w:val="20"/>
          <w:szCs w:val="20"/>
        </w:rPr>
        <w:t>332</w:t>
      </w:r>
      <w:r w:rsidRPr="00747C15">
        <w:rPr>
          <w:sz w:val="20"/>
          <w:szCs w:val="20"/>
        </w:rPr>
        <w:t xml:space="preserve"> </w:t>
      </w:r>
      <w:r>
        <w:rPr>
          <w:sz w:val="20"/>
          <w:szCs w:val="20"/>
        </w:rPr>
        <w:t xml:space="preserve">y 343 </w:t>
      </w:r>
      <w:r w:rsidRPr="00747C15">
        <w:rPr>
          <w:sz w:val="20"/>
          <w:szCs w:val="20"/>
        </w:rPr>
        <w:t>de la presente Sentencia.</w:t>
      </w:r>
    </w:p>
    <w:p w14:paraId="6FCEF11A" w14:textId="77777777" w:rsidR="00F46A92" w:rsidRDefault="00F46A92" w:rsidP="00F46A92">
      <w:pPr>
        <w:pStyle w:val="Default"/>
        <w:jc w:val="both"/>
        <w:rPr>
          <w:color w:val="000000" w:themeColor="text1"/>
          <w:sz w:val="20"/>
          <w:szCs w:val="20"/>
        </w:rPr>
      </w:pPr>
    </w:p>
    <w:p w14:paraId="71045413" w14:textId="77777777" w:rsidR="00F46A92" w:rsidRDefault="00F46A92" w:rsidP="00F46A92">
      <w:pPr>
        <w:pStyle w:val="Default"/>
        <w:jc w:val="both"/>
        <w:rPr>
          <w:color w:val="000000" w:themeColor="text1"/>
          <w:sz w:val="20"/>
          <w:szCs w:val="20"/>
        </w:rPr>
      </w:pPr>
      <w:r>
        <w:rPr>
          <w:color w:val="000000" w:themeColor="text1"/>
          <w:sz w:val="20"/>
          <w:szCs w:val="20"/>
        </w:rPr>
        <w:t>Disiente el Juez Eduardo Vio Grossi.</w:t>
      </w:r>
    </w:p>
    <w:p w14:paraId="4E1A50D1" w14:textId="77777777" w:rsidR="00F46A92" w:rsidRDefault="00F46A92" w:rsidP="00F46A92">
      <w:pPr>
        <w:pStyle w:val="Default"/>
        <w:jc w:val="both"/>
        <w:rPr>
          <w:color w:val="000000" w:themeColor="text1"/>
          <w:sz w:val="20"/>
          <w:szCs w:val="20"/>
        </w:rPr>
      </w:pPr>
    </w:p>
    <w:p w14:paraId="629B3BC3" w14:textId="77777777" w:rsidR="00F46A92" w:rsidRPr="00747C15" w:rsidRDefault="00F46A92" w:rsidP="00F46A92">
      <w:pPr>
        <w:pStyle w:val="Default"/>
        <w:jc w:val="both"/>
        <w:rPr>
          <w:color w:val="000000" w:themeColor="text1"/>
          <w:sz w:val="20"/>
          <w:szCs w:val="20"/>
        </w:rPr>
      </w:pPr>
    </w:p>
    <w:p w14:paraId="78509FDF" w14:textId="259C3E0F" w:rsidR="00F46A92" w:rsidRPr="00747C15" w:rsidRDefault="00F46A92" w:rsidP="00F46A92">
      <w:pPr>
        <w:pStyle w:val="Default"/>
        <w:jc w:val="both"/>
        <w:rPr>
          <w:color w:val="000000" w:themeColor="text1"/>
          <w:sz w:val="20"/>
          <w:szCs w:val="20"/>
        </w:rPr>
      </w:pPr>
      <w:r>
        <w:rPr>
          <w:color w:val="000000" w:themeColor="text1"/>
          <w:sz w:val="20"/>
          <w:szCs w:val="20"/>
        </w:rPr>
        <w:t>Por cinco votos contra uno, que</w:t>
      </w:r>
      <w:r w:rsidR="00487A82">
        <w:rPr>
          <w:color w:val="000000" w:themeColor="text1"/>
          <w:sz w:val="20"/>
          <w:szCs w:val="20"/>
        </w:rPr>
        <w:t>:</w:t>
      </w:r>
      <w:r>
        <w:rPr>
          <w:color w:val="000000" w:themeColor="text1"/>
          <w:sz w:val="20"/>
          <w:szCs w:val="20"/>
        </w:rPr>
        <w:t xml:space="preserve"> </w:t>
      </w:r>
    </w:p>
    <w:p w14:paraId="48122DC4" w14:textId="77777777" w:rsidR="00F46A92" w:rsidRPr="00747C15" w:rsidRDefault="00F46A92" w:rsidP="00F46A92">
      <w:pPr>
        <w:pStyle w:val="Default"/>
        <w:jc w:val="both"/>
        <w:rPr>
          <w:color w:val="000000" w:themeColor="text1"/>
          <w:sz w:val="20"/>
          <w:szCs w:val="20"/>
        </w:rPr>
      </w:pPr>
    </w:p>
    <w:p w14:paraId="7C728680" w14:textId="6FFE5493" w:rsidR="00F46A92" w:rsidRPr="00747C15" w:rsidRDefault="00F46A92" w:rsidP="00F46A92">
      <w:pPr>
        <w:pStyle w:val="Default"/>
        <w:numPr>
          <w:ilvl w:val="0"/>
          <w:numId w:val="13"/>
        </w:numPr>
        <w:ind w:left="0" w:firstLine="0"/>
        <w:jc w:val="both"/>
        <w:rPr>
          <w:color w:val="000000" w:themeColor="text1"/>
          <w:sz w:val="20"/>
          <w:szCs w:val="20"/>
        </w:rPr>
      </w:pPr>
      <w:r w:rsidRPr="00747C15">
        <w:rPr>
          <w:color w:val="000000" w:themeColor="text1"/>
          <w:sz w:val="20"/>
          <w:szCs w:val="20"/>
        </w:rPr>
        <w:t>El Estado, en un plazo de un año contado a partir de la notificación de la presente Sentencia, elaborará un estudio en el que establezca acciones que deben instrumentarse para la conservación de aguas y para evitar y remediar su contaminación; garantizar el acceso permanente a agua potable; evitar que continué la pérdida o disminución de recursos forestales y procurar su recuperación, y posibilitar el acceso a alimentación nutricional y culturalmente adecuada, en los términos de</w:t>
      </w:r>
      <w:r>
        <w:rPr>
          <w:color w:val="000000" w:themeColor="text1"/>
          <w:sz w:val="20"/>
          <w:szCs w:val="20"/>
        </w:rPr>
        <w:t xml:space="preserve"> </w:t>
      </w:r>
      <w:r w:rsidRPr="00747C15">
        <w:rPr>
          <w:color w:val="000000" w:themeColor="text1"/>
          <w:sz w:val="20"/>
          <w:szCs w:val="20"/>
        </w:rPr>
        <w:t>l</w:t>
      </w:r>
      <w:r>
        <w:rPr>
          <w:color w:val="000000" w:themeColor="text1"/>
          <w:sz w:val="20"/>
          <w:szCs w:val="20"/>
        </w:rPr>
        <w:t>os</w:t>
      </w:r>
      <w:r w:rsidRPr="00747C15">
        <w:rPr>
          <w:color w:val="000000" w:themeColor="text1"/>
          <w:sz w:val="20"/>
          <w:szCs w:val="20"/>
        </w:rPr>
        <w:t xml:space="preserve"> párrafo</w:t>
      </w:r>
      <w:r>
        <w:rPr>
          <w:color w:val="000000" w:themeColor="text1"/>
          <w:sz w:val="20"/>
          <w:szCs w:val="20"/>
        </w:rPr>
        <w:t>s</w:t>
      </w:r>
      <w:r w:rsidRPr="00747C15">
        <w:rPr>
          <w:color w:val="000000" w:themeColor="text1"/>
          <w:sz w:val="20"/>
          <w:szCs w:val="20"/>
        </w:rPr>
        <w:t xml:space="preserve"> </w:t>
      </w:r>
      <w:r>
        <w:rPr>
          <w:color w:val="000000" w:themeColor="text1"/>
          <w:sz w:val="20"/>
          <w:szCs w:val="20"/>
        </w:rPr>
        <w:t>333</w:t>
      </w:r>
      <w:r w:rsidRPr="00747C15">
        <w:rPr>
          <w:color w:val="000000" w:themeColor="text1"/>
          <w:sz w:val="20"/>
          <w:szCs w:val="20"/>
        </w:rPr>
        <w:t xml:space="preserve"> </w:t>
      </w:r>
      <w:r>
        <w:rPr>
          <w:color w:val="000000" w:themeColor="text1"/>
          <w:sz w:val="20"/>
          <w:szCs w:val="20"/>
        </w:rPr>
        <w:t xml:space="preserve">a 335 y 343 </w:t>
      </w:r>
      <w:r w:rsidRPr="00747C15">
        <w:rPr>
          <w:color w:val="000000" w:themeColor="text1"/>
          <w:sz w:val="20"/>
          <w:szCs w:val="20"/>
        </w:rPr>
        <w:t>de la presente Sentencia.</w:t>
      </w:r>
    </w:p>
    <w:p w14:paraId="509ED595" w14:textId="77777777" w:rsidR="00F46A92" w:rsidRDefault="00F46A92" w:rsidP="00F46A92">
      <w:pPr>
        <w:pStyle w:val="Default"/>
        <w:jc w:val="both"/>
        <w:rPr>
          <w:color w:val="000000" w:themeColor="text1"/>
          <w:sz w:val="20"/>
          <w:szCs w:val="20"/>
        </w:rPr>
      </w:pPr>
    </w:p>
    <w:p w14:paraId="7874A358" w14:textId="77777777" w:rsidR="00F46A92" w:rsidRDefault="00F46A92" w:rsidP="00F46A92">
      <w:pPr>
        <w:pStyle w:val="Default"/>
        <w:jc w:val="both"/>
        <w:rPr>
          <w:color w:val="000000" w:themeColor="text1"/>
          <w:sz w:val="20"/>
          <w:szCs w:val="20"/>
        </w:rPr>
      </w:pPr>
      <w:r>
        <w:rPr>
          <w:color w:val="000000" w:themeColor="text1"/>
          <w:sz w:val="20"/>
          <w:szCs w:val="20"/>
        </w:rPr>
        <w:t>Disiente el Juez Eduardo Vio Grossi.</w:t>
      </w:r>
    </w:p>
    <w:p w14:paraId="2DAB6E97" w14:textId="77777777" w:rsidR="00F46A92" w:rsidRDefault="00F46A92" w:rsidP="00F46A92">
      <w:pPr>
        <w:pStyle w:val="Default"/>
        <w:jc w:val="both"/>
        <w:rPr>
          <w:color w:val="000000" w:themeColor="text1"/>
          <w:sz w:val="20"/>
          <w:szCs w:val="20"/>
        </w:rPr>
      </w:pPr>
    </w:p>
    <w:p w14:paraId="24BE6801" w14:textId="77777777" w:rsidR="00F46A92" w:rsidRDefault="00F46A92" w:rsidP="00F46A92">
      <w:pPr>
        <w:pStyle w:val="Default"/>
        <w:jc w:val="both"/>
        <w:rPr>
          <w:color w:val="000000" w:themeColor="text1"/>
          <w:sz w:val="20"/>
          <w:szCs w:val="20"/>
        </w:rPr>
      </w:pPr>
    </w:p>
    <w:p w14:paraId="37A8BD57" w14:textId="7605995E" w:rsidR="00F46A92" w:rsidRPr="00C60D0E" w:rsidRDefault="00F46A92" w:rsidP="00F46A92">
      <w:pPr>
        <w:pStyle w:val="Default"/>
        <w:jc w:val="both"/>
        <w:rPr>
          <w:color w:val="000000" w:themeColor="text1"/>
          <w:sz w:val="20"/>
          <w:szCs w:val="20"/>
        </w:rPr>
      </w:pPr>
      <w:r>
        <w:rPr>
          <w:color w:val="000000" w:themeColor="text1"/>
          <w:sz w:val="20"/>
          <w:szCs w:val="20"/>
        </w:rPr>
        <w:t>Por cinco votos contra uno, que</w:t>
      </w:r>
      <w:r w:rsidR="00487A82">
        <w:rPr>
          <w:color w:val="000000" w:themeColor="text1"/>
          <w:sz w:val="20"/>
          <w:szCs w:val="20"/>
        </w:rPr>
        <w:t>:</w:t>
      </w:r>
    </w:p>
    <w:p w14:paraId="5F747750" w14:textId="77777777" w:rsidR="00F46A92" w:rsidRDefault="00F46A92" w:rsidP="00F46A92">
      <w:pPr>
        <w:pStyle w:val="Default"/>
        <w:jc w:val="both"/>
        <w:rPr>
          <w:b/>
          <w:color w:val="000000" w:themeColor="text1"/>
          <w:sz w:val="20"/>
          <w:szCs w:val="20"/>
        </w:rPr>
      </w:pPr>
    </w:p>
    <w:p w14:paraId="1212278F" w14:textId="77777777" w:rsidR="00F46A92" w:rsidRPr="002503D3" w:rsidRDefault="00F46A92" w:rsidP="00F46A92">
      <w:pPr>
        <w:pStyle w:val="Default"/>
        <w:numPr>
          <w:ilvl w:val="0"/>
          <w:numId w:val="13"/>
        </w:numPr>
        <w:ind w:left="0" w:firstLine="0"/>
        <w:jc w:val="both"/>
        <w:rPr>
          <w:color w:val="000000" w:themeColor="text1"/>
          <w:sz w:val="20"/>
          <w:szCs w:val="20"/>
        </w:rPr>
      </w:pPr>
      <w:r w:rsidRPr="002503D3">
        <w:rPr>
          <w:sz w:val="20"/>
          <w:szCs w:val="20"/>
        </w:rPr>
        <w:t>El Estado creará un fondo de desarrollo comunitario</w:t>
      </w:r>
      <w:r>
        <w:rPr>
          <w:sz w:val="20"/>
          <w:szCs w:val="20"/>
        </w:rPr>
        <w:t xml:space="preserve"> e implementará su ejecución en un plazo no mayor a cuatro años a partir de la notificación de la presente Sentencia</w:t>
      </w:r>
      <w:r w:rsidRPr="002503D3">
        <w:rPr>
          <w:sz w:val="20"/>
          <w:szCs w:val="20"/>
        </w:rPr>
        <w:t>, en los términos señalados en l</w:t>
      </w:r>
      <w:r>
        <w:rPr>
          <w:sz w:val="20"/>
          <w:szCs w:val="20"/>
        </w:rPr>
        <w:t>os</w:t>
      </w:r>
      <w:r w:rsidRPr="002503D3">
        <w:rPr>
          <w:sz w:val="20"/>
          <w:szCs w:val="20"/>
        </w:rPr>
        <w:t xml:space="preserve"> párrafo</w:t>
      </w:r>
      <w:r>
        <w:rPr>
          <w:sz w:val="20"/>
          <w:szCs w:val="20"/>
        </w:rPr>
        <w:t>s 338 a 343</w:t>
      </w:r>
      <w:r w:rsidRPr="002503D3">
        <w:rPr>
          <w:sz w:val="20"/>
          <w:szCs w:val="20"/>
        </w:rPr>
        <w:t xml:space="preserve"> de la presente Sentencia.</w:t>
      </w:r>
    </w:p>
    <w:p w14:paraId="5D845737" w14:textId="77777777" w:rsidR="00F46A92" w:rsidRDefault="00F46A92" w:rsidP="00F46A92">
      <w:pPr>
        <w:spacing w:after="0" w:line="240" w:lineRule="auto"/>
        <w:rPr>
          <w:sz w:val="20"/>
          <w:szCs w:val="20"/>
        </w:rPr>
      </w:pPr>
    </w:p>
    <w:p w14:paraId="3912B0A6" w14:textId="77777777" w:rsidR="00F46A92" w:rsidRPr="002A7AA1" w:rsidRDefault="00F46A92" w:rsidP="00F46A92">
      <w:pPr>
        <w:spacing w:after="0" w:line="240" w:lineRule="auto"/>
        <w:rPr>
          <w:rFonts w:ascii="Verdana" w:hAnsi="Verdana"/>
          <w:sz w:val="20"/>
          <w:szCs w:val="20"/>
        </w:rPr>
      </w:pPr>
      <w:r w:rsidRPr="002A7AA1">
        <w:rPr>
          <w:rFonts w:ascii="Verdana" w:hAnsi="Verdana"/>
          <w:sz w:val="20"/>
          <w:szCs w:val="20"/>
        </w:rPr>
        <w:t>Disiente el Juez Eduardo Vio Grossi.</w:t>
      </w:r>
    </w:p>
    <w:p w14:paraId="1D0F97B7" w14:textId="77777777" w:rsidR="00F46A92" w:rsidRPr="002A7AA1" w:rsidRDefault="00F46A92" w:rsidP="00F46A92">
      <w:pPr>
        <w:spacing w:after="0" w:line="240" w:lineRule="auto"/>
        <w:rPr>
          <w:rFonts w:ascii="Verdana" w:hAnsi="Verdana"/>
          <w:sz w:val="20"/>
          <w:szCs w:val="20"/>
        </w:rPr>
      </w:pPr>
    </w:p>
    <w:p w14:paraId="7A3BFEED" w14:textId="77777777" w:rsidR="00F46A92" w:rsidRPr="006F3817" w:rsidRDefault="00F46A92" w:rsidP="00F46A92">
      <w:pPr>
        <w:spacing w:after="0" w:line="240" w:lineRule="auto"/>
        <w:rPr>
          <w:sz w:val="20"/>
          <w:szCs w:val="20"/>
        </w:rPr>
      </w:pPr>
    </w:p>
    <w:p w14:paraId="6AAFB3D2" w14:textId="4FD995C5" w:rsidR="00F46A92" w:rsidRDefault="00F46A92" w:rsidP="00F46A92">
      <w:pPr>
        <w:pStyle w:val="Prrafodelista"/>
        <w:spacing w:after="0" w:line="240" w:lineRule="auto"/>
        <w:ind w:left="0"/>
        <w:rPr>
          <w:rFonts w:ascii="Verdana" w:hAnsi="Verdana"/>
          <w:sz w:val="20"/>
          <w:szCs w:val="20"/>
        </w:rPr>
      </w:pPr>
      <w:r>
        <w:rPr>
          <w:rFonts w:ascii="Verdana" w:hAnsi="Verdana"/>
          <w:sz w:val="20"/>
          <w:szCs w:val="20"/>
        </w:rPr>
        <w:t>Por unanimidad</w:t>
      </w:r>
      <w:r w:rsidRPr="00950D20">
        <w:rPr>
          <w:rFonts w:ascii="Verdana" w:hAnsi="Verdana"/>
          <w:sz w:val="20"/>
          <w:szCs w:val="20"/>
        </w:rPr>
        <w:t>, que</w:t>
      </w:r>
      <w:r w:rsidR="00487A82">
        <w:rPr>
          <w:rFonts w:ascii="Verdana" w:hAnsi="Verdana"/>
          <w:sz w:val="20"/>
          <w:szCs w:val="20"/>
        </w:rPr>
        <w:t>:</w:t>
      </w:r>
      <w:r w:rsidRPr="00950D20">
        <w:rPr>
          <w:rFonts w:ascii="Verdana" w:hAnsi="Verdana"/>
          <w:sz w:val="20"/>
          <w:szCs w:val="20"/>
        </w:rPr>
        <w:t xml:space="preserve"> </w:t>
      </w:r>
    </w:p>
    <w:p w14:paraId="71926484" w14:textId="77777777" w:rsidR="00F46A92" w:rsidRPr="00B26CD7" w:rsidRDefault="00F46A92" w:rsidP="00F46A92">
      <w:pPr>
        <w:pStyle w:val="Prrafodelista"/>
        <w:spacing w:after="0" w:line="240" w:lineRule="auto"/>
        <w:jc w:val="both"/>
        <w:rPr>
          <w:rFonts w:ascii="Verdana" w:hAnsi="Verdana"/>
          <w:sz w:val="20"/>
          <w:szCs w:val="20"/>
        </w:rPr>
      </w:pPr>
    </w:p>
    <w:p w14:paraId="18270501" w14:textId="4113D331" w:rsidR="00F46A92" w:rsidRPr="002A7AA1" w:rsidRDefault="00F46A92" w:rsidP="00F46A92">
      <w:pPr>
        <w:pStyle w:val="Default"/>
        <w:numPr>
          <w:ilvl w:val="0"/>
          <w:numId w:val="13"/>
        </w:numPr>
        <w:ind w:left="0" w:firstLine="0"/>
        <w:jc w:val="both"/>
        <w:rPr>
          <w:color w:val="000000" w:themeColor="text1"/>
          <w:sz w:val="20"/>
          <w:szCs w:val="20"/>
        </w:rPr>
      </w:pPr>
      <w:r w:rsidRPr="00B26CD7">
        <w:rPr>
          <w:sz w:val="20"/>
          <w:szCs w:val="20"/>
        </w:rPr>
        <w:t>El Estado, en un plazo de seis meses a partir de la notificación de la presente Sentencia, realizar</w:t>
      </w:r>
      <w:r>
        <w:rPr>
          <w:sz w:val="20"/>
          <w:szCs w:val="20"/>
        </w:rPr>
        <w:t>á</w:t>
      </w:r>
      <w:r w:rsidRPr="00B26CD7">
        <w:rPr>
          <w:sz w:val="20"/>
          <w:szCs w:val="20"/>
        </w:rPr>
        <w:t xml:space="preserve"> las publicaciones y transmisiones radiales indicadas, en los términos señalados en los párrafos </w:t>
      </w:r>
      <w:r>
        <w:rPr>
          <w:sz w:val="20"/>
          <w:szCs w:val="20"/>
        </w:rPr>
        <w:t>348 y 349</w:t>
      </w:r>
      <w:r w:rsidRPr="00B26CD7">
        <w:rPr>
          <w:sz w:val="20"/>
          <w:szCs w:val="20"/>
        </w:rPr>
        <w:t xml:space="preserve"> de la presente Sentencia.</w:t>
      </w:r>
    </w:p>
    <w:p w14:paraId="2BF7C451" w14:textId="77777777" w:rsidR="00F46A92" w:rsidRDefault="00F46A92" w:rsidP="00F46A92">
      <w:pPr>
        <w:pStyle w:val="Prrafodelista"/>
        <w:spacing w:after="0" w:line="240" w:lineRule="auto"/>
        <w:jc w:val="both"/>
        <w:rPr>
          <w:rFonts w:ascii="Verdana" w:hAnsi="Verdana" w:cs="Verdana"/>
          <w:color w:val="000000" w:themeColor="text1"/>
          <w:sz w:val="20"/>
          <w:szCs w:val="20"/>
          <w:lang w:val="es-CR"/>
        </w:rPr>
      </w:pPr>
    </w:p>
    <w:p w14:paraId="5B331FCE" w14:textId="77777777" w:rsidR="00F46A92" w:rsidRDefault="00F46A92" w:rsidP="00F46A92">
      <w:pPr>
        <w:pStyle w:val="Prrafodelista"/>
        <w:spacing w:after="0" w:line="240" w:lineRule="auto"/>
        <w:jc w:val="both"/>
        <w:rPr>
          <w:rFonts w:ascii="Verdana" w:hAnsi="Verdana"/>
          <w:color w:val="000000" w:themeColor="text1"/>
          <w:sz w:val="20"/>
          <w:szCs w:val="20"/>
          <w:lang w:val="es-CR"/>
        </w:rPr>
      </w:pPr>
    </w:p>
    <w:p w14:paraId="5B97EB17" w14:textId="77777777" w:rsidR="00FE1010" w:rsidRDefault="00FE1010" w:rsidP="00F46A92">
      <w:pPr>
        <w:pStyle w:val="Prrafodelista"/>
        <w:spacing w:after="0" w:line="240" w:lineRule="auto"/>
        <w:jc w:val="both"/>
        <w:rPr>
          <w:rFonts w:ascii="Verdana" w:hAnsi="Verdana"/>
          <w:color w:val="000000" w:themeColor="text1"/>
          <w:sz w:val="20"/>
          <w:szCs w:val="20"/>
          <w:lang w:val="es-CR"/>
        </w:rPr>
      </w:pPr>
    </w:p>
    <w:p w14:paraId="6E22C9D6" w14:textId="77777777" w:rsidR="00FE1010" w:rsidRDefault="00FE1010" w:rsidP="00F46A92">
      <w:pPr>
        <w:pStyle w:val="Prrafodelista"/>
        <w:spacing w:after="0" w:line="240" w:lineRule="auto"/>
        <w:jc w:val="both"/>
        <w:rPr>
          <w:rFonts w:ascii="Verdana" w:hAnsi="Verdana"/>
          <w:color w:val="000000" w:themeColor="text1"/>
          <w:sz w:val="20"/>
          <w:szCs w:val="20"/>
          <w:lang w:val="es-CR"/>
        </w:rPr>
      </w:pPr>
    </w:p>
    <w:p w14:paraId="47A619F1" w14:textId="77777777" w:rsidR="00FE1010" w:rsidRDefault="00FE1010" w:rsidP="00F46A92">
      <w:pPr>
        <w:pStyle w:val="Prrafodelista"/>
        <w:spacing w:after="0" w:line="240" w:lineRule="auto"/>
        <w:jc w:val="both"/>
        <w:rPr>
          <w:rFonts w:ascii="Verdana" w:hAnsi="Verdana"/>
          <w:color w:val="000000" w:themeColor="text1"/>
          <w:sz w:val="20"/>
          <w:szCs w:val="20"/>
          <w:lang w:val="es-CR"/>
        </w:rPr>
      </w:pPr>
    </w:p>
    <w:p w14:paraId="4A3E0E7D" w14:textId="77777777" w:rsidR="00FE1010" w:rsidRDefault="00FE1010" w:rsidP="00F46A92">
      <w:pPr>
        <w:pStyle w:val="Prrafodelista"/>
        <w:spacing w:after="0" w:line="240" w:lineRule="auto"/>
        <w:jc w:val="both"/>
        <w:rPr>
          <w:rFonts w:ascii="Verdana" w:hAnsi="Verdana"/>
          <w:color w:val="000000" w:themeColor="text1"/>
          <w:sz w:val="20"/>
          <w:szCs w:val="20"/>
          <w:lang w:val="es-CR"/>
        </w:rPr>
      </w:pPr>
    </w:p>
    <w:p w14:paraId="49BEA661" w14:textId="77777777" w:rsidR="00FE1010" w:rsidRPr="00B26CD7" w:rsidRDefault="00FE1010" w:rsidP="00F46A92">
      <w:pPr>
        <w:pStyle w:val="Prrafodelista"/>
        <w:spacing w:after="0" w:line="240" w:lineRule="auto"/>
        <w:jc w:val="both"/>
        <w:rPr>
          <w:rFonts w:ascii="Verdana" w:hAnsi="Verdana"/>
          <w:color w:val="000000" w:themeColor="text1"/>
          <w:sz w:val="20"/>
          <w:szCs w:val="20"/>
          <w:lang w:val="es-CR"/>
        </w:rPr>
      </w:pPr>
    </w:p>
    <w:p w14:paraId="53580D82" w14:textId="695392B0" w:rsidR="00F46A92" w:rsidRDefault="00F46A92" w:rsidP="00F46A92">
      <w:pPr>
        <w:pStyle w:val="Prrafodelista"/>
        <w:spacing w:after="0" w:line="240" w:lineRule="auto"/>
        <w:ind w:left="0"/>
        <w:jc w:val="both"/>
        <w:rPr>
          <w:rFonts w:ascii="Verdana" w:hAnsi="Verdana"/>
          <w:sz w:val="20"/>
          <w:szCs w:val="20"/>
        </w:rPr>
      </w:pPr>
      <w:r>
        <w:rPr>
          <w:rFonts w:ascii="Verdana" w:hAnsi="Verdana"/>
          <w:sz w:val="20"/>
          <w:szCs w:val="20"/>
        </w:rPr>
        <w:t>Por cinco votos contra uno</w:t>
      </w:r>
      <w:r w:rsidRPr="00B26CD7">
        <w:rPr>
          <w:rFonts w:ascii="Verdana" w:hAnsi="Verdana"/>
          <w:sz w:val="20"/>
          <w:szCs w:val="20"/>
        </w:rPr>
        <w:t>, que</w:t>
      </w:r>
      <w:r w:rsidR="00487A82">
        <w:rPr>
          <w:rFonts w:ascii="Verdana" w:hAnsi="Verdana"/>
          <w:sz w:val="20"/>
          <w:szCs w:val="20"/>
        </w:rPr>
        <w:t>:</w:t>
      </w:r>
    </w:p>
    <w:p w14:paraId="740B0EBD" w14:textId="77777777" w:rsidR="00F46A92" w:rsidRDefault="00F46A92" w:rsidP="00F46A92">
      <w:pPr>
        <w:pStyle w:val="Default"/>
        <w:jc w:val="both"/>
        <w:rPr>
          <w:rFonts w:cs="Tahoma"/>
          <w:sz w:val="20"/>
          <w:szCs w:val="20"/>
        </w:rPr>
      </w:pPr>
    </w:p>
    <w:p w14:paraId="674152AE" w14:textId="77777777" w:rsidR="00F46A92" w:rsidRDefault="00F46A92" w:rsidP="00F46A92">
      <w:pPr>
        <w:pStyle w:val="Default"/>
        <w:numPr>
          <w:ilvl w:val="0"/>
          <w:numId w:val="13"/>
        </w:numPr>
        <w:ind w:left="0" w:firstLine="0"/>
        <w:jc w:val="both"/>
        <w:rPr>
          <w:rFonts w:cs="Tahoma"/>
          <w:sz w:val="20"/>
          <w:szCs w:val="20"/>
        </w:rPr>
      </w:pPr>
      <w:r w:rsidRPr="00B26CD7">
        <w:rPr>
          <w:rFonts w:cs="Tahoma"/>
          <w:sz w:val="20"/>
          <w:szCs w:val="20"/>
          <w:lang w:val="es-ES"/>
        </w:rPr>
        <w:t xml:space="preserve">El Estado, en un plazo razonable, </w:t>
      </w:r>
      <w:r w:rsidRPr="00B26CD7">
        <w:rPr>
          <w:rFonts w:cs="Tahoma"/>
          <w:sz w:val="20"/>
          <w:szCs w:val="20"/>
        </w:rPr>
        <w:t>adoptar</w:t>
      </w:r>
      <w:r>
        <w:rPr>
          <w:rFonts w:cs="Tahoma"/>
          <w:sz w:val="20"/>
          <w:szCs w:val="20"/>
        </w:rPr>
        <w:t>á</w:t>
      </w:r>
      <w:r w:rsidRPr="00B26CD7">
        <w:rPr>
          <w:rFonts w:cs="Tahoma"/>
          <w:sz w:val="20"/>
          <w:szCs w:val="20"/>
        </w:rPr>
        <w:t xml:space="preserve"> las medidas legislativas y/o de otro carácter que fueren necesarias para </w:t>
      </w:r>
      <w:r w:rsidRPr="00B26CD7">
        <w:rPr>
          <w:sz w:val="20"/>
          <w:szCs w:val="20"/>
        </w:rPr>
        <w:t>dotar de seguridad jurídica al derecho de propiedad comunitaria indígena</w:t>
      </w:r>
      <w:r>
        <w:rPr>
          <w:sz w:val="20"/>
          <w:szCs w:val="20"/>
        </w:rPr>
        <w:t>,</w:t>
      </w:r>
      <w:r>
        <w:rPr>
          <w:rFonts w:cs="Tahoma"/>
          <w:sz w:val="20"/>
          <w:szCs w:val="20"/>
        </w:rPr>
        <w:t xml:space="preserve"> en los términos señalados en los párrafos 354 a 357 de la presente Sentencia.</w:t>
      </w:r>
    </w:p>
    <w:p w14:paraId="500DDE50" w14:textId="77777777" w:rsidR="00F46A92" w:rsidRDefault="00F46A92" w:rsidP="00F46A92">
      <w:pPr>
        <w:pStyle w:val="Default"/>
        <w:jc w:val="both"/>
        <w:rPr>
          <w:rFonts w:cs="Tahoma"/>
          <w:sz w:val="20"/>
          <w:szCs w:val="20"/>
        </w:rPr>
      </w:pPr>
    </w:p>
    <w:p w14:paraId="3F167BA1" w14:textId="77777777" w:rsidR="00F46A92" w:rsidRDefault="00F46A92" w:rsidP="00F46A92">
      <w:pPr>
        <w:pStyle w:val="Default"/>
        <w:jc w:val="both"/>
        <w:rPr>
          <w:rFonts w:cs="Tahoma"/>
          <w:sz w:val="20"/>
          <w:szCs w:val="20"/>
        </w:rPr>
      </w:pPr>
      <w:r>
        <w:rPr>
          <w:rFonts w:cs="Tahoma"/>
          <w:sz w:val="20"/>
          <w:szCs w:val="20"/>
        </w:rPr>
        <w:t xml:space="preserve">Disiente el Juez Humberto Antonio Sierra Porto. </w:t>
      </w:r>
    </w:p>
    <w:p w14:paraId="5C919DC9" w14:textId="77777777" w:rsidR="00F46A92" w:rsidRDefault="00F46A92" w:rsidP="00F46A92">
      <w:pPr>
        <w:pStyle w:val="Prrafodelista"/>
        <w:spacing w:after="0" w:line="240" w:lineRule="auto"/>
        <w:jc w:val="both"/>
        <w:rPr>
          <w:rFonts w:ascii="Verdana" w:hAnsi="Verdana" w:cs="Tahoma"/>
          <w:color w:val="000000"/>
          <w:sz w:val="20"/>
          <w:szCs w:val="20"/>
          <w:lang w:val="es-CR"/>
        </w:rPr>
      </w:pPr>
    </w:p>
    <w:p w14:paraId="595F211A" w14:textId="77777777" w:rsidR="00F46A92" w:rsidRPr="00723B0B" w:rsidRDefault="00F46A92" w:rsidP="00F46A92">
      <w:pPr>
        <w:pStyle w:val="Prrafodelista"/>
        <w:spacing w:after="0" w:line="240" w:lineRule="auto"/>
        <w:jc w:val="both"/>
        <w:rPr>
          <w:rFonts w:ascii="Verdana" w:hAnsi="Verdana" w:cs="Tahoma"/>
          <w:sz w:val="20"/>
          <w:szCs w:val="20"/>
          <w:lang w:val="es-CR"/>
        </w:rPr>
      </w:pPr>
    </w:p>
    <w:p w14:paraId="3185D0AB" w14:textId="462F47E6" w:rsidR="00F46A92" w:rsidRPr="00B26CD7" w:rsidRDefault="00F46A92" w:rsidP="00F46A92">
      <w:pPr>
        <w:pStyle w:val="Prrafodelista"/>
        <w:spacing w:after="0" w:line="240" w:lineRule="auto"/>
        <w:ind w:left="0"/>
        <w:jc w:val="both"/>
        <w:rPr>
          <w:rFonts w:ascii="Verdana" w:hAnsi="Verdana"/>
          <w:sz w:val="20"/>
          <w:szCs w:val="20"/>
        </w:rPr>
      </w:pPr>
      <w:r>
        <w:rPr>
          <w:rFonts w:ascii="Verdana" w:hAnsi="Verdana"/>
          <w:sz w:val="20"/>
          <w:szCs w:val="20"/>
        </w:rPr>
        <w:t>Por unanimidad</w:t>
      </w:r>
      <w:r w:rsidRPr="00B26CD7">
        <w:rPr>
          <w:rFonts w:ascii="Verdana" w:hAnsi="Verdana"/>
          <w:sz w:val="20"/>
          <w:szCs w:val="20"/>
        </w:rPr>
        <w:t>, que</w:t>
      </w:r>
      <w:r w:rsidR="00487A82">
        <w:rPr>
          <w:rFonts w:ascii="Verdana" w:hAnsi="Verdana"/>
          <w:sz w:val="20"/>
          <w:szCs w:val="20"/>
        </w:rPr>
        <w:t>:</w:t>
      </w:r>
    </w:p>
    <w:p w14:paraId="75A2EB03" w14:textId="77777777" w:rsidR="00F46A92" w:rsidRPr="00B26CD7" w:rsidRDefault="00F46A92" w:rsidP="00F46A92">
      <w:pPr>
        <w:pStyle w:val="Prrafodelista"/>
        <w:spacing w:after="0" w:line="240" w:lineRule="auto"/>
        <w:jc w:val="both"/>
        <w:rPr>
          <w:rFonts w:ascii="Verdana" w:hAnsi="Verdana" w:cs="Tahoma"/>
          <w:sz w:val="20"/>
          <w:szCs w:val="20"/>
        </w:rPr>
      </w:pPr>
    </w:p>
    <w:p w14:paraId="061EC974" w14:textId="77777777" w:rsidR="00F46A92" w:rsidRPr="002A7AA1" w:rsidRDefault="00F46A92" w:rsidP="00F46A92">
      <w:pPr>
        <w:pStyle w:val="Default"/>
        <w:numPr>
          <w:ilvl w:val="0"/>
          <w:numId w:val="13"/>
        </w:numPr>
        <w:ind w:left="0" w:firstLine="0"/>
        <w:jc w:val="both"/>
        <w:rPr>
          <w:rFonts w:cs="Tahoma"/>
          <w:sz w:val="20"/>
          <w:szCs w:val="20"/>
        </w:rPr>
      </w:pPr>
      <w:r w:rsidRPr="00B26CD7">
        <w:rPr>
          <w:sz w:val="20"/>
          <w:szCs w:val="20"/>
        </w:rPr>
        <w:t>El Estado pagar</w:t>
      </w:r>
      <w:r>
        <w:rPr>
          <w:sz w:val="20"/>
          <w:szCs w:val="20"/>
        </w:rPr>
        <w:t>á</w:t>
      </w:r>
      <w:r w:rsidRPr="00B26CD7">
        <w:rPr>
          <w:sz w:val="20"/>
          <w:szCs w:val="20"/>
        </w:rPr>
        <w:t xml:space="preserve"> en el plazo de </w:t>
      </w:r>
      <w:r>
        <w:rPr>
          <w:sz w:val="20"/>
          <w:szCs w:val="20"/>
        </w:rPr>
        <w:t>seis meses</w:t>
      </w:r>
      <w:r w:rsidRPr="00B26CD7">
        <w:rPr>
          <w:sz w:val="20"/>
          <w:szCs w:val="20"/>
        </w:rPr>
        <w:t xml:space="preserve"> partir de la notificación de la presente Sentencia, la cantidad fijada en </w:t>
      </w:r>
      <w:r>
        <w:rPr>
          <w:sz w:val="20"/>
          <w:szCs w:val="20"/>
        </w:rPr>
        <w:t>su</w:t>
      </w:r>
      <w:r w:rsidRPr="00B26CD7">
        <w:rPr>
          <w:sz w:val="20"/>
          <w:szCs w:val="20"/>
        </w:rPr>
        <w:t xml:space="preserve"> párrafo </w:t>
      </w:r>
      <w:r>
        <w:rPr>
          <w:sz w:val="20"/>
          <w:szCs w:val="20"/>
        </w:rPr>
        <w:t>365</w:t>
      </w:r>
      <w:r w:rsidRPr="00B26CD7">
        <w:rPr>
          <w:sz w:val="20"/>
          <w:szCs w:val="20"/>
        </w:rPr>
        <w:t xml:space="preserve"> por concepto de reintegro de gastos y costas, en los términos de los párrafos </w:t>
      </w:r>
      <w:r>
        <w:rPr>
          <w:sz w:val="20"/>
          <w:szCs w:val="20"/>
        </w:rPr>
        <w:t>366 a 369</w:t>
      </w:r>
      <w:r w:rsidRPr="00B26CD7">
        <w:rPr>
          <w:sz w:val="20"/>
          <w:szCs w:val="20"/>
        </w:rPr>
        <w:t xml:space="preserve"> del presente Fallo.</w:t>
      </w:r>
    </w:p>
    <w:p w14:paraId="66232840" w14:textId="77777777" w:rsidR="00F46A92" w:rsidRDefault="00F46A92" w:rsidP="00F46A92">
      <w:pPr>
        <w:pStyle w:val="Prrafodelista"/>
        <w:spacing w:after="0" w:line="240" w:lineRule="auto"/>
        <w:jc w:val="both"/>
        <w:rPr>
          <w:rFonts w:ascii="Verdana" w:hAnsi="Verdana"/>
          <w:sz w:val="20"/>
          <w:szCs w:val="20"/>
          <w:lang w:val="es-CR"/>
        </w:rPr>
      </w:pPr>
    </w:p>
    <w:p w14:paraId="6DCC1988" w14:textId="77777777" w:rsidR="00F46A92" w:rsidRPr="00B26CD7" w:rsidRDefault="00F46A92" w:rsidP="00F46A92">
      <w:pPr>
        <w:pStyle w:val="Prrafodelista"/>
        <w:spacing w:after="0" w:line="240" w:lineRule="auto"/>
        <w:jc w:val="both"/>
        <w:rPr>
          <w:rFonts w:ascii="Verdana" w:hAnsi="Verdana"/>
          <w:sz w:val="20"/>
          <w:szCs w:val="20"/>
          <w:lang w:val="es-CR"/>
        </w:rPr>
      </w:pPr>
    </w:p>
    <w:p w14:paraId="49FC6107" w14:textId="1EE613DB" w:rsidR="00F46A92" w:rsidRPr="00B26CD7" w:rsidRDefault="00F46A92" w:rsidP="00F46A92">
      <w:pPr>
        <w:pStyle w:val="Prrafodelista"/>
        <w:spacing w:after="0" w:line="240" w:lineRule="auto"/>
        <w:ind w:left="0"/>
        <w:jc w:val="both"/>
        <w:rPr>
          <w:rFonts w:ascii="Verdana" w:hAnsi="Verdana"/>
          <w:sz w:val="20"/>
          <w:szCs w:val="20"/>
        </w:rPr>
      </w:pPr>
      <w:r>
        <w:rPr>
          <w:rFonts w:ascii="Verdana" w:hAnsi="Verdana"/>
          <w:sz w:val="20"/>
          <w:szCs w:val="20"/>
        </w:rPr>
        <w:t>Por cinco votos contra uno</w:t>
      </w:r>
      <w:r w:rsidRPr="00B26CD7">
        <w:rPr>
          <w:rFonts w:ascii="Verdana" w:hAnsi="Verdana"/>
          <w:sz w:val="20"/>
          <w:szCs w:val="20"/>
        </w:rPr>
        <w:t>, que</w:t>
      </w:r>
      <w:r w:rsidR="00487A82">
        <w:rPr>
          <w:rFonts w:ascii="Verdana" w:hAnsi="Verdana"/>
          <w:sz w:val="20"/>
          <w:szCs w:val="20"/>
        </w:rPr>
        <w:t>:</w:t>
      </w:r>
    </w:p>
    <w:p w14:paraId="722335A9" w14:textId="77777777" w:rsidR="00F46A92" w:rsidRPr="00B26CD7" w:rsidRDefault="00F46A92" w:rsidP="00F46A92">
      <w:pPr>
        <w:pStyle w:val="Prrafodelista"/>
        <w:spacing w:after="0" w:line="240" w:lineRule="auto"/>
        <w:jc w:val="both"/>
        <w:rPr>
          <w:rFonts w:ascii="Verdana" w:hAnsi="Verdana"/>
          <w:sz w:val="20"/>
          <w:szCs w:val="20"/>
          <w:lang w:val="es-CR"/>
        </w:rPr>
      </w:pPr>
    </w:p>
    <w:p w14:paraId="4BCE98B8" w14:textId="77777777" w:rsidR="00F46A92" w:rsidRPr="002A7AA1" w:rsidRDefault="00F46A92" w:rsidP="00F46A92">
      <w:pPr>
        <w:pStyle w:val="Default"/>
        <w:numPr>
          <w:ilvl w:val="0"/>
          <w:numId w:val="13"/>
        </w:numPr>
        <w:ind w:left="0" w:firstLine="0"/>
        <w:jc w:val="both"/>
        <w:rPr>
          <w:rFonts w:cs="Tahoma"/>
          <w:sz w:val="20"/>
          <w:szCs w:val="20"/>
        </w:rPr>
      </w:pPr>
      <w:r w:rsidRPr="00B26CD7">
        <w:rPr>
          <w:sz w:val="20"/>
          <w:szCs w:val="20"/>
        </w:rPr>
        <w:t>El Estado rendir</w:t>
      </w:r>
      <w:r>
        <w:rPr>
          <w:sz w:val="20"/>
          <w:szCs w:val="20"/>
        </w:rPr>
        <w:t>á</w:t>
      </w:r>
      <w:r w:rsidRPr="00B26CD7">
        <w:rPr>
          <w:sz w:val="20"/>
          <w:szCs w:val="20"/>
        </w:rPr>
        <w:t xml:space="preserve"> al Tribunal los informes semestrales ordenados en </w:t>
      </w:r>
      <w:r>
        <w:rPr>
          <w:sz w:val="20"/>
          <w:szCs w:val="20"/>
        </w:rPr>
        <w:t>el</w:t>
      </w:r>
      <w:r w:rsidRPr="00B26CD7">
        <w:rPr>
          <w:sz w:val="20"/>
          <w:szCs w:val="20"/>
        </w:rPr>
        <w:t xml:space="preserve"> párrafo </w:t>
      </w:r>
      <w:r>
        <w:rPr>
          <w:sz w:val="20"/>
          <w:szCs w:val="20"/>
        </w:rPr>
        <w:t xml:space="preserve">344 </w:t>
      </w:r>
      <w:r w:rsidRPr="00B26CD7">
        <w:rPr>
          <w:sz w:val="20"/>
          <w:szCs w:val="20"/>
        </w:rPr>
        <w:t>d</w:t>
      </w:r>
      <w:r>
        <w:rPr>
          <w:sz w:val="20"/>
          <w:szCs w:val="20"/>
        </w:rPr>
        <w:t>e la presente Sentencia.</w:t>
      </w:r>
    </w:p>
    <w:p w14:paraId="4FC59C4A" w14:textId="77777777" w:rsidR="00F46A92" w:rsidRDefault="00F46A92" w:rsidP="00F46A92">
      <w:pPr>
        <w:pStyle w:val="Default"/>
        <w:jc w:val="both"/>
        <w:rPr>
          <w:sz w:val="20"/>
          <w:szCs w:val="20"/>
        </w:rPr>
      </w:pPr>
    </w:p>
    <w:p w14:paraId="6B09ADBA" w14:textId="77777777" w:rsidR="00F46A92" w:rsidRDefault="00F46A92" w:rsidP="00F46A92">
      <w:pPr>
        <w:pStyle w:val="Default"/>
        <w:jc w:val="both"/>
        <w:rPr>
          <w:sz w:val="20"/>
          <w:szCs w:val="20"/>
        </w:rPr>
      </w:pPr>
      <w:r>
        <w:rPr>
          <w:sz w:val="20"/>
          <w:szCs w:val="20"/>
        </w:rPr>
        <w:t xml:space="preserve">Disiente el Juez Humberto Antonio Sierra Porto. </w:t>
      </w:r>
    </w:p>
    <w:p w14:paraId="6D5AB985" w14:textId="77777777" w:rsidR="00F46A92" w:rsidRPr="00B26CD7" w:rsidRDefault="00F46A92" w:rsidP="00F46A92">
      <w:pPr>
        <w:pStyle w:val="Default"/>
        <w:jc w:val="both"/>
        <w:rPr>
          <w:rFonts w:cs="Tahoma"/>
          <w:sz w:val="20"/>
          <w:szCs w:val="20"/>
        </w:rPr>
      </w:pPr>
    </w:p>
    <w:p w14:paraId="4C8C1462" w14:textId="77777777" w:rsidR="00F46A92" w:rsidRPr="00B26CD7" w:rsidRDefault="00F46A92" w:rsidP="00F46A92">
      <w:pPr>
        <w:pStyle w:val="Prrafodelista"/>
        <w:spacing w:after="0" w:line="240" w:lineRule="auto"/>
        <w:jc w:val="both"/>
        <w:rPr>
          <w:rFonts w:ascii="Verdana" w:hAnsi="Verdana"/>
          <w:sz w:val="20"/>
          <w:szCs w:val="20"/>
          <w:lang w:val="es-CR"/>
        </w:rPr>
      </w:pPr>
    </w:p>
    <w:p w14:paraId="34F6D130" w14:textId="7B946F1A" w:rsidR="00F46A92" w:rsidRPr="00B26CD7" w:rsidRDefault="00F46A92" w:rsidP="00F46A92">
      <w:pPr>
        <w:pStyle w:val="Prrafodelista"/>
        <w:spacing w:after="0" w:line="240" w:lineRule="auto"/>
        <w:ind w:left="0"/>
        <w:jc w:val="both"/>
        <w:rPr>
          <w:rFonts w:ascii="Verdana" w:hAnsi="Verdana"/>
          <w:sz w:val="20"/>
          <w:szCs w:val="20"/>
        </w:rPr>
      </w:pPr>
      <w:r>
        <w:rPr>
          <w:rFonts w:ascii="Verdana" w:hAnsi="Verdana"/>
          <w:sz w:val="20"/>
          <w:szCs w:val="20"/>
        </w:rPr>
        <w:t>Por unanimidad</w:t>
      </w:r>
      <w:r w:rsidRPr="00B26CD7">
        <w:rPr>
          <w:rFonts w:ascii="Verdana" w:hAnsi="Verdana"/>
          <w:sz w:val="20"/>
          <w:szCs w:val="20"/>
        </w:rPr>
        <w:t>, que</w:t>
      </w:r>
      <w:r w:rsidR="00487A82">
        <w:rPr>
          <w:rFonts w:ascii="Verdana" w:hAnsi="Verdana"/>
          <w:sz w:val="20"/>
          <w:szCs w:val="20"/>
        </w:rPr>
        <w:t>:</w:t>
      </w:r>
    </w:p>
    <w:p w14:paraId="7BC3F341" w14:textId="77777777" w:rsidR="00F46A92" w:rsidRPr="00B26CD7" w:rsidRDefault="00F46A92" w:rsidP="00F46A92">
      <w:pPr>
        <w:pStyle w:val="Prrafodelista"/>
        <w:spacing w:after="0" w:line="240" w:lineRule="auto"/>
        <w:jc w:val="both"/>
        <w:rPr>
          <w:rFonts w:ascii="Verdana" w:hAnsi="Verdana"/>
          <w:sz w:val="20"/>
          <w:szCs w:val="20"/>
          <w:lang w:val="es-CR"/>
        </w:rPr>
      </w:pPr>
    </w:p>
    <w:p w14:paraId="38694F31" w14:textId="625A304A" w:rsidR="00974EE6" w:rsidRPr="00D53712" w:rsidRDefault="00F46A92" w:rsidP="00F46A92">
      <w:pPr>
        <w:pStyle w:val="Default"/>
        <w:numPr>
          <w:ilvl w:val="0"/>
          <w:numId w:val="13"/>
        </w:numPr>
        <w:ind w:left="0" w:firstLine="0"/>
        <w:jc w:val="both"/>
        <w:rPr>
          <w:rFonts w:cs="Tahoma"/>
          <w:sz w:val="20"/>
          <w:szCs w:val="20"/>
        </w:rPr>
      </w:pPr>
      <w:r w:rsidRPr="00B26CD7">
        <w:rPr>
          <w:sz w:val="20"/>
          <w:szCs w:val="20"/>
          <w:lang w:val="es-ES"/>
        </w:rPr>
        <w:t xml:space="preserve">El Estado </w:t>
      </w:r>
      <w:r w:rsidRPr="00B26CD7">
        <w:rPr>
          <w:sz w:val="20"/>
          <w:szCs w:val="20"/>
        </w:rPr>
        <w:t>informar</w:t>
      </w:r>
      <w:r>
        <w:rPr>
          <w:sz w:val="20"/>
          <w:szCs w:val="20"/>
        </w:rPr>
        <w:t>á</w:t>
      </w:r>
      <w:r w:rsidRPr="00B26CD7">
        <w:rPr>
          <w:sz w:val="20"/>
          <w:szCs w:val="20"/>
        </w:rPr>
        <w:t xml:space="preserve">, dentro del plazo de un año contado a partir de la notificación de esta Sentencia, </w:t>
      </w:r>
      <w:r w:rsidRPr="00D53712">
        <w:rPr>
          <w:sz w:val="20"/>
          <w:szCs w:val="20"/>
        </w:rPr>
        <w:t>sobre las medidas adoptadas para cumplir con todas las medidas ordenadas en la misma</w:t>
      </w:r>
      <w:r w:rsidR="00974EE6" w:rsidRPr="00D53712">
        <w:rPr>
          <w:sz w:val="20"/>
          <w:szCs w:val="20"/>
        </w:rPr>
        <w:t xml:space="preserve">, sin perjuicio de lo establecido en el punto resolutivo 17 y los párrafos 344 y 349 de la presente Sentencia.  </w:t>
      </w:r>
    </w:p>
    <w:p w14:paraId="3B0FEAA2" w14:textId="77777777" w:rsidR="00974EE6" w:rsidRDefault="00974EE6" w:rsidP="00F46A92">
      <w:pPr>
        <w:pStyle w:val="Prrafodelista"/>
        <w:spacing w:after="0" w:line="240" w:lineRule="auto"/>
        <w:ind w:left="0"/>
        <w:jc w:val="both"/>
        <w:rPr>
          <w:rFonts w:ascii="Verdana" w:hAnsi="Verdana"/>
          <w:sz w:val="20"/>
          <w:szCs w:val="20"/>
        </w:rPr>
      </w:pPr>
    </w:p>
    <w:p w14:paraId="0AC49DFC" w14:textId="087741A5" w:rsidR="00F46A92" w:rsidRPr="00B26CD7" w:rsidRDefault="00F46A92" w:rsidP="00F46A92">
      <w:pPr>
        <w:pStyle w:val="Prrafodelista"/>
        <w:spacing w:after="0" w:line="240" w:lineRule="auto"/>
        <w:ind w:left="0"/>
        <w:jc w:val="both"/>
        <w:rPr>
          <w:rFonts w:ascii="Verdana" w:hAnsi="Verdana"/>
          <w:sz w:val="20"/>
          <w:szCs w:val="20"/>
        </w:rPr>
      </w:pPr>
      <w:r w:rsidRPr="00B26CD7">
        <w:rPr>
          <w:rFonts w:ascii="Verdana" w:hAnsi="Verdana"/>
          <w:sz w:val="20"/>
          <w:szCs w:val="20"/>
        </w:rPr>
        <w:t xml:space="preserve">Por </w:t>
      </w:r>
      <w:r>
        <w:rPr>
          <w:rFonts w:ascii="Verdana" w:hAnsi="Verdana"/>
          <w:sz w:val="20"/>
          <w:szCs w:val="20"/>
        </w:rPr>
        <w:t>unanimidad</w:t>
      </w:r>
      <w:r w:rsidRPr="00B26CD7">
        <w:rPr>
          <w:rFonts w:ascii="Verdana" w:hAnsi="Verdana"/>
          <w:sz w:val="20"/>
          <w:szCs w:val="20"/>
        </w:rPr>
        <w:t>, que</w:t>
      </w:r>
      <w:r w:rsidR="00487A82">
        <w:rPr>
          <w:rFonts w:ascii="Verdana" w:hAnsi="Verdana"/>
          <w:sz w:val="20"/>
          <w:szCs w:val="20"/>
        </w:rPr>
        <w:t>:</w:t>
      </w:r>
    </w:p>
    <w:p w14:paraId="33ED8006" w14:textId="77777777" w:rsidR="00F46A92" w:rsidRPr="00B26CD7" w:rsidRDefault="00F46A92" w:rsidP="00F46A92">
      <w:pPr>
        <w:pStyle w:val="Default"/>
        <w:jc w:val="both"/>
        <w:rPr>
          <w:rFonts w:cs="Tahoma"/>
          <w:sz w:val="20"/>
          <w:szCs w:val="20"/>
        </w:rPr>
      </w:pPr>
    </w:p>
    <w:p w14:paraId="395537DA" w14:textId="77777777" w:rsidR="00F46A92" w:rsidRPr="00B26CD7" w:rsidRDefault="00F46A92" w:rsidP="00F46A92">
      <w:pPr>
        <w:pStyle w:val="Default"/>
        <w:numPr>
          <w:ilvl w:val="0"/>
          <w:numId w:val="13"/>
        </w:numPr>
        <w:ind w:left="0" w:firstLine="0"/>
        <w:jc w:val="both"/>
        <w:rPr>
          <w:rFonts w:cs="Tahoma"/>
          <w:sz w:val="20"/>
          <w:szCs w:val="20"/>
        </w:rPr>
      </w:pPr>
      <w:r w:rsidRPr="00B26CD7">
        <w:rPr>
          <w:sz w:val="20"/>
          <w:szCs w:val="20"/>
        </w:rPr>
        <w:t xml:space="preserve">La Corte supervisará el cumplimiento íntegro de esta Sentencia, en ejercicio de sus atribuciones y en cumplimiento de sus deberes conforme a la Convención Americana sobre Derechos Humanos, y dará́ por concluido el presente caso una vez que el Estado haya dado cabal cumplimiento a lo dispuesto en la misma. </w:t>
      </w:r>
    </w:p>
    <w:p w14:paraId="154C7F96" w14:textId="77777777" w:rsidR="00F46A92" w:rsidRDefault="00F46A92" w:rsidP="00F46A92">
      <w:pPr>
        <w:spacing w:after="0" w:line="240" w:lineRule="auto"/>
        <w:jc w:val="both"/>
        <w:rPr>
          <w:rFonts w:ascii="Verdana" w:hAnsi="Verdana"/>
          <w:sz w:val="20"/>
          <w:szCs w:val="20"/>
          <w:lang w:val="es-CR"/>
        </w:rPr>
      </w:pPr>
    </w:p>
    <w:p w14:paraId="32C76BB8" w14:textId="77777777" w:rsidR="00F46A92" w:rsidRDefault="00F46A92" w:rsidP="00F46A92">
      <w:pPr>
        <w:spacing w:after="0" w:line="240" w:lineRule="auto"/>
        <w:jc w:val="both"/>
        <w:rPr>
          <w:rFonts w:ascii="Verdana" w:hAnsi="Verdana"/>
          <w:sz w:val="20"/>
          <w:szCs w:val="20"/>
          <w:lang w:val="es-CR"/>
        </w:rPr>
      </w:pPr>
    </w:p>
    <w:p w14:paraId="277C3D99" w14:textId="77777777" w:rsidR="00F46A92" w:rsidRDefault="00F46A92" w:rsidP="00F46A92">
      <w:pPr>
        <w:spacing w:after="0" w:line="240" w:lineRule="auto"/>
        <w:jc w:val="both"/>
        <w:rPr>
          <w:rFonts w:ascii="Verdana" w:hAnsi="Verdana"/>
          <w:sz w:val="20"/>
          <w:szCs w:val="20"/>
          <w:lang w:val="es-CR"/>
        </w:rPr>
      </w:pPr>
      <w:r w:rsidRPr="00666448">
        <w:rPr>
          <w:rFonts w:ascii="Verdana" w:hAnsi="Verdana"/>
          <w:sz w:val="20"/>
          <w:szCs w:val="20"/>
          <w:lang w:val="es-CR"/>
        </w:rPr>
        <w:t xml:space="preserve">Los jueces </w:t>
      </w:r>
      <w:r>
        <w:rPr>
          <w:rFonts w:ascii="Verdana" w:hAnsi="Verdana"/>
          <w:sz w:val="20"/>
          <w:szCs w:val="20"/>
          <w:lang w:val="es-CR"/>
        </w:rPr>
        <w:t xml:space="preserve">L. Patricio Pazmiño Freire y </w:t>
      </w:r>
      <w:r w:rsidRPr="00666448">
        <w:rPr>
          <w:rFonts w:ascii="Verdana" w:hAnsi="Verdana"/>
          <w:sz w:val="20"/>
          <w:szCs w:val="20"/>
          <w:lang w:val="es-CR"/>
        </w:rPr>
        <w:t>Eduardo Ferrer Mac-Gregor Poisot</w:t>
      </w:r>
      <w:r>
        <w:rPr>
          <w:rFonts w:ascii="Verdana" w:hAnsi="Verdana"/>
          <w:sz w:val="20"/>
          <w:szCs w:val="20"/>
          <w:lang w:val="es-CR"/>
        </w:rPr>
        <w:t xml:space="preserve"> dieron a conocer sus votos individuales concurrentes. Los jueces Eduardo Vio Grossi, Humberto Antonio Sierra Porto</w:t>
      </w:r>
      <w:r w:rsidRPr="00666448">
        <w:rPr>
          <w:rFonts w:ascii="Verdana" w:hAnsi="Verdana"/>
          <w:sz w:val="20"/>
          <w:szCs w:val="20"/>
          <w:lang w:val="es-CR"/>
        </w:rPr>
        <w:t xml:space="preserve"> y Ricardo Pérez Manr</w:t>
      </w:r>
      <w:r>
        <w:rPr>
          <w:rFonts w:ascii="Verdana" w:hAnsi="Verdana"/>
          <w:sz w:val="20"/>
          <w:szCs w:val="20"/>
          <w:lang w:val="es-CR"/>
        </w:rPr>
        <w:t xml:space="preserve">ique dieron a conocer sus votos </w:t>
      </w:r>
      <w:r w:rsidRPr="00666448">
        <w:rPr>
          <w:rFonts w:ascii="Verdana" w:hAnsi="Verdana"/>
          <w:sz w:val="20"/>
          <w:szCs w:val="20"/>
          <w:lang w:val="es-CR"/>
        </w:rPr>
        <w:t>individuales parcialmente disidentes.</w:t>
      </w:r>
    </w:p>
    <w:p w14:paraId="6453E28F" w14:textId="77777777" w:rsidR="00F46A92" w:rsidRDefault="00F46A92" w:rsidP="00F46A92">
      <w:pPr>
        <w:spacing w:after="0" w:line="240" w:lineRule="auto"/>
        <w:jc w:val="both"/>
        <w:rPr>
          <w:rFonts w:ascii="Verdana" w:hAnsi="Verdana"/>
          <w:sz w:val="20"/>
          <w:szCs w:val="20"/>
          <w:lang w:val="es-CR"/>
        </w:rPr>
      </w:pPr>
    </w:p>
    <w:p w14:paraId="012768D6" w14:textId="77777777" w:rsidR="00F46A92" w:rsidRPr="00B26CD7" w:rsidRDefault="00F46A92" w:rsidP="00F46A92">
      <w:pPr>
        <w:spacing w:after="0" w:line="240" w:lineRule="auto"/>
        <w:jc w:val="both"/>
        <w:rPr>
          <w:rFonts w:ascii="Verdana" w:hAnsi="Verdana"/>
          <w:sz w:val="20"/>
          <w:szCs w:val="20"/>
          <w:lang w:val="es-CR"/>
        </w:rPr>
      </w:pPr>
    </w:p>
    <w:p w14:paraId="5FED87E5" w14:textId="77777777" w:rsidR="00F46A92" w:rsidRDefault="00F46A92" w:rsidP="00F46A92">
      <w:pPr>
        <w:spacing w:after="0" w:line="240" w:lineRule="auto"/>
        <w:jc w:val="both"/>
        <w:rPr>
          <w:rFonts w:ascii="Verdana" w:hAnsi="Verdana"/>
          <w:sz w:val="20"/>
          <w:szCs w:val="20"/>
        </w:rPr>
      </w:pPr>
      <w:r w:rsidRPr="00B26CD7">
        <w:rPr>
          <w:rFonts w:ascii="Verdana" w:hAnsi="Verdana"/>
          <w:sz w:val="20"/>
          <w:szCs w:val="20"/>
        </w:rPr>
        <w:t>Redactada en españo</w:t>
      </w:r>
      <w:r>
        <w:rPr>
          <w:rFonts w:ascii="Verdana" w:hAnsi="Verdana"/>
          <w:sz w:val="20"/>
          <w:szCs w:val="20"/>
        </w:rPr>
        <w:t>l en San José, Costa Rica, el 6</w:t>
      </w:r>
      <w:r w:rsidRPr="00B26CD7">
        <w:rPr>
          <w:rFonts w:ascii="Verdana" w:hAnsi="Verdana"/>
          <w:sz w:val="20"/>
          <w:szCs w:val="20"/>
        </w:rPr>
        <w:t xml:space="preserve"> de </w:t>
      </w:r>
      <w:r>
        <w:rPr>
          <w:rFonts w:ascii="Verdana" w:hAnsi="Verdana"/>
          <w:sz w:val="20"/>
          <w:szCs w:val="20"/>
        </w:rPr>
        <w:t>febrero</w:t>
      </w:r>
      <w:r w:rsidRPr="00B26CD7">
        <w:rPr>
          <w:rFonts w:ascii="Verdana" w:hAnsi="Verdana"/>
          <w:sz w:val="20"/>
          <w:szCs w:val="20"/>
        </w:rPr>
        <w:t xml:space="preserve"> de 20</w:t>
      </w:r>
      <w:r>
        <w:rPr>
          <w:rFonts w:ascii="Verdana" w:hAnsi="Verdana"/>
          <w:sz w:val="20"/>
          <w:szCs w:val="20"/>
        </w:rPr>
        <w:t>20</w:t>
      </w:r>
      <w:r w:rsidRPr="00B26CD7">
        <w:rPr>
          <w:rFonts w:ascii="Verdana" w:hAnsi="Verdana"/>
          <w:sz w:val="20"/>
          <w:szCs w:val="20"/>
        </w:rPr>
        <w:t>.</w:t>
      </w:r>
    </w:p>
    <w:p w14:paraId="36835833" w14:textId="77777777" w:rsidR="00F46A92" w:rsidRDefault="00F46A92" w:rsidP="00F46A92">
      <w:pPr>
        <w:spacing w:after="0" w:line="240" w:lineRule="auto"/>
        <w:jc w:val="both"/>
        <w:rPr>
          <w:rFonts w:ascii="Verdana" w:hAnsi="Verdana"/>
          <w:sz w:val="20"/>
          <w:szCs w:val="20"/>
        </w:rPr>
      </w:pPr>
      <w:r>
        <w:rPr>
          <w:rFonts w:ascii="Verdana" w:hAnsi="Verdana"/>
          <w:sz w:val="20"/>
          <w:szCs w:val="20"/>
        </w:rPr>
        <w:br w:type="page"/>
      </w:r>
    </w:p>
    <w:p w14:paraId="4423DBF3" w14:textId="77777777" w:rsidR="003D17A0" w:rsidRPr="002D12F9" w:rsidRDefault="003D17A0" w:rsidP="003D17A0">
      <w:pPr>
        <w:spacing w:after="0" w:line="240" w:lineRule="auto"/>
        <w:jc w:val="both"/>
        <w:rPr>
          <w:rFonts w:ascii="Verdana" w:hAnsi="Verdana"/>
          <w:strike/>
          <w:sz w:val="20"/>
          <w:lang w:val="es-ES"/>
        </w:rPr>
      </w:pPr>
    </w:p>
    <w:p w14:paraId="2EB9E04E" w14:textId="77777777" w:rsidR="003D17A0" w:rsidRPr="002D12F9" w:rsidRDefault="003D17A0" w:rsidP="003D17A0">
      <w:pPr>
        <w:spacing w:after="0" w:line="240" w:lineRule="auto"/>
        <w:jc w:val="both"/>
        <w:rPr>
          <w:rFonts w:ascii="Verdana" w:hAnsi="Verdana"/>
          <w:sz w:val="20"/>
          <w:lang w:val="es-ES"/>
        </w:rPr>
      </w:pPr>
      <w:r w:rsidRPr="002D12F9">
        <w:rPr>
          <w:rFonts w:ascii="Verdana" w:hAnsi="Verdana"/>
          <w:sz w:val="20"/>
          <w:lang w:val="es-ES"/>
        </w:rPr>
        <w:t xml:space="preserve">Corte IDH. </w:t>
      </w:r>
      <w:r w:rsidRPr="000304D5">
        <w:rPr>
          <w:rFonts w:ascii="Verdana" w:hAnsi="Verdana"/>
          <w:i/>
          <w:sz w:val="20"/>
          <w:lang w:val="es-ES"/>
        </w:rPr>
        <w:t xml:space="preserve">Caso </w:t>
      </w:r>
      <w:r>
        <w:rPr>
          <w:rFonts w:ascii="Verdana" w:hAnsi="Verdana"/>
          <w:i/>
          <w:iCs/>
          <w:sz w:val="20"/>
          <w:lang w:val="es-CR"/>
        </w:rPr>
        <w:t>Comunidades Indígenas Miembros de la Asociación Lhaka Honhat (Nuestra Tierra)</w:t>
      </w:r>
      <w:r w:rsidRPr="000304D5">
        <w:rPr>
          <w:rFonts w:ascii="Verdana" w:hAnsi="Verdana"/>
          <w:i/>
          <w:iCs/>
          <w:sz w:val="20"/>
          <w:lang w:val="es-CR"/>
        </w:rPr>
        <w:t xml:space="preserve"> </w:t>
      </w:r>
      <w:r>
        <w:rPr>
          <w:rFonts w:ascii="Verdana" w:hAnsi="Verdana"/>
          <w:i/>
          <w:iCs/>
          <w:sz w:val="20"/>
          <w:lang w:val="es-CR"/>
        </w:rPr>
        <w:t>V</w:t>
      </w:r>
      <w:r w:rsidRPr="000304D5">
        <w:rPr>
          <w:rFonts w:ascii="Verdana" w:hAnsi="Verdana"/>
          <w:i/>
          <w:iCs/>
          <w:sz w:val="20"/>
          <w:lang w:val="es-CR"/>
        </w:rPr>
        <w:t xml:space="preserve">s. </w:t>
      </w:r>
      <w:r>
        <w:rPr>
          <w:rFonts w:ascii="Verdana" w:hAnsi="Verdana"/>
          <w:i/>
          <w:iCs/>
          <w:sz w:val="20"/>
          <w:lang w:val="es-CR"/>
        </w:rPr>
        <w:t>Argentina</w:t>
      </w:r>
      <w:r>
        <w:rPr>
          <w:rFonts w:ascii="Verdana" w:hAnsi="Verdana"/>
          <w:iCs/>
          <w:sz w:val="20"/>
          <w:lang w:val="es-CR"/>
        </w:rPr>
        <w:t xml:space="preserve">. </w:t>
      </w:r>
      <w:r w:rsidRPr="008B66C5">
        <w:rPr>
          <w:rFonts w:ascii="Verdana" w:hAnsi="Verdana"/>
          <w:iCs/>
          <w:sz w:val="20"/>
          <w:lang w:val="es-CR"/>
        </w:rPr>
        <w:t>Excepción Preliminar,</w:t>
      </w:r>
      <w:r w:rsidRPr="008B66C5">
        <w:rPr>
          <w:rFonts w:ascii="Verdana" w:hAnsi="Verdana"/>
          <w:sz w:val="20"/>
          <w:lang w:val="es-ES"/>
        </w:rPr>
        <w:t xml:space="preserve"> F</w:t>
      </w:r>
      <w:r w:rsidRPr="002D12F9">
        <w:rPr>
          <w:rFonts w:ascii="Verdana" w:hAnsi="Verdana"/>
          <w:sz w:val="20"/>
          <w:lang w:val="es-ES"/>
        </w:rPr>
        <w:t xml:space="preserve">ondo, Reparaciones y Costas. Sentencia de </w:t>
      </w:r>
      <w:r>
        <w:rPr>
          <w:rFonts w:ascii="Verdana" w:hAnsi="Verdana"/>
          <w:sz w:val="20"/>
          <w:lang w:val="es-ES"/>
        </w:rPr>
        <w:t>6</w:t>
      </w:r>
      <w:r w:rsidRPr="002D12F9">
        <w:rPr>
          <w:rFonts w:ascii="Verdana" w:hAnsi="Verdana"/>
          <w:sz w:val="20"/>
          <w:lang w:val="es-ES"/>
        </w:rPr>
        <w:t xml:space="preserve"> de </w:t>
      </w:r>
      <w:r>
        <w:rPr>
          <w:rFonts w:ascii="Verdana" w:hAnsi="Verdana"/>
          <w:sz w:val="20"/>
          <w:lang w:val="es-ES"/>
        </w:rPr>
        <w:t>febrero</w:t>
      </w:r>
      <w:r w:rsidRPr="002D12F9">
        <w:rPr>
          <w:rFonts w:ascii="Verdana" w:hAnsi="Verdana"/>
          <w:sz w:val="20"/>
          <w:lang w:val="es-ES"/>
        </w:rPr>
        <w:t xml:space="preserve"> de 20</w:t>
      </w:r>
      <w:r>
        <w:rPr>
          <w:rFonts w:ascii="Verdana" w:hAnsi="Verdana"/>
          <w:sz w:val="20"/>
          <w:lang w:val="es-ES"/>
        </w:rPr>
        <w:t>20</w:t>
      </w:r>
      <w:r w:rsidRPr="002D12F9">
        <w:rPr>
          <w:rFonts w:ascii="Verdana" w:hAnsi="Verdana"/>
          <w:sz w:val="20"/>
          <w:lang w:val="es-ES"/>
        </w:rPr>
        <w:t>.</w:t>
      </w:r>
    </w:p>
    <w:p w14:paraId="2BDEE0CF" w14:textId="77777777" w:rsidR="003D17A0" w:rsidRPr="002D12F9" w:rsidRDefault="003D17A0" w:rsidP="003D17A0">
      <w:pPr>
        <w:spacing w:after="0" w:line="240" w:lineRule="auto"/>
        <w:jc w:val="center"/>
        <w:rPr>
          <w:rFonts w:ascii="Verdana" w:hAnsi="Verdana"/>
          <w:sz w:val="20"/>
          <w:lang w:val="pt-BR"/>
        </w:rPr>
      </w:pPr>
    </w:p>
    <w:p w14:paraId="20634230" w14:textId="77777777" w:rsidR="003D17A0" w:rsidRDefault="003D17A0" w:rsidP="003D17A0">
      <w:pPr>
        <w:spacing w:after="0" w:line="240" w:lineRule="auto"/>
        <w:jc w:val="center"/>
        <w:rPr>
          <w:rFonts w:ascii="Verdana" w:hAnsi="Verdana"/>
          <w:sz w:val="20"/>
          <w:lang w:val="pt-BR"/>
        </w:rPr>
      </w:pPr>
    </w:p>
    <w:p w14:paraId="1AEEEEE0" w14:textId="77777777" w:rsidR="003D17A0" w:rsidRDefault="003D17A0" w:rsidP="003D17A0">
      <w:pPr>
        <w:spacing w:after="0" w:line="240" w:lineRule="auto"/>
        <w:jc w:val="center"/>
        <w:rPr>
          <w:rFonts w:ascii="Verdana" w:hAnsi="Verdana"/>
          <w:sz w:val="20"/>
          <w:lang w:val="pt-BR"/>
        </w:rPr>
      </w:pPr>
    </w:p>
    <w:p w14:paraId="5B4ECD22" w14:textId="77777777" w:rsidR="003D17A0" w:rsidRDefault="003D17A0" w:rsidP="003D17A0">
      <w:pPr>
        <w:spacing w:after="0" w:line="240" w:lineRule="auto"/>
        <w:jc w:val="center"/>
        <w:rPr>
          <w:rFonts w:ascii="Verdana" w:hAnsi="Verdana"/>
          <w:sz w:val="20"/>
          <w:lang w:val="pt-BR"/>
        </w:rPr>
      </w:pPr>
    </w:p>
    <w:p w14:paraId="79206F4F" w14:textId="77777777" w:rsidR="003D17A0" w:rsidRDefault="003D17A0" w:rsidP="003D17A0">
      <w:pPr>
        <w:spacing w:after="0" w:line="240" w:lineRule="auto"/>
        <w:jc w:val="center"/>
        <w:rPr>
          <w:rFonts w:ascii="Verdana" w:hAnsi="Verdana"/>
          <w:sz w:val="20"/>
          <w:lang w:val="pt-BR"/>
        </w:rPr>
      </w:pPr>
    </w:p>
    <w:p w14:paraId="6C5B215B" w14:textId="77777777" w:rsidR="003D17A0" w:rsidRDefault="003D17A0" w:rsidP="003D17A0">
      <w:pPr>
        <w:spacing w:after="0" w:line="240" w:lineRule="auto"/>
        <w:jc w:val="center"/>
        <w:rPr>
          <w:rFonts w:ascii="Verdana" w:hAnsi="Verdana"/>
          <w:sz w:val="20"/>
          <w:lang w:val="pt-BR"/>
        </w:rPr>
      </w:pPr>
      <w:r>
        <w:rPr>
          <w:rFonts w:ascii="Verdana" w:hAnsi="Verdana"/>
          <w:sz w:val="20"/>
          <w:lang w:val="pt-BR"/>
        </w:rPr>
        <w:t>Elizabeth Odio Benito</w:t>
      </w:r>
    </w:p>
    <w:p w14:paraId="7F1BA368" w14:textId="77777777" w:rsidR="003D17A0" w:rsidRDefault="003D17A0" w:rsidP="003D17A0">
      <w:pPr>
        <w:spacing w:after="0" w:line="240" w:lineRule="auto"/>
        <w:jc w:val="center"/>
        <w:rPr>
          <w:rFonts w:ascii="Verdana" w:hAnsi="Verdana"/>
          <w:sz w:val="20"/>
          <w:lang w:val="pt-BR"/>
        </w:rPr>
      </w:pPr>
      <w:r>
        <w:rPr>
          <w:rFonts w:ascii="Verdana" w:hAnsi="Verdana"/>
          <w:sz w:val="20"/>
          <w:lang w:val="pt-BR"/>
        </w:rPr>
        <w:t>Presidenta</w:t>
      </w:r>
    </w:p>
    <w:p w14:paraId="6258B6A7" w14:textId="77777777" w:rsidR="003D17A0" w:rsidRDefault="003D17A0" w:rsidP="003D17A0">
      <w:pPr>
        <w:spacing w:after="0" w:line="240" w:lineRule="auto"/>
        <w:jc w:val="center"/>
        <w:rPr>
          <w:rFonts w:ascii="Verdana" w:hAnsi="Verdana"/>
          <w:sz w:val="20"/>
          <w:lang w:val="pt-BR"/>
        </w:rPr>
      </w:pPr>
    </w:p>
    <w:p w14:paraId="006417D6" w14:textId="77777777" w:rsidR="003D17A0" w:rsidRDefault="003D17A0" w:rsidP="003D17A0">
      <w:pPr>
        <w:spacing w:after="0" w:line="240" w:lineRule="auto"/>
        <w:jc w:val="center"/>
        <w:rPr>
          <w:rFonts w:ascii="Verdana" w:hAnsi="Verdana"/>
          <w:sz w:val="20"/>
          <w:lang w:val="pt-BR"/>
        </w:rPr>
      </w:pPr>
    </w:p>
    <w:p w14:paraId="1AF32730" w14:textId="77777777" w:rsidR="003D17A0" w:rsidRDefault="003D17A0" w:rsidP="003D17A0">
      <w:pPr>
        <w:spacing w:after="0" w:line="240" w:lineRule="auto"/>
        <w:rPr>
          <w:rFonts w:ascii="Verdana" w:hAnsi="Verdana"/>
          <w:sz w:val="20"/>
          <w:lang w:val="pt-BR"/>
        </w:rPr>
      </w:pPr>
    </w:p>
    <w:p w14:paraId="7D3329FD" w14:textId="77777777" w:rsidR="003D17A0" w:rsidRDefault="003D17A0" w:rsidP="003D17A0">
      <w:pPr>
        <w:spacing w:after="0" w:line="240" w:lineRule="auto"/>
        <w:rPr>
          <w:rFonts w:ascii="Verdana" w:hAnsi="Verdana"/>
          <w:sz w:val="20"/>
          <w:lang w:val="pt-BR"/>
        </w:rPr>
      </w:pPr>
    </w:p>
    <w:p w14:paraId="2EDEB710" w14:textId="701E2C9C" w:rsidR="003D17A0" w:rsidRDefault="003D17A0" w:rsidP="003D17A0">
      <w:pPr>
        <w:spacing w:after="0" w:line="240" w:lineRule="auto"/>
        <w:jc w:val="both"/>
        <w:rPr>
          <w:rFonts w:ascii="Verdana" w:hAnsi="Verdana"/>
          <w:sz w:val="20"/>
          <w:lang w:val="pt-BR"/>
        </w:rPr>
      </w:pPr>
      <w:r>
        <w:rPr>
          <w:rFonts w:ascii="Verdana" w:hAnsi="Verdana"/>
          <w:sz w:val="20"/>
          <w:lang w:val="pt-BR"/>
        </w:rPr>
        <w:t>L. Patricio Pazmiño Frei</w:t>
      </w:r>
      <w:r w:rsidRPr="0019261A">
        <w:rPr>
          <w:rFonts w:ascii="Verdana" w:hAnsi="Verdana"/>
          <w:sz w:val="20"/>
          <w:lang w:val="pt-BR"/>
        </w:rPr>
        <w:t>re</w:t>
      </w:r>
      <w:r>
        <w:rPr>
          <w:rFonts w:ascii="Verdana" w:hAnsi="Verdana"/>
          <w:sz w:val="20"/>
          <w:lang w:val="pt-BR"/>
        </w:rPr>
        <w:tab/>
      </w:r>
      <w:r>
        <w:rPr>
          <w:rFonts w:ascii="Verdana" w:hAnsi="Verdana"/>
          <w:sz w:val="20"/>
          <w:lang w:val="pt-BR"/>
        </w:rPr>
        <w:tab/>
      </w:r>
      <w:r>
        <w:rPr>
          <w:rFonts w:ascii="Verdana" w:hAnsi="Verdana"/>
          <w:sz w:val="20"/>
          <w:lang w:val="pt-BR"/>
        </w:rPr>
        <w:tab/>
      </w:r>
      <w:r>
        <w:rPr>
          <w:rFonts w:ascii="Verdana" w:hAnsi="Verdana"/>
          <w:sz w:val="20"/>
          <w:lang w:val="pt-BR"/>
        </w:rPr>
        <w:tab/>
      </w:r>
      <w:r>
        <w:rPr>
          <w:rFonts w:ascii="Verdana" w:hAnsi="Verdana"/>
          <w:sz w:val="20"/>
          <w:lang w:val="pt-BR"/>
        </w:rPr>
        <w:tab/>
        <w:t xml:space="preserve">            Eduardo Vio Grossi</w:t>
      </w:r>
    </w:p>
    <w:p w14:paraId="3121A6DF" w14:textId="77777777" w:rsidR="003D17A0" w:rsidRDefault="003D17A0" w:rsidP="003D17A0">
      <w:pPr>
        <w:spacing w:after="0" w:line="240" w:lineRule="auto"/>
        <w:rPr>
          <w:rFonts w:ascii="Verdana" w:hAnsi="Verdana"/>
          <w:sz w:val="20"/>
          <w:lang w:val="pt-BR"/>
        </w:rPr>
      </w:pPr>
    </w:p>
    <w:p w14:paraId="730B8C7B" w14:textId="77777777" w:rsidR="003D17A0" w:rsidRDefault="003D17A0" w:rsidP="003D17A0">
      <w:pPr>
        <w:spacing w:after="0" w:line="240" w:lineRule="auto"/>
        <w:rPr>
          <w:rFonts w:ascii="Verdana" w:hAnsi="Verdana"/>
          <w:sz w:val="20"/>
          <w:lang w:val="pt-BR"/>
        </w:rPr>
      </w:pPr>
    </w:p>
    <w:p w14:paraId="1D1931DD" w14:textId="77777777" w:rsidR="003D17A0" w:rsidRDefault="003D17A0" w:rsidP="003D17A0">
      <w:pPr>
        <w:spacing w:after="0" w:line="240" w:lineRule="auto"/>
        <w:rPr>
          <w:rFonts w:ascii="Verdana" w:hAnsi="Verdana"/>
          <w:sz w:val="20"/>
          <w:lang w:val="pt-BR"/>
        </w:rPr>
      </w:pPr>
    </w:p>
    <w:p w14:paraId="6A9AA367" w14:textId="77777777" w:rsidR="003D17A0" w:rsidRDefault="003D17A0" w:rsidP="003D17A0">
      <w:pPr>
        <w:spacing w:after="0" w:line="240" w:lineRule="auto"/>
        <w:rPr>
          <w:rFonts w:ascii="Verdana" w:hAnsi="Verdana"/>
          <w:sz w:val="20"/>
          <w:lang w:val="pt-BR"/>
        </w:rPr>
      </w:pPr>
    </w:p>
    <w:p w14:paraId="497BA87E" w14:textId="77777777" w:rsidR="003D17A0" w:rsidRDefault="003D17A0" w:rsidP="003D17A0">
      <w:pPr>
        <w:spacing w:after="0" w:line="240" w:lineRule="auto"/>
        <w:rPr>
          <w:rFonts w:ascii="Verdana" w:hAnsi="Verdana"/>
          <w:sz w:val="20"/>
          <w:lang w:val="pt-BR"/>
        </w:rPr>
      </w:pPr>
    </w:p>
    <w:p w14:paraId="27FBD034" w14:textId="0477C6B6" w:rsidR="003D17A0" w:rsidRDefault="003D17A0" w:rsidP="003D17A0">
      <w:pPr>
        <w:spacing w:after="0" w:line="240" w:lineRule="auto"/>
        <w:rPr>
          <w:rFonts w:ascii="Verdana" w:hAnsi="Verdana"/>
          <w:sz w:val="20"/>
          <w:lang w:val="pt-BR"/>
        </w:rPr>
      </w:pPr>
      <w:r>
        <w:rPr>
          <w:rFonts w:ascii="Verdana" w:hAnsi="Verdana"/>
          <w:sz w:val="20"/>
          <w:lang w:val="pt-BR"/>
        </w:rPr>
        <w:t>Humberto Antonio Sierra Porto</w:t>
      </w:r>
      <w:r>
        <w:rPr>
          <w:rFonts w:ascii="Verdana" w:hAnsi="Verdana"/>
          <w:sz w:val="20"/>
          <w:lang w:val="pt-BR"/>
        </w:rPr>
        <w:tab/>
      </w:r>
      <w:r>
        <w:rPr>
          <w:rFonts w:ascii="Verdana" w:hAnsi="Verdana"/>
          <w:sz w:val="20"/>
          <w:lang w:val="pt-BR"/>
        </w:rPr>
        <w:tab/>
      </w:r>
      <w:r>
        <w:rPr>
          <w:rFonts w:ascii="Verdana" w:hAnsi="Verdana"/>
          <w:sz w:val="20"/>
          <w:lang w:val="pt-BR"/>
        </w:rPr>
        <w:tab/>
        <w:t>Eduardo Ferrer Mac-Gregor Poisot</w:t>
      </w:r>
      <w:r w:rsidRPr="0019261A">
        <w:rPr>
          <w:rFonts w:ascii="Verdana" w:hAnsi="Verdana"/>
          <w:sz w:val="20"/>
          <w:lang w:val="pt-BR"/>
        </w:rPr>
        <w:tab/>
      </w:r>
      <w:r>
        <w:rPr>
          <w:rFonts w:ascii="Verdana" w:hAnsi="Verdana"/>
          <w:sz w:val="20"/>
          <w:lang w:val="pt-BR"/>
        </w:rPr>
        <w:t xml:space="preserve">                                                   </w:t>
      </w:r>
    </w:p>
    <w:p w14:paraId="026F19FC" w14:textId="77777777" w:rsidR="003D17A0" w:rsidRDefault="003D17A0" w:rsidP="003D17A0">
      <w:pPr>
        <w:spacing w:after="0" w:line="240" w:lineRule="auto"/>
        <w:rPr>
          <w:rFonts w:ascii="Verdana" w:hAnsi="Verdana"/>
          <w:sz w:val="20"/>
          <w:lang w:val="pt-BR"/>
        </w:rPr>
      </w:pPr>
    </w:p>
    <w:p w14:paraId="7B4489C5" w14:textId="77777777" w:rsidR="003D17A0" w:rsidRDefault="003D17A0" w:rsidP="003D17A0">
      <w:pPr>
        <w:spacing w:after="0" w:line="240" w:lineRule="auto"/>
        <w:rPr>
          <w:rFonts w:ascii="Verdana" w:hAnsi="Verdana"/>
          <w:sz w:val="20"/>
          <w:lang w:val="pt-BR"/>
        </w:rPr>
      </w:pPr>
    </w:p>
    <w:p w14:paraId="0F6657BD" w14:textId="77777777" w:rsidR="003D17A0" w:rsidRDefault="003D17A0" w:rsidP="003D17A0">
      <w:pPr>
        <w:spacing w:after="0" w:line="240" w:lineRule="auto"/>
        <w:rPr>
          <w:rFonts w:ascii="Verdana" w:hAnsi="Verdana"/>
          <w:sz w:val="20"/>
          <w:lang w:val="pt-BR"/>
        </w:rPr>
      </w:pPr>
    </w:p>
    <w:p w14:paraId="644099F1" w14:textId="77777777" w:rsidR="003D17A0" w:rsidRDefault="003D17A0" w:rsidP="003D17A0">
      <w:pPr>
        <w:spacing w:after="0" w:line="240" w:lineRule="auto"/>
        <w:rPr>
          <w:rFonts w:ascii="Verdana" w:hAnsi="Verdana"/>
          <w:sz w:val="20"/>
          <w:lang w:val="pt-BR"/>
        </w:rPr>
      </w:pPr>
    </w:p>
    <w:p w14:paraId="1D5E99CE" w14:textId="77777777" w:rsidR="003D17A0" w:rsidRDefault="003D17A0" w:rsidP="003D17A0">
      <w:pPr>
        <w:spacing w:after="0" w:line="240" w:lineRule="auto"/>
        <w:rPr>
          <w:rFonts w:ascii="Verdana" w:hAnsi="Verdana"/>
          <w:sz w:val="20"/>
          <w:lang w:val="pt-BR"/>
        </w:rPr>
      </w:pPr>
    </w:p>
    <w:p w14:paraId="513F32DA" w14:textId="77777777" w:rsidR="003D17A0" w:rsidRDefault="003D17A0" w:rsidP="003D17A0">
      <w:pPr>
        <w:spacing w:after="0" w:line="240" w:lineRule="auto"/>
        <w:rPr>
          <w:rFonts w:ascii="Verdana" w:hAnsi="Verdana"/>
          <w:sz w:val="20"/>
          <w:lang w:val="pt-BR"/>
        </w:rPr>
      </w:pPr>
    </w:p>
    <w:p w14:paraId="008EA5D3" w14:textId="77777777" w:rsidR="003D17A0" w:rsidRPr="0019261A" w:rsidRDefault="003D17A0" w:rsidP="003D17A0">
      <w:pPr>
        <w:spacing w:after="0" w:line="240" w:lineRule="auto"/>
        <w:jc w:val="center"/>
        <w:rPr>
          <w:rFonts w:ascii="Verdana" w:hAnsi="Verdana"/>
          <w:sz w:val="20"/>
          <w:lang w:val="pt-BR"/>
        </w:rPr>
      </w:pPr>
      <w:r>
        <w:rPr>
          <w:rFonts w:ascii="Verdana" w:hAnsi="Verdana"/>
          <w:sz w:val="20"/>
          <w:lang w:val="pt-BR"/>
        </w:rPr>
        <w:t>Ricardo C. Pérez Manrique</w:t>
      </w:r>
    </w:p>
    <w:p w14:paraId="7B7C2DD8" w14:textId="77777777" w:rsidR="003D17A0" w:rsidRDefault="003D17A0" w:rsidP="003D17A0">
      <w:pPr>
        <w:spacing w:after="0" w:line="240" w:lineRule="auto"/>
        <w:jc w:val="both"/>
        <w:rPr>
          <w:rFonts w:ascii="Verdana" w:hAnsi="Verdana"/>
          <w:sz w:val="20"/>
          <w:lang w:val="pt-BR"/>
        </w:rPr>
      </w:pPr>
    </w:p>
    <w:p w14:paraId="65F7BF63" w14:textId="77777777" w:rsidR="003D17A0" w:rsidRDefault="003D17A0" w:rsidP="003D17A0">
      <w:pPr>
        <w:spacing w:after="0" w:line="240" w:lineRule="auto"/>
        <w:jc w:val="both"/>
        <w:rPr>
          <w:rFonts w:ascii="Verdana" w:hAnsi="Verdana"/>
          <w:sz w:val="20"/>
          <w:lang w:val="pt-BR"/>
        </w:rPr>
      </w:pPr>
    </w:p>
    <w:p w14:paraId="6C76315F" w14:textId="77777777" w:rsidR="003D17A0" w:rsidRDefault="003D17A0" w:rsidP="003D17A0">
      <w:pPr>
        <w:spacing w:after="0" w:line="240" w:lineRule="auto"/>
        <w:jc w:val="both"/>
        <w:rPr>
          <w:rFonts w:ascii="Verdana" w:hAnsi="Verdana"/>
          <w:sz w:val="20"/>
          <w:lang w:val="pt-BR"/>
        </w:rPr>
      </w:pPr>
    </w:p>
    <w:p w14:paraId="0D5105BF" w14:textId="77777777" w:rsidR="003D17A0" w:rsidRDefault="003D17A0" w:rsidP="003D17A0">
      <w:pPr>
        <w:spacing w:after="0" w:line="240" w:lineRule="auto"/>
        <w:jc w:val="both"/>
        <w:rPr>
          <w:rFonts w:ascii="Verdana" w:hAnsi="Verdana"/>
          <w:sz w:val="20"/>
          <w:lang w:val="pt-BR"/>
        </w:rPr>
      </w:pPr>
    </w:p>
    <w:p w14:paraId="78562A27" w14:textId="77777777" w:rsidR="003D17A0" w:rsidRPr="0019261A" w:rsidRDefault="003D17A0" w:rsidP="003D17A0">
      <w:pPr>
        <w:spacing w:after="0" w:line="240" w:lineRule="auto"/>
        <w:jc w:val="both"/>
        <w:rPr>
          <w:rFonts w:ascii="Verdana" w:hAnsi="Verdana"/>
          <w:sz w:val="20"/>
          <w:lang w:val="pt-BR"/>
        </w:rPr>
      </w:pPr>
    </w:p>
    <w:p w14:paraId="1C9C1C19" w14:textId="77777777" w:rsidR="003D17A0" w:rsidRPr="0019261A" w:rsidRDefault="003D17A0" w:rsidP="003D17A0">
      <w:pPr>
        <w:spacing w:after="0" w:line="240" w:lineRule="auto"/>
        <w:jc w:val="both"/>
        <w:rPr>
          <w:rFonts w:ascii="Verdana" w:hAnsi="Verdana"/>
          <w:sz w:val="20"/>
          <w:lang w:val="pt-BR"/>
        </w:rPr>
      </w:pPr>
    </w:p>
    <w:p w14:paraId="2BEE9D5C" w14:textId="77777777" w:rsidR="003D17A0" w:rsidRPr="00FC4051" w:rsidRDefault="003D17A0" w:rsidP="003D17A0">
      <w:pPr>
        <w:spacing w:after="0" w:line="240" w:lineRule="auto"/>
        <w:jc w:val="center"/>
        <w:rPr>
          <w:rFonts w:ascii="Verdana" w:hAnsi="Verdana"/>
          <w:sz w:val="20"/>
          <w:lang w:val="pt-BR"/>
        </w:rPr>
      </w:pPr>
      <w:r w:rsidRPr="00FC4051">
        <w:rPr>
          <w:rFonts w:ascii="Verdana" w:hAnsi="Verdana"/>
          <w:sz w:val="20"/>
          <w:lang w:val="pt-BR"/>
        </w:rPr>
        <w:t>Pablo Saavedra Alessandri</w:t>
      </w:r>
    </w:p>
    <w:p w14:paraId="7C17A7B0" w14:textId="77777777" w:rsidR="003D17A0" w:rsidRDefault="003D17A0" w:rsidP="003D17A0">
      <w:pPr>
        <w:spacing w:after="0" w:line="240" w:lineRule="auto"/>
        <w:jc w:val="center"/>
        <w:rPr>
          <w:rFonts w:ascii="Verdana" w:hAnsi="Verdana"/>
          <w:sz w:val="20"/>
          <w:lang w:val="pt-BR"/>
        </w:rPr>
      </w:pPr>
      <w:r w:rsidRPr="00FC4051">
        <w:rPr>
          <w:rFonts w:ascii="Verdana" w:hAnsi="Verdana"/>
          <w:sz w:val="20"/>
          <w:lang w:val="pt-BR"/>
        </w:rPr>
        <w:t>Secret</w:t>
      </w:r>
      <w:r>
        <w:rPr>
          <w:rFonts w:ascii="Verdana" w:hAnsi="Verdana"/>
          <w:sz w:val="20"/>
          <w:lang w:val="pt-BR"/>
        </w:rPr>
        <w:t>a</w:t>
      </w:r>
      <w:r w:rsidRPr="00FC4051">
        <w:rPr>
          <w:rFonts w:ascii="Verdana" w:hAnsi="Verdana"/>
          <w:sz w:val="20"/>
          <w:lang w:val="pt-BR"/>
        </w:rPr>
        <w:t>rio</w:t>
      </w:r>
    </w:p>
    <w:p w14:paraId="2CD78369" w14:textId="77777777" w:rsidR="003D17A0" w:rsidRDefault="003D17A0" w:rsidP="003D17A0">
      <w:pPr>
        <w:spacing w:after="0" w:line="240" w:lineRule="auto"/>
        <w:jc w:val="center"/>
        <w:rPr>
          <w:rFonts w:ascii="Verdana" w:hAnsi="Verdana"/>
          <w:sz w:val="20"/>
          <w:lang w:val="pt-BR"/>
        </w:rPr>
      </w:pPr>
    </w:p>
    <w:p w14:paraId="3288FFE7" w14:textId="77777777" w:rsidR="003D17A0" w:rsidRPr="00FC4051" w:rsidRDefault="003D17A0" w:rsidP="003D17A0">
      <w:pPr>
        <w:pStyle w:val="Textonotapie"/>
        <w:rPr>
          <w:lang w:val="pt-BR"/>
        </w:rPr>
      </w:pPr>
    </w:p>
    <w:p w14:paraId="4CCE0939" w14:textId="77777777" w:rsidR="003D17A0" w:rsidRPr="00FC4051" w:rsidRDefault="003D17A0" w:rsidP="003D17A0">
      <w:pPr>
        <w:pStyle w:val="Textonotapie"/>
        <w:rPr>
          <w:lang w:val="pt-BR"/>
        </w:rPr>
      </w:pPr>
    </w:p>
    <w:p w14:paraId="1744B46A" w14:textId="77777777" w:rsidR="003D17A0" w:rsidRPr="00FC4051" w:rsidRDefault="003D17A0" w:rsidP="003D17A0">
      <w:pPr>
        <w:spacing w:after="0" w:line="240" w:lineRule="auto"/>
        <w:jc w:val="both"/>
        <w:rPr>
          <w:rFonts w:ascii="Verdana" w:hAnsi="Verdana"/>
          <w:sz w:val="20"/>
          <w:lang w:val="pt-BR"/>
        </w:rPr>
      </w:pPr>
      <w:r>
        <w:rPr>
          <w:rFonts w:ascii="Verdana" w:hAnsi="Verdana"/>
          <w:sz w:val="20"/>
          <w:lang w:val="pt-BR"/>
        </w:rPr>
        <w:t>Comuníquese y ejecútese</w:t>
      </w:r>
      <w:r w:rsidRPr="00FC4051">
        <w:rPr>
          <w:rFonts w:ascii="Verdana" w:hAnsi="Verdana"/>
          <w:sz w:val="20"/>
          <w:lang w:val="pt-BR"/>
        </w:rPr>
        <w:t>,</w:t>
      </w:r>
    </w:p>
    <w:p w14:paraId="7D4001F0" w14:textId="77777777" w:rsidR="003D17A0" w:rsidRDefault="003D17A0" w:rsidP="003D17A0">
      <w:pPr>
        <w:spacing w:after="0" w:line="240" w:lineRule="auto"/>
        <w:jc w:val="center"/>
        <w:rPr>
          <w:rFonts w:ascii="Verdana" w:hAnsi="Verdana"/>
          <w:sz w:val="20"/>
          <w:lang w:val="pt-BR"/>
        </w:rPr>
      </w:pPr>
    </w:p>
    <w:p w14:paraId="1B9758BD" w14:textId="77777777" w:rsidR="003D17A0" w:rsidRDefault="003D17A0" w:rsidP="003D17A0">
      <w:pPr>
        <w:spacing w:after="0" w:line="240" w:lineRule="auto"/>
        <w:jc w:val="center"/>
        <w:rPr>
          <w:rFonts w:ascii="Verdana" w:hAnsi="Verdana"/>
          <w:sz w:val="20"/>
          <w:lang w:val="pt-BR"/>
        </w:rPr>
      </w:pPr>
    </w:p>
    <w:p w14:paraId="18340A94" w14:textId="77777777" w:rsidR="003D17A0" w:rsidRPr="00FC4051" w:rsidRDefault="003D17A0" w:rsidP="003D17A0">
      <w:pPr>
        <w:spacing w:after="0" w:line="240" w:lineRule="auto"/>
        <w:jc w:val="right"/>
        <w:rPr>
          <w:rFonts w:ascii="Verdana" w:hAnsi="Verdana"/>
          <w:sz w:val="20"/>
          <w:lang w:val="pt-BR"/>
        </w:rPr>
      </w:pPr>
    </w:p>
    <w:p w14:paraId="1F8680EC" w14:textId="11BA99AD" w:rsidR="003D17A0" w:rsidRDefault="003D17A0" w:rsidP="003D17A0">
      <w:pPr>
        <w:spacing w:after="0" w:line="240" w:lineRule="auto"/>
        <w:jc w:val="center"/>
        <w:rPr>
          <w:rFonts w:ascii="Verdana" w:hAnsi="Verdana"/>
          <w:sz w:val="20"/>
          <w:lang w:val="pt-BR"/>
        </w:rPr>
      </w:pPr>
      <w:r>
        <w:rPr>
          <w:rFonts w:ascii="Verdana" w:hAnsi="Verdana"/>
          <w:sz w:val="20"/>
          <w:lang w:val="pt-BR"/>
        </w:rPr>
        <w:t xml:space="preserve">                                                                                              Elizabeth Odio Benito</w:t>
      </w:r>
    </w:p>
    <w:p w14:paraId="060C9735" w14:textId="6FD08050" w:rsidR="003D17A0" w:rsidRDefault="003D17A0" w:rsidP="003D17A0">
      <w:pPr>
        <w:spacing w:after="0" w:line="240" w:lineRule="auto"/>
        <w:ind w:firstLine="720"/>
        <w:rPr>
          <w:rFonts w:ascii="Verdana" w:hAnsi="Verdana"/>
          <w:sz w:val="20"/>
          <w:lang w:val="pt-BR"/>
        </w:rPr>
      </w:pPr>
      <w:r>
        <w:rPr>
          <w:rFonts w:ascii="Verdana" w:hAnsi="Verdana"/>
          <w:sz w:val="20"/>
          <w:lang w:val="pt-BR"/>
        </w:rPr>
        <w:t xml:space="preserve">     </w:t>
      </w:r>
      <w:r>
        <w:rPr>
          <w:rFonts w:ascii="Verdana" w:hAnsi="Verdana"/>
          <w:sz w:val="20"/>
          <w:lang w:val="pt-BR"/>
        </w:rPr>
        <w:tab/>
      </w:r>
      <w:r>
        <w:rPr>
          <w:rFonts w:ascii="Verdana" w:hAnsi="Verdana"/>
          <w:sz w:val="20"/>
          <w:lang w:val="pt-BR"/>
        </w:rPr>
        <w:tab/>
      </w:r>
      <w:r>
        <w:rPr>
          <w:rFonts w:ascii="Verdana" w:hAnsi="Verdana"/>
          <w:sz w:val="20"/>
          <w:lang w:val="pt-BR"/>
        </w:rPr>
        <w:tab/>
      </w:r>
      <w:r>
        <w:rPr>
          <w:rFonts w:ascii="Verdana" w:hAnsi="Verdana"/>
          <w:sz w:val="20"/>
          <w:lang w:val="pt-BR"/>
        </w:rPr>
        <w:tab/>
      </w:r>
      <w:r>
        <w:rPr>
          <w:rFonts w:ascii="Verdana" w:hAnsi="Verdana"/>
          <w:sz w:val="20"/>
          <w:lang w:val="pt-BR"/>
        </w:rPr>
        <w:tab/>
      </w:r>
      <w:r>
        <w:rPr>
          <w:rFonts w:ascii="Verdana" w:hAnsi="Verdana"/>
          <w:sz w:val="20"/>
          <w:lang w:val="pt-BR"/>
        </w:rPr>
        <w:tab/>
      </w:r>
      <w:r>
        <w:rPr>
          <w:rFonts w:ascii="Verdana" w:hAnsi="Verdana"/>
          <w:sz w:val="20"/>
          <w:lang w:val="pt-BR"/>
        </w:rPr>
        <w:tab/>
      </w:r>
      <w:r>
        <w:rPr>
          <w:rFonts w:ascii="Verdana" w:hAnsi="Verdana"/>
          <w:sz w:val="20"/>
          <w:lang w:val="pt-BR"/>
        </w:rPr>
        <w:tab/>
      </w:r>
      <w:r>
        <w:rPr>
          <w:rFonts w:ascii="Verdana" w:hAnsi="Verdana"/>
          <w:sz w:val="20"/>
          <w:lang w:val="pt-BR"/>
        </w:rPr>
        <w:tab/>
        <w:t xml:space="preserve"> Presidenta</w:t>
      </w:r>
    </w:p>
    <w:p w14:paraId="2C118BF2" w14:textId="77777777" w:rsidR="003D17A0" w:rsidRDefault="003D17A0" w:rsidP="003D17A0">
      <w:pPr>
        <w:spacing w:after="0" w:line="240" w:lineRule="auto"/>
        <w:jc w:val="both"/>
        <w:rPr>
          <w:rFonts w:ascii="Verdana" w:hAnsi="Verdana"/>
          <w:sz w:val="20"/>
          <w:lang w:val="pt-BR"/>
        </w:rPr>
      </w:pPr>
    </w:p>
    <w:p w14:paraId="38328587" w14:textId="77777777" w:rsidR="003D17A0" w:rsidRDefault="003D17A0" w:rsidP="003D17A0">
      <w:pPr>
        <w:spacing w:after="0" w:line="240" w:lineRule="auto"/>
        <w:jc w:val="both"/>
        <w:rPr>
          <w:rFonts w:ascii="Verdana" w:hAnsi="Verdana"/>
          <w:sz w:val="20"/>
          <w:lang w:val="pt-BR"/>
        </w:rPr>
      </w:pPr>
    </w:p>
    <w:p w14:paraId="053951E1" w14:textId="77777777" w:rsidR="003D17A0" w:rsidRPr="00FC4051" w:rsidRDefault="003D17A0" w:rsidP="003D17A0">
      <w:pPr>
        <w:spacing w:after="0" w:line="240" w:lineRule="auto"/>
        <w:jc w:val="both"/>
        <w:rPr>
          <w:rFonts w:ascii="Verdana" w:hAnsi="Verdana"/>
          <w:sz w:val="20"/>
          <w:lang w:val="pt-BR"/>
        </w:rPr>
      </w:pPr>
    </w:p>
    <w:p w14:paraId="0306E34F" w14:textId="77777777" w:rsidR="003D17A0" w:rsidRPr="00FC4051" w:rsidRDefault="003D17A0" w:rsidP="003D17A0">
      <w:pPr>
        <w:spacing w:after="0" w:line="240" w:lineRule="auto"/>
        <w:jc w:val="both"/>
        <w:rPr>
          <w:rFonts w:ascii="Verdana" w:hAnsi="Verdana"/>
          <w:sz w:val="20"/>
          <w:lang w:val="pt-BR"/>
        </w:rPr>
      </w:pPr>
      <w:r w:rsidRPr="00FC4051">
        <w:rPr>
          <w:rFonts w:ascii="Verdana" w:hAnsi="Verdana"/>
          <w:sz w:val="20"/>
          <w:lang w:val="pt-BR"/>
        </w:rPr>
        <w:t>Pablo Saavedra Alessandri</w:t>
      </w:r>
    </w:p>
    <w:p w14:paraId="3A4AF483" w14:textId="77777777" w:rsidR="003D17A0" w:rsidRPr="007E10A8" w:rsidRDefault="003D17A0" w:rsidP="003D17A0">
      <w:pPr>
        <w:spacing w:after="0" w:line="240" w:lineRule="auto"/>
        <w:rPr>
          <w:lang w:val="es-ES"/>
        </w:rPr>
      </w:pPr>
      <w:r>
        <w:rPr>
          <w:rFonts w:ascii="Verdana" w:hAnsi="Verdana"/>
          <w:sz w:val="20"/>
          <w:lang w:val="pt-BR"/>
        </w:rPr>
        <w:t xml:space="preserve">          </w:t>
      </w:r>
      <w:r w:rsidRPr="0019261A">
        <w:rPr>
          <w:rFonts w:ascii="Verdana" w:hAnsi="Verdana"/>
          <w:sz w:val="20"/>
          <w:lang w:val="es-ES"/>
        </w:rPr>
        <w:t>Secret</w:t>
      </w:r>
      <w:r>
        <w:rPr>
          <w:rFonts w:ascii="Verdana" w:hAnsi="Verdana"/>
          <w:sz w:val="20"/>
          <w:lang w:val="es-ES"/>
        </w:rPr>
        <w:t>ario</w:t>
      </w:r>
    </w:p>
    <w:p w14:paraId="67DB7311" w14:textId="77777777" w:rsidR="00F46A92" w:rsidRDefault="00F46A92" w:rsidP="003D17A0">
      <w:pPr>
        <w:spacing w:after="0" w:line="240" w:lineRule="auto"/>
        <w:jc w:val="center"/>
        <w:rPr>
          <w:rFonts w:ascii="Verdana" w:hAnsi="Verdana"/>
          <w:b/>
          <w:sz w:val="20"/>
          <w:szCs w:val="20"/>
          <w:u w:val="single"/>
          <w:lang w:val="es-ES"/>
        </w:rPr>
      </w:pPr>
    </w:p>
    <w:p w14:paraId="68DA4B82" w14:textId="77777777" w:rsidR="00F46A92" w:rsidRPr="00F46A92" w:rsidRDefault="00F46A92" w:rsidP="00F46A92">
      <w:pPr>
        <w:pStyle w:val="Ttulo1"/>
        <w:jc w:val="center"/>
        <w:rPr>
          <w:rFonts w:ascii="Verdana" w:hAnsi="Verdana"/>
          <w:color w:val="auto"/>
          <w:sz w:val="20"/>
          <w:szCs w:val="20"/>
          <w:lang w:val="es-ES"/>
        </w:rPr>
      </w:pPr>
      <w:bookmarkStart w:id="378" w:name="_Toc34337610"/>
      <w:r w:rsidRPr="00F46A92">
        <w:rPr>
          <w:rFonts w:ascii="Verdana" w:hAnsi="Verdana"/>
          <w:color w:val="auto"/>
          <w:sz w:val="20"/>
          <w:szCs w:val="20"/>
          <w:lang w:val="es-ES"/>
        </w:rPr>
        <w:lastRenderedPageBreak/>
        <w:t>ANEXO I</w:t>
      </w:r>
      <w:bookmarkEnd w:id="378"/>
    </w:p>
    <w:tbl>
      <w:tblPr>
        <w:tblStyle w:val="Cuadrculamedia1"/>
        <w:tblW w:w="0" w:type="auto"/>
        <w:tblLook w:val="04A0" w:firstRow="1" w:lastRow="0" w:firstColumn="1" w:lastColumn="0" w:noHBand="0" w:noVBand="1"/>
      </w:tblPr>
      <w:tblGrid>
        <w:gridCol w:w="8818"/>
      </w:tblGrid>
      <w:tr w:rsidR="00F46A92" w:rsidRPr="0083307C" w14:paraId="384C3284" w14:textId="77777777" w:rsidTr="004253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198FAF7E" w14:textId="77777777" w:rsidR="00F46A92" w:rsidRDefault="00F46A92" w:rsidP="00425397">
            <w:pPr>
              <w:spacing w:line="240" w:lineRule="auto"/>
              <w:jc w:val="center"/>
              <w:rPr>
                <w:rFonts w:ascii="Verdana" w:hAnsi="Verdana"/>
                <w:b w:val="0"/>
                <w:sz w:val="20"/>
                <w:szCs w:val="20"/>
                <w:u w:val="single"/>
                <w:lang w:val="es-ES"/>
              </w:rPr>
            </w:pPr>
            <w:r w:rsidRPr="00987EA0">
              <w:rPr>
                <w:rFonts w:ascii="Verdana" w:hAnsi="Verdana"/>
                <w:sz w:val="20"/>
                <w:szCs w:val="20"/>
                <w:lang w:val="es-ES"/>
              </w:rPr>
              <w:t xml:space="preserve">LISTADO </w:t>
            </w:r>
            <w:r>
              <w:rPr>
                <w:rFonts w:ascii="Verdana" w:hAnsi="Verdana"/>
                <w:sz w:val="20"/>
                <w:szCs w:val="20"/>
                <w:lang w:val="es-ES"/>
              </w:rPr>
              <w:t xml:space="preserve">DE </w:t>
            </w:r>
            <w:r w:rsidRPr="00987EA0">
              <w:rPr>
                <w:rFonts w:ascii="Verdana" w:hAnsi="Verdana"/>
                <w:sz w:val="20"/>
                <w:szCs w:val="20"/>
                <w:lang w:val="es-ES"/>
              </w:rPr>
              <w:t>COMUNIDAD</w:t>
            </w:r>
            <w:r>
              <w:rPr>
                <w:rFonts w:ascii="Verdana" w:hAnsi="Verdana"/>
                <w:sz w:val="20"/>
                <w:szCs w:val="20"/>
                <w:lang w:val="es-ES"/>
              </w:rPr>
              <w:t>ES</w:t>
            </w:r>
            <w:r w:rsidRPr="00987EA0">
              <w:rPr>
                <w:rFonts w:ascii="Verdana" w:hAnsi="Verdana"/>
                <w:sz w:val="20"/>
                <w:szCs w:val="20"/>
                <w:lang w:val="es-ES"/>
              </w:rPr>
              <w:t xml:space="preserve"> INDÍGENA</w:t>
            </w:r>
            <w:r>
              <w:rPr>
                <w:rFonts w:ascii="Verdana" w:hAnsi="Verdana"/>
                <w:sz w:val="20"/>
                <w:szCs w:val="20"/>
                <w:lang w:val="es-ES"/>
              </w:rPr>
              <w:t>S</w:t>
            </w:r>
            <w:r w:rsidRPr="00987EA0">
              <w:rPr>
                <w:rFonts w:ascii="Verdana" w:hAnsi="Verdana"/>
                <w:sz w:val="20"/>
                <w:szCs w:val="20"/>
                <w:lang w:val="es-ES"/>
              </w:rPr>
              <w:t xml:space="preserve"> </w:t>
            </w:r>
            <w:r>
              <w:rPr>
                <w:rFonts w:ascii="Verdana" w:hAnsi="Verdana"/>
                <w:sz w:val="20"/>
                <w:szCs w:val="20"/>
                <w:lang w:val="es-ES"/>
              </w:rPr>
              <w:t>INCLUIDAS EN LA PETICIÓN INICIAL CONFORME EL INFORME DE FONDO No. 2/12</w:t>
            </w:r>
          </w:p>
        </w:tc>
      </w:tr>
    </w:tbl>
    <w:p w14:paraId="5E3ABF34" w14:textId="77777777" w:rsidR="00F46A92" w:rsidRDefault="00F46A92" w:rsidP="00F46A92">
      <w:pPr>
        <w:spacing w:line="240" w:lineRule="auto"/>
        <w:jc w:val="center"/>
        <w:rPr>
          <w:rFonts w:ascii="Verdana" w:hAnsi="Verdana"/>
          <w:b/>
          <w:sz w:val="20"/>
          <w:szCs w:val="20"/>
          <w:u w:val="single"/>
          <w:lang w:val="es-ES"/>
        </w:rPr>
      </w:pPr>
    </w:p>
    <w:tbl>
      <w:tblPr>
        <w:tblStyle w:val="Tablaconcuadrcula"/>
        <w:tblW w:w="0" w:type="auto"/>
        <w:tblLook w:val="04A0" w:firstRow="1" w:lastRow="0" w:firstColumn="1" w:lastColumn="0" w:noHBand="0" w:noVBand="1"/>
      </w:tblPr>
      <w:tblGrid>
        <w:gridCol w:w="8828"/>
      </w:tblGrid>
      <w:tr w:rsidR="00F46A92" w:rsidRPr="0075345E" w14:paraId="5FB2F0A1" w14:textId="77777777" w:rsidTr="00425397">
        <w:tc>
          <w:tcPr>
            <w:tcW w:w="9576" w:type="dxa"/>
          </w:tcPr>
          <w:p w14:paraId="0EC61226" w14:textId="77777777" w:rsidR="00F46A92" w:rsidRPr="00100E04" w:rsidRDefault="00F46A92" w:rsidP="00425397">
            <w:pPr>
              <w:pStyle w:val="Prrafodelista"/>
              <w:numPr>
                <w:ilvl w:val="0"/>
                <w:numId w:val="18"/>
              </w:numPr>
              <w:spacing w:after="0" w:line="240" w:lineRule="auto"/>
              <w:jc w:val="both"/>
              <w:rPr>
                <w:rFonts w:ascii="Verdana" w:hAnsi="Verdana"/>
                <w:sz w:val="20"/>
                <w:szCs w:val="20"/>
                <w:lang w:val="es-ES"/>
              </w:rPr>
            </w:pPr>
            <w:r w:rsidRPr="00100E04">
              <w:rPr>
                <w:rFonts w:ascii="Verdana" w:hAnsi="Verdana"/>
                <w:sz w:val="20"/>
                <w:szCs w:val="20"/>
                <w:lang w:val="es-ES"/>
              </w:rPr>
              <w:t xml:space="preserve">Alto </w:t>
            </w:r>
            <w:r>
              <w:rPr>
                <w:rFonts w:ascii="Verdana" w:hAnsi="Verdana"/>
                <w:sz w:val="20"/>
                <w:szCs w:val="20"/>
                <w:lang w:val="es-ES"/>
              </w:rPr>
              <w:t>L</w:t>
            </w:r>
            <w:r w:rsidRPr="00100E04">
              <w:rPr>
                <w:rFonts w:ascii="Verdana" w:hAnsi="Verdana"/>
                <w:sz w:val="20"/>
                <w:szCs w:val="20"/>
                <w:lang w:val="es-ES"/>
              </w:rPr>
              <w:t xml:space="preserve">a </w:t>
            </w:r>
            <w:r>
              <w:rPr>
                <w:rFonts w:ascii="Verdana" w:hAnsi="Verdana"/>
                <w:sz w:val="20"/>
                <w:szCs w:val="20"/>
                <w:lang w:val="es-ES"/>
              </w:rPr>
              <w:t>S</w:t>
            </w:r>
            <w:r w:rsidRPr="00100E04">
              <w:rPr>
                <w:rFonts w:ascii="Verdana" w:hAnsi="Verdana"/>
                <w:sz w:val="20"/>
                <w:szCs w:val="20"/>
                <w:lang w:val="es-ES"/>
              </w:rPr>
              <w:t>ierra</w:t>
            </w:r>
          </w:p>
        </w:tc>
      </w:tr>
      <w:tr w:rsidR="00F46A92" w:rsidRPr="0075345E" w14:paraId="43A60670" w14:textId="77777777" w:rsidTr="00425397">
        <w:tc>
          <w:tcPr>
            <w:tcW w:w="9576" w:type="dxa"/>
          </w:tcPr>
          <w:p w14:paraId="6EC62C7F" w14:textId="77777777" w:rsidR="00F46A92" w:rsidRPr="00100E04" w:rsidRDefault="00F46A92" w:rsidP="00425397">
            <w:pPr>
              <w:pStyle w:val="Prrafodelista"/>
              <w:numPr>
                <w:ilvl w:val="0"/>
                <w:numId w:val="18"/>
              </w:numPr>
              <w:spacing w:after="0" w:line="240" w:lineRule="auto"/>
              <w:jc w:val="both"/>
              <w:rPr>
                <w:rFonts w:ascii="Verdana" w:hAnsi="Verdana"/>
                <w:sz w:val="20"/>
                <w:szCs w:val="20"/>
                <w:lang w:val="es-ES"/>
              </w:rPr>
            </w:pPr>
            <w:r w:rsidRPr="00100E04">
              <w:rPr>
                <w:rFonts w:ascii="Verdana" w:hAnsi="Verdana"/>
                <w:sz w:val="20"/>
                <w:szCs w:val="20"/>
                <w:lang w:val="es-ES"/>
              </w:rPr>
              <w:t xml:space="preserve">Bajo </w:t>
            </w:r>
            <w:r>
              <w:rPr>
                <w:rFonts w:ascii="Verdana" w:hAnsi="Verdana"/>
                <w:sz w:val="20"/>
                <w:szCs w:val="20"/>
                <w:lang w:val="es-ES"/>
              </w:rPr>
              <w:t>G</w:t>
            </w:r>
            <w:r w:rsidRPr="00100E04">
              <w:rPr>
                <w:rFonts w:ascii="Verdana" w:hAnsi="Verdana"/>
                <w:sz w:val="20"/>
                <w:szCs w:val="20"/>
                <w:lang w:val="es-ES"/>
              </w:rPr>
              <w:t>rande</w:t>
            </w:r>
          </w:p>
        </w:tc>
      </w:tr>
      <w:tr w:rsidR="00F46A92" w:rsidRPr="0075345E" w14:paraId="0401A4FF" w14:textId="77777777" w:rsidTr="00425397">
        <w:tc>
          <w:tcPr>
            <w:tcW w:w="9576" w:type="dxa"/>
          </w:tcPr>
          <w:p w14:paraId="5351CBBB" w14:textId="77777777" w:rsidR="00F46A92" w:rsidRPr="00100E04" w:rsidRDefault="00F46A92" w:rsidP="00425397">
            <w:pPr>
              <w:pStyle w:val="Prrafodelista"/>
              <w:numPr>
                <w:ilvl w:val="0"/>
                <w:numId w:val="18"/>
              </w:numPr>
              <w:spacing w:after="0" w:line="240" w:lineRule="auto"/>
              <w:jc w:val="both"/>
              <w:rPr>
                <w:rFonts w:ascii="Verdana" w:hAnsi="Verdana"/>
                <w:sz w:val="20"/>
                <w:szCs w:val="20"/>
                <w:lang w:val="es-ES"/>
              </w:rPr>
            </w:pPr>
            <w:r w:rsidRPr="00100E04">
              <w:rPr>
                <w:rFonts w:ascii="Verdana" w:hAnsi="Verdana"/>
                <w:sz w:val="20"/>
                <w:szCs w:val="20"/>
                <w:lang w:val="es-ES"/>
              </w:rPr>
              <w:t xml:space="preserve">Bella </w:t>
            </w:r>
            <w:r>
              <w:rPr>
                <w:rFonts w:ascii="Verdana" w:hAnsi="Verdana"/>
                <w:sz w:val="20"/>
                <w:szCs w:val="20"/>
                <w:lang w:val="es-ES"/>
              </w:rPr>
              <w:t>V</w:t>
            </w:r>
            <w:r w:rsidRPr="00100E04">
              <w:rPr>
                <w:rFonts w:ascii="Verdana" w:hAnsi="Verdana"/>
                <w:sz w:val="20"/>
                <w:szCs w:val="20"/>
                <w:lang w:val="es-ES"/>
              </w:rPr>
              <w:t>ista</w:t>
            </w:r>
          </w:p>
        </w:tc>
      </w:tr>
      <w:tr w:rsidR="00F46A92" w:rsidRPr="0075345E" w14:paraId="41E0B943" w14:textId="77777777" w:rsidTr="00425397">
        <w:tc>
          <w:tcPr>
            <w:tcW w:w="9576" w:type="dxa"/>
          </w:tcPr>
          <w:p w14:paraId="4E2378DE" w14:textId="77777777" w:rsidR="00F46A92" w:rsidRPr="00100E04" w:rsidRDefault="00F46A92" w:rsidP="00425397">
            <w:pPr>
              <w:pStyle w:val="Prrafodelista"/>
              <w:numPr>
                <w:ilvl w:val="0"/>
                <w:numId w:val="18"/>
              </w:numPr>
              <w:spacing w:after="0" w:line="240" w:lineRule="auto"/>
              <w:jc w:val="both"/>
              <w:rPr>
                <w:rFonts w:ascii="Verdana" w:hAnsi="Verdana"/>
                <w:sz w:val="20"/>
                <w:szCs w:val="20"/>
                <w:lang w:val="es-ES"/>
              </w:rPr>
            </w:pPr>
            <w:r w:rsidRPr="00100E04">
              <w:rPr>
                <w:rFonts w:ascii="Verdana" w:hAnsi="Verdana"/>
                <w:sz w:val="20"/>
                <w:szCs w:val="20"/>
                <w:lang w:val="es-ES"/>
              </w:rPr>
              <w:t>Cañaveral</w:t>
            </w:r>
          </w:p>
        </w:tc>
      </w:tr>
      <w:tr w:rsidR="00F46A92" w:rsidRPr="0075345E" w14:paraId="7E6E6BF8" w14:textId="77777777" w:rsidTr="00425397">
        <w:tc>
          <w:tcPr>
            <w:tcW w:w="9576" w:type="dxa"/>
          </w:tcPr>
          <w:p w14:paraId="6530064C" w14:textId="77777777" w:rsidR="00F46A92" w:rsidRPr="00100E04" w:rsidRDefault="00F46A92" w:rsidP="00425397">
            <w:pPr>
              <w:pStyle w:val="Prrafodelista"/>
              <w:numPr>
                <w:ilvl w:val="0"/>
                <w:numId w:val="18"/>
              </w:numPr>
              <w:spacing w:after="0" w:line="240" w:lineRule="auto"/>
              <w:jc w:val="both"/>
              <w:rPr>
                <w:rFonts w:ascii="Verdana" w:hAnsi="Verdana"/>
                <w:sz w:val="20"/>
                <w:szCs w:val="20"/>
                <w:lang w:val="es-ES"/>
              </w:rPr>
            </w:pPr>
            <w:r w:rsidRPr="00100E04">
              <w:rPr>
                <w:rFonts w:ascii="Verdana" w:hAnsi="Verdana"/>
                <w:sz w:val="20"/>
                <w:szCs w:val="20"/>
                <w:lang w:val="es-ES"/>
              </w:rPr>
              <w:t xml:space="preserve"> El </w:t>
            </w:r>
            <w:r>
              <w:rPr>
                <w:rFonts w:ascii="Verdana" w:hAnsi="Verdana"/>
                <w:sz w:val="20"/>
                <w:szCs w:val="20"/>
                <w:lang w:val="es-ES"/>
              </w:rPr>
              <w:t>P</w:t>
            </w:r>
            <w:r w:rsidRPr="00100E04">
              <w:rPr>
                <w:rFonts w:ascii="Verdana" w:hAnsi="Verdana"/>
                <w:sz w:val="20"/>
                <w:szCs w:val="20"/>
                <w:lang w:val="es-ES"/>
              </w:rPr>
              <w:t xml:space="preserve">in </w:t>
            </w:r>
            <w:r>
              <w:rPr>
                <w:rFonts w:ascii="Verdana" w:hAnsi="Verdana"/>
                <w:sz w:val="20"/>
                <w:szCs w:val="20"/>
                <w:lang w:val="es-ES"/>
              </w:rPr>
              <w:t>P</w:t>
            </w:r>
            <w:r w:rsidRPr="00100E04">
              <w:rPr>
                <w:rFonts w:ascii="Verdana" w:hAnsi="Verdana"/>
                <w:sz w:val="20"/>
                <w:szCs w:val="20"/>
                <w:lang w:val="es-ES"/>
              </w:rPr>
              <w:t>in</w:t>
            </w:r>
          </w:p>
        </w:tc>
      </w:tr>
      <w:tr w:rsidR="00F46A92" w:rsidRPr="0083307C" w14:paraId="0D94B67B" w14:textId="77777777" w:rsidTr="00425397">
        <w:tc>
          <w:tcPr>
            <w:tcW w:w="9576" w:type="dxa"/>
          </w:tcPr>
          <w:p w14:paraId="6D310B8B" w14:textId="77777777" w:rsidR="00F46A92" w:rsidRPr="00100E04" w:rsidRDefault="00F46A92" w:rsidP="00425397">
            <w:pPr>
              <w:pStyle w:val="Prrafodelista"/>
              <w:numPr>
                <w:ilvl w:val="0"/>
                <w:numId w:val="18"/>
              </w:numPr>
              <w:spacing w:after="0" w:line="240" w:lineRule="auto"/>
              <w:jc w:val="both"/>
              <w:rPr>
                <w:rFonts w:ascii="Verdana" w:hAnsi="Verdana"/>
                <w:sz w:val="20"/>
                <w:szCs w:val="20"/>
                <w:lang w:val="es-ES"/>
              </w:rPr>
            </w:pPr>
            <w:r w:rsidRPr="00100E04">
              <w:rPr>
                <w:rFonts w:ascii="Verdana" w:hAnsi="Verdana"/>
                <w:sz w:val="20"/>
                <w:szCs w:val="20"/>
                <w:lang w:val="es-ES"/>
              </w:rPr>
              <w:t xml:space="preserve">La </w:t>
            </w:r>
            <w:r>
              <w:rPr>
                <w:rFonts w:ascii="Verdana" w:hAnsi="Verdana"/>
                <w:sz w:val="20"/>
                <w:szCs w:val="20"/>
                <w:lang w:val="es-ES"/>
              </w:rPr>
              <w:t>B</w:t>
            </w:r>
            <w:r w:rsidRPr="00100E04">
              <w:rPr>
                <w:rFonts w:ascii="Verdana" w:hAnsi="Verdana"/>
                <w:sz w:val="20"/>
                <w:szCs w:val="20"/>
                <w:lang w:val="es-ES"/>
              </w:rPr>
              <w:t>olsa</w:t>
            </w:r>
          </w:p>
        </w:tc>
      </w:tr>
      <w:tr w:rsidR="00F46A92" w:rsidRPr="0083307C" w14:paraId="524479EE" w14:textId="77777777" w:rsidTr="00425397">
        <w:tc>
          <w:tcPr>
            <w:tcW w:w="9576" w:type="dxa"/>
          </w:tcPr>
          <w:p w14:paraId="1D293E37" w14:textId="77777777" w:rsidR="00F46A92" w:rsidRPr="00100E04" w:rsidRDefault="00F46A92" w:rsidP="00425397">
            <w:pPr>
              <w:pStyle w:val="Prrafodelista"/>
              <w:numPr>
                <w:ilvl w:val="0"/>
                <w:numId w:val="18"/>
              </w:numPr>
              <w:spacing w:after="0" w:line="240" w:lineRule="auto"/>
              <w:jc w:val="both"/>
              <w:rPr>
                <w:rFonts w:ascii="Verdana" w:hAnsi="Verdana"/>
                <w:sz w:val="20"/>
                <w:szCs w:val="20"/>
                <w:lang w:val="es-ES"/>
              </w:rPr>
            </w:pPr>
            <w:r w:rsidRPr="00100E04">
              <w:rPr>
                <w:rFonts w:ascii="Verdana" w:hAnsi="Verdana"/>
                <w:sz w:val="20"/>
                <w:szCs w:val="20"/>
                <w:lang w:val="es-ES"/>
              </w:rPr>
              <w:t xml:space="preserve">La </w:t>
            </w:r>
            <w:r>
              <w:rPr>
                <w:rFonts w:ascii="Verdana" w:hAnsi="Verdana"/>
                <w:sz w:val="20"/>
                <w:szCs w:val="20"/>
                <w:lang w:val="es-ES"/>
              </w:rPr>
              <w:t>C</w:t>
            </w:r>
            <w:r w:rsidRPr="00100E04">
              <w:rPr>
                <w:rFonts w:ascii="Verdana" w:hAnsi="Verdana"/>
                <w:sz w:val="20"/>
                <w:szCs w:val="20"/>
                <w:lang w:val="es-ES"/>
              </w:rPr>
              <w:t>urvita</w:t>
            </w:r>
          </w:p>
        </w:tc>
      </w:tr>
      <w:tr w:rsidR="00F46A92" w14:paraId="1A265F22" w14:textId="77777777" w:rsidTr="00425397">
        <w:tc>
          <w:tcPr>
            <w:tcW w:w="9576" w:type="dxa"/>
          </w:tcPr>
          <w:p w14:paraId="280670E9" w14:textId="77777777" w:rsidR="00F46A92" w:rsidRPr="00100E04" w:rsidRDefault="00F46A92" w:rsidP="00425397">
            <w:pPr>
              <w:pStyle w:val="Prrafodelista"/>
              <w:numPr>
                <w:ilvl w:val="0"/>
                <w:numId w:val="18"/>
              </w:numPr>
              <w:spacing w:after="0" w:line="240" w:lineRule="auto"/>
              <w:jc w:val="both"/>
              <w:rPr>
                <w:rFonts w:ascii="Verdana" w:hAnsi="Verdana"/>
                <w:sz w:val="20"/>
                <w:szCs w:val="20"/>
                <w:lang w:val="es-ES"/>
              </w:rPr>
            </w:pPr>
            <w:r w:rsidRPr="00100E04">
              <w:rPr>
                <w:rFonts w:ascii="Verdana" w:hAnsi="Verdana"/>
                <w:sz w:val="20"/>
                <w:szCs w:val="20"/>
                <w:lang w:val="es-ES"/>
              </w:rPr>
              <w:t xml:space="preserve">La </w:t>
            </w:r>
            <w:r>
              <w:rPr>
                <w:rFonts w:ascii="Verdana" w:hAnsi="Verdana"/>
                <w:sz w:val="20"/>
                <w:szCs w:val="20"/>
                <w:lang w:val="es-ES"/>
              </w:rPr>
              <w:t>G</w:t>
            </w:r>
            <w:r w:rsidRPr="00100E04">
              <w:rPr>
                <w:rFonts w:ascii="Verdana" w:hAnsi="Verdana"/>
                <w:sz w:val="20"/>
                <w:szCs w:val="20"/>
                <w:lang w:val="es-ES"/>
              </w:rPr>
              <w:t>racia</w:t>
            </w:r>
          </w:p>
        </w:tc>
      </w:tr>
      <w:tr w:rsidR="00F46A92" w14:paraId="5225AB65" w14:textId="77777777" w:rsidTr="00425397">
        <w:tc>
          <w:tcPr>
            <w:tcW w:w="9576" w:type="dxa"/>
          </w:tcPr>
          <w:p w14:paraId="4D1C4F93" w14:textId="77777777" w:rsidR="00F46A92" w:rsidRPr="00100E04" w:rsidRDefault="00F46A92" w:rsidP="00425397">
            <w:pPr>
              <w:pStyle w:val="Prrafodelista"/>
              <w:numPr>
                <w:ilvl w:val="0"/>
                <w:numId w:val="18"/>
              </w:numPr>
              <w:spacing w:after="0" w:line="240" w:lineRule="auto"/>
              <w:jc w:val="both"/>
              <w:rPr>
                <w:rFonts w:ascii="Verdana" w:hAnsi="Verdana"/>
                <w:sz w:val="20"/>
                <w:szCs w:val="20"/>
                <w:lang w:val="es-ES"/>
              </w:rPr>
            </w:pPr>
            <w:r>
              <w:rPr>
                <w:rFonts w:ascii="Verdana" w:hAnsi="Verdana"/>
                <w:sz w:val="20"/>
                <w:szCs w:val="20"/>
                <w:lang w:val="es-ES"/>
              </w:rPr>
              <w:t>La M</w:t>
            </w:r>
            <w:r w:rsidRPr="00100E04">
              <w:rPr>
                <w:rFonts w:ascii="Verdana" w:hAnsi="Verdana"/>
                <w:sz w:val="20"/>
                <w:szCs w:val="20"/>
                <w:lang w:val="es-ES"/>
              </w:rPr>
              <w:t xml:space="preserve">erced </w:t>
            </w:r>
            <w:r>
              <w:rPr>
                <w:rFonts w:ascii="Verdana" w:hAnsi="Verdana"/>
                <w:sz w:val="20"/>
                <w:szCs w:val="20"/>
                <w:lang w:val="es-ES"/>
              </w:rPr>
              <w:t>N</w:t>
            </w:r>
            <w:r w:rsidRPr="00100E04">
              <w:rPr>
                <w:rFonts w:ascii="Verdana" w:hAnsi="Verdana"/>
                <w:sz w:val="20"/>
                <w:szCs w:val="20"/>
                <w:lang w:val="es-ES"/>
              </w:rPr>
              <w:t>ueva</w:t>
            </w:r>
          </w:p>
        </w:tc>
      </w:tr>
      <w:tr w:rsidR="00F46A92" w14:paraId="7F0787C4" w14:textId="77777777" w:rsidTr="00425397">
        <w:tc>
          <w:tcPr>
            <w:tcW w:w="9576" w:type="dxa"/>
          </w:tcPr>
          <w:p w14:paraId="0A2D183D" w14:textId="77777777" w:rsidR="00F46A92" w:rsidRPr="00100E04" w:rsidRDefault="00F46A92" w:rsidP="00425397">
            <w:pPr>
              <w:pStyle w:val="Prrafodelista"/>
              <w:numPr>
                <w:ilvl w:val="0"/>
                <w:numId w:val="18"/>
              </w:numPr>
              <w:spacing w:after="0" w:line="240" w:lineRule="auto"/>
              <w:jc w:val="both"/>
              <w:rPr>
                <w:rFonts w:ascii="Verdana" w:hAnsi="Verdana"/>
                <w:sz w:val="20"/>
                <w:szCs w:val="20"/>
                <w:lang w:val="es-ES"/>
              </w:rPr>
            </w:pPr>
            <w:r w:rsidRPr="00100E04">
              <w:rPr>
                <w:rFonts w:ascii="Verdana" w:hAnsi="Verdana"/>
                <w:sz w:val="20"/>
                <w:szCs w:val="20"/>
                <w:lang w:val="es-ES"/>
              </w:rPr>
              <w:t xml:space="preserve">La </w:t>
            </w:r>
            <w:r>
              <w:rPr>
                <w:rFonts w:ascii="Verdana" w:hAnsi="Verdana"/>
                <w:sz w:val="20"/>
                <w:szCs w:val="20"/>
                <w:lang w:val="es-ES"/>
              </w:rPr>
              <w:t>M</w:t>
            </w:r>
            <w:r w:rsidRPr="00100E04">
              <w:rPr>
                <w:rFonts w:ascii="Verdana" w:hAnsi="Verdana"/>
                <w:sz w:val="20"/>
                <w:szCs w:val="20"/>
                <w:lang w:val="es-ES"/>
              </w:rPr>
              <w:t xml:space="preserve">erced </w:t>
            </w:r>
            <w:r>
              <w:rPr>
                <w:rFonts w:ascii="Verdana" w:hAnsi="Verdana"/>
                <w:sz w:val="20"/>
                <w:szCs w:val="20"/>
                <w:lang w:val="es-ES"/>
              </w:rPr>
              <w:t>V</w:t>
            </w:r>
            <w:r w:rsidRPr="00100E04">
              <w:rPr>
                <w:rFonts w:ascii="Verdana" w:hAnsi="Verdana"/>
                <w:sz w:val="20"/>
                <w:szCs w:val="20"/>
                <w:lang w:val="es-ES"/>
              </w:rPr>
              <w:t>ieja</w:t>
            </w:r>
          </w:p>
        </w:tc>
      </w:tr>
      <w:tr w:rsidR="00F46A92" w14:paraId="468B3C69" w14:textId="77777777" w:rsidTr="00425397">
        <w:tc>
          <w:tcPr>
            <w:tcW w:w="9576" w:type="dxa"/>
          </w:tcPr>
          <w:p w14:paraId="5EF05F77" w14:textId="77777777" w:rsidR="00F46A92" w:rsidRPr="00100E04" w:rsidRDefault="00F46A92" w:rsidP="00425397">
            <w:pPr>
              <w:pStyle w:val="Prrafodelista"/>
              <w:numPr>
                <w:ilvl w:val="0"/>
                <w:numId w:val="18"/>
              </w:numPr>
              <w:spacing w:after="0" w:line="240" w:lineRule="auto"/>
              <w:jc w:val="both"/>
              <w:rPr>
                <w:rFonts w:ascii="Verdana" w:hAnsi="Verdana"/>
                <w:sz w:val="20"/>
                <w:szCs w:val="20"/>
                <w:lang w:val="es-ES"/>
              </w:rPr>
            </w:pPr>
            <w:r w:rsidRPr="00100E04">
              <w:rPr>
                <w:rFonts w:ascii="Verdana" w:hAnsi="Verdana"/>
                <w:sz w:val="20"/>
                <w:szCs w:val="20"/>
                <w:lang w:val="es-ES"/>
              </w:rPr>
              <w:t xml:space="preserve">La </w:t>
            </w:r>
            <w:r>
              <w:rPr>
                <w:rFonts w:ascii="Verdana" w:hAnsi="Verdana"/>
                <w:sz w:val="20"/>
                <w:szCs w:val="20"/>
                <w:lang w:val="es-ES"/>
              </w:rPr>
              <w:t>P</w:t>
            </w:r>
            <w:r w:rsidRPr="00100E04">
              <w:rPr>
                <w:rFonts w:ascii="Verdana" w:hAnsi="Verdana"/>
                <w:sz w:val="20"/>
                <w:szCs w:val="20"/>
                <w:lang w:val="es-ES"/>
              </w:rPr>
              <w:t>untana</w:t>
            </w:r>
          </w:p>
        </w:tc>
      </w:tr>
      <w:tr w:rsidR="00F46A92" w14:paraId="24793BEC" w14:textId="77777777" w:rsidTr="00425397">
        <w:tc>
          <w:tcPr>
            <w:tcW w:w="9576" w:type="dxa"/>
          </w:tcPr>
          <w:p w14:paraId="66995C5D" w14:textId="77777777" w:rsidR="00F46A92" w:rsidRPr="00100E04" w:rsidRDefault="00F46A92" w:rsidP="00425397">
            <w:pPr>
              <w:pStyle w:val="Prrafodelista"/>
              <w:numPr>
                <w:ilvl w:val="0"/>
                <w:numId w:val="18"/>
              </w:numPr>
              <w:spacing w:after="0" w:line="240" w:lineRule="auto"/>
              <w:jc w:val="both"/>
              <w:rPr>
                <w:rFonts w:ascii="Verdana" w:hAnsi="Verdana"/>
                <w:sz w:val="20"/>
                <w:szCs w:val="20"/>
                <w:lang w:val="es-ES"/>
              </w:rPr>
            </w:pPr>
            <w:r w:rsidRPr="00100E04">
              <w:rPr>
                <w:rFonts w:ascii="Verdana" w:hAnsi="Verdana"/>
                <w:sz w:val="20"/>
                <w:szCs w:val="20"/>
                <w:lang w:val="es-ES"/>
              </w:rPr>
              <w:t xml:space="preserve">Las </w:t>
            </w:r>
            <w:r>
              <w:rPr>
                <w:rFonts w:ascii="Verdana" w:hAnsi="Verdana"/>
                <w:sz w:val="20"/>
                <w:szCs w:val="20"/>
                <w:lang w:val="es-ES"/>
              </w:rPr>
              <w:t>V</w:t>
            </w:r>
            <w:r w:rsidRPr="00100E04">
              <w:rPr>
                <w:rFonts w:ascii="Verdana" w:hAnsi="Verdana"/>
                <w:sz w:val="20"/>
                <w:szCs w:val="20"/>
                <w:lang w:val="es-ES"/>
              </w:rPr>
              <w:t>ertientes</w:t>
            </w:r>
          </w:p>
        </w:tc>
      </w:tr>
      <w:tr w:rsidR="00F46A92" w14:paraId="47118650" w14:textId="77777777" w:rsidTr="00425397">
        <w:tc>
          <w:tcPr>
            <w:tcW w:w="9576" w:type="dxa"/>
          </w:tcPr>
          <w:p w14:paraId="59FC81EF" w14:textId="77777777" w:rsidR="00F46A92" w:rsidRPr="00100E04" w:rsidRDefault="00F46A92" w:rsidP="00425397">
            <w:pPr>
              <w:pStyle w:val="Prrafodelista"/>
              <w:numPr>
                <w:ilvl w:val="0"/>
                <w:numId w:val="18"/>
              </w:numPr>
              <w:spacing w:after="0" w:line="240" w:lineRule="auto"/>
              <w:jc w:val="both"/>
              <w:rPr>
                <w:rFonts w:ascii="Verdana" w:hAnsi="Verdana"/>
                <w:sz w:val="20"/>
                <w:szCs w:val="20"/>
                <w:lang w:val="es-ES"/>
              </w:rPr>
            </w:pPr>
            <w:r w:rsidRPr="00100E04">
              <w:rPr>
                <w:rFonts w:ascii="Verdana" w:hAnsi="Verdana"/>
                <w:sz w:val="20"/>
                <w:szCs w:val="20"/>
                <w:lang w:val="es-ES"/>
              </w:rPr>
              <w:t>Misión la paz km. 1 y 2</w:t>
            </w:r>
          </w:p>
        </w:tc>
      </w:tr>
      <w:tr w:rsidR="00F46A92" w14:paraId="5CA32151" w14:textId="77777777" w:rsidTr="00425397">
        <w:tc>
          <w:tcPr>
            <w:tcW w:w="9576" w:type="dxa"/>
          </w:tcPr>
          <w:p w14:paraId="065A98C3" w14:textId="77777777" w:rsidR="00F46A92" w:rsidRPr="00100E04" w:rsidRDefault="00F46A92" w:rsidP="00425397">
            <w:pPr>
              <w:pStyle w:val="Prrafodelista"/>
              <w:numPr>
                <w:ilvl w:val="0"/>
                <w:numId w:val="18"/>
              </w:numPr>
              <w:spacing w:after="0" w:line="240" w:lineRule="auto"/>
              <w:jc w:val="both"/>
              <w:rPr>
                <w:rFonts w:ascii="Verdana" w:hAnsi="Verdana"/>
                <w:sz w:val="20"/>
                <w:szCs w:val="20"/>
                <w:lang w:val="es-ES"/>
              </w:rPr>
            </w:pPr>
            <w:r w:rsidRPr="00100E04">
              <w:rPr>
                <w:rFonts w:ascii="Verdana" w:hAnsi="Verdana"/>
                <w:sz w:val="20"/>
                <w:szCs w:val="20"/>
                <w:lang w:val="es-ES"/>
              </w:rPr>
              <w:t xml:space="preserve">Monte </w:t>
            </w:r>
            <w:r>
              <w:rPr>
                <w:rFonts w:ascii="Verdana" w:hAnsi="Verdana"/>
                <w:sz w:val="20"/>
                <w:szCs w:val="20"/>
                <w:lang w:val="es-ES"/>
              </w:rPr>
              <w:t>C</w:t>
            </w:r>
            <w:r w:rsidRPr="00100E04">
              <w:rPr>
                <w:rFonts w:ascii="Verdana" w:hAnsi="Verdana"/>
                <w:sz w:val="20"/>
                <w:szCs w:val="20"/>
                <w:lang w:val="es-ES"/>
              </w:rPr>
              <w:t>armelo</w:t>
            </w:r>
          </w:p>
        </w:tc>
      </w:tr>
      <w:tr w:rsidR="00F46A92" w14:paraId="762A51D8" w14:textId="77777777" w:rsidTr="00425397">
        <w:tc>
          <w:tcPr>
            <w:tcW w:w="9576" w:type="dxa"/>
          </w:tcPr>
          <w:p w14:paraId="79420E44" w14:textId="77777777" w:rsidR="00F46A92" w:rsidRPr="00100E04" w:rsidRDefault="00F46A92" w:rsidP="00425397">
            <w:pPr>
              <w:pStyle w:val="Prrafodelista"/>
              <w:numPr>
                <w:ilvl w:val="0"/>
                <w:numId w:val="18"/>
              </w:numPr>
              <w:spacing w:after="0" w:line="240" w:lineRule="auto"/>
              <w:jc w:val="both"/>
              <w:rPr>
                <w:rFonts w:ascii="Verdana" w:hAnsi="Verdana"/>
                <w:sz w:val="20"/>
                <w:szCs w:val="20"/>
                <w:lang w:val="es-ES"/>
              </w:rPr>
            </w:pPr>
            <w:r w:rsidRPr="00100E04">
              <w:rPr>
                <w:rFonts w:ascii="Verdana" w:hAnsi="Verdana"/>
                <w:sz w:val="20"/>
                <w:szCs w:val="20"/>
                <w:lang w:val="es-ES"/>
              </w:rPr>
              <w:t xml:space="preserve">Pozo </w:t>
            </w:r>
            <w:r>
              <w:rPr>
                <w:rFonts w:ascii="Verdana" w:hAnsi="Verdana"/>
                <w:sz w:val="20"/>
                <w:szCs w:val="20"/>
                <w:lang w:val="es-ES"/>
              </w:rPr>
              <w:t>E</w:t>
            </w:r>
            <w:r w:rsidRPr="00100E04">
              <w:rPr>
                <w:rFonts w:ascii="Verdana" w:hAnsi="Verdana"/>
                <w:sz w:val="20"/>
                <w:szCs w:val="20"/>
                <w:lang w:val="es-ES"/>
              </w:rPr>
              <w:t xml:space="preserve">l </w:t>
            </w:r>
            <w:r>
              <w:rPr>
                <w:rFonts w:ascii="Verdana" w:hAnsi="Verdana"/>
                <w:sz w:val="20"/>
                <w:szCs w:val="20"/>
                <w:lang w:val="es-ES"/>
              </w:rPr>
              <w:t>M</w:t>
            </w:r>
            <w:r w:rsidRPr="00100E04">
              <w:rPr>
                <w:rFonts w:ascii="Verdana" w:hAnsi="Verdana"/>
                <w:sz w:val="20"/>
                <w:szCs w:val="20"/>
                <w:lang w:val="es-ES"/>
              </w:rPr>
              <w:t>ulato</w:t>
            </w:r>
          </w:p>
        </w:tc>
      </w:tr>
      <w:tr w:rsidR="00F46A92" w14:paraId="26A2C504" w14:textId="77777777" w:rsidTr="00425397">
        <w:tc>
          <w:tcPr>
            <w:tcW w:w="9576" w:type="dxa"/>
          </w:tcPr>
          <w:p w14:paraId="5092B125" w14:textId="77777777" w:rsidR="00F46A92" w:rsidRPr="00100E04" w:rsidRDefault="00F46A92" w:rsidP="00425397">
            <w:pPr>
              <w:pStyle w:val="Prrafodelista"/>
              <w:numPr>
                <w:ilvl w:val="0"/>
                <w:numId w:val="18"/>
              </w:numPr>
              <w:spacing w:after="0" w:line="240" w:lineRule="auto"/>
              <w:jc w:val="both"/>
              <w:rPr>
                <w:rFonts w:ascii="Verdana" w:hAnsi="Verdana"/>
                <w:sz w:val="20"/>
                <w:szCs w:val="20"/>
                <w:lang w:val="es-ES"/>
              </w:rPr>
            </w:pPr>
            <w:r w:rsidRPr="00100E04">
              <w:rPr>
                <w:rFonts w:ascii="Verdana" w:hAnsi="Verdana"/>
                <w:sz w:val="20"/>
                <w:szCs w:val="20"/>
                <w:lang w:val="es-ES"/>
              </w:rPr>
              <w:t xml:space="preserve">Pozo </w:t>
            </w:r>
            <w:r>
              <w:rPr>
                <w:rFonts w:ascii="Verdana" w:hAnsi="Verdana"/>
                <w:sz w:val="20"/>
                <w:szCs w:val="20"/>
                <w:lang w:val="es-ES"/>
              </w:rPr>
              <w:t>E</w:t>
            </w:r>
            <w:r w:rsidRPr="00100E04">
              <w:rPr>
                <w:rFonts w:ascii="Verdana" w:hAnsi="Verdana"/>
                <w:sz w:val="20"/>
                <w:szCs w:val="20"/>
                <w:lang w:val="es-ES"/>
              </w:rPr>
              <w:t xml:space="preserve">l </w:t>
            </w:r>
            <w:r>
              <w:rPr>
                <w:rFonts w:ascii="Verdana" w:hAnsi="Verdana"/>
                <w:sz w:val="20"/>
                <w:szCs w:val="20"/>
                <w:lang w:val="es-ES"/>
              </w:rPr>
              <w:t>T</w:t>
            </w:r>
            <w:r w:rsidRPr="00100E04">
              <w:rPr>
                <w:rFonts w:ascii="Verdana" w:hAnsi="Verdana"/>
                <w:sz w:val="20"/>
                <w:szCs w:val="20"/>
                <w:lang w:val="es-ES"/>
              </w:rPr>
              <w:t>oro</w:t>
            </w:r>
          </w:p>
        </w:tc>
      </w:tr>
      <w:tr w:rsidR="00F46A92" w14:paraId="65AD1812" w14:textId="77777777" w:rsidTr="00425397">
        <w:tc>
          <w:tcPr>
            <w:tcW w:w="9576" w:type="dxa"/>
          </w:tcPr>
          <w:p w14:paraId="4D6CE57F" w14:textId="77777777" w:rsidR="00F46A92" w:rsidRPr="00100E04" w:rsidRDefault="00F46A92" w:rsidP="00425397">
            <w:pPr>
              <w:pStyle w:val="Prrafodelista"/>
              <w:numPr>
                <w:ilvl w:val="0"/>
                <w:numId w:val="18"/>
              </w:numPr>
              <w:spacing w:after="0" w:line="240" w:lineRule="auto"/>
              <w:jc w:val="both"/>
              <w:rPr>
                <w:rFonts w:ascii="Verdana" w:hAnsi="Verdana"/>
                <w:sz w:val="20"/>
                <w:szCs w:val="20"/>
                <w:lang w:val="es-ES"/>
              </w:rPr>
            </w:pPr>
            <w:r w:rsidRPr="00100E04">
              <w:rPr>
                <w:rFonts w:ascii="Verdana" w:hAnsi="Verdana"/>
                <w:sz w:val="20"/>
                <w:szCs w:val="20"/>
                <w:lang w:val="es-ES"/>
              </w:rPr>
              <w:t xml:space="preserve">Pozo del </w:t>
            </w:r>
            <w:r>
              <w:rPr>
                <w:rFonts w:ascii="Verdana" w:hAnsi="Verdana"/>
                <w:sz w:val="20"/>
                <w:szCs w:val="20"/>
                <w:lang w:val="es-ES"/>
              </w:rPr>
              <w:t>T</w:t>
            </w:r>
            <w:r w:rsidRPr="00100E04">
              <w:rPr>
                <w:rFonts w:ascii="Verdana" w:hAnsi="Verdana"/>
                <w:sz w:val="20"/>
                <w:szCs w:val="20"/>
                <w:lang w:val="es-ES"/>
              </w:rPr>
              <w:t xml:space="preserve">igre- </w:t>
            </w:r>
            <w:r>
              <w:rPr>
                <w:rFonts w:ascii="Verdana" w:hAnsi="Verdana"/>
                <w:sz w:val="20"/>
                <w:szCs w:val="20"/>
                <w:lang w:val="es-ES"/>
              </w:rPr>
              <w:t>S</w:t>
            </w:r>
            <w:r w:rsidRPr="00100E04">
              <w:rPr>
                <w:rFonts w:ascii="Verdana" w:hAnsi="Verdana"/>
                <w:sz w:val="20"/>
                <w:szCs w:val="20"/>
                <w:lang w:val="es-ES"/>
              </w:rPr>
              <w:t xml:space="preserve">an </w:t>
            </w:r>
            <w:r>
              <w:rPr>
                <w:rFonts w:ascii="Verdana" w:hAnsi="Verdana"/>
                <w:sz w:val="20"/>
                <w:szCs w:val="20"/>
                <w:lang w:val="es-ES"/>
              </w:rPr>
              <w:t>I</w:t>
            </w:r>
            <w:r w:rsidRPr="00100E04">
              <w:rPr>
                <w:rFonts w:ascii="Verdana" w:hAnsi="Verdana"/>
                <w:sz w:val="20"/>
                <w:szCs w:val="20"/>
                <w:lang w:val="es-ES"/>
              </w:rPr>
              <w:t>gnacio</w:t>
            </w:r>
          </w:p>
        </w:tc>
      </w:tr>
      <w:tr w:rsidR="00F46A92" w14:paraId="46F525BA" w14:textId="77777777" w:rsidTr="00425397">
        <w:tc>
          <w:tcPr>
            <w:tcW w:w="9576" w:type="dxa"/>
          </w:tcPr>
          <w:p w14:paraId="3C8149B3" w14:textId="77777777" w:rsidR="00F46A92" w:rsidRPr="00100E04" w:rsidRDefault="00F46A92" w:rsidP="00425397">
            <w:pPr>
              <w:pStyle w:val="Prrafodelista"/>
              <w:numPr>
                <w:ilvl w:val="0"/>
                <w:numId w:val="18"/>
              </w:numPr>
              <w:spacing w:after="0" w:line="240" w:lineRule="auto"/>
              <w:jc w:val="both"/>
              <w:rPr>
                <w:rFonts w:ascii="Verdana" w:hAnsi="Verdana"/>
                <w:sz w:val="20"/>
                <w:szCs w:val="20"/>
                <w:lang w:val="es-ES"/>
              </w:rPr>
            </w:pPr>
            <w:r w:rsidRPr="00100E04">
              <w:rPr>
                <w:rFonts w:ascii="Verdana" w:hAnsi="Verdana"/>
                <w:sz w:val="20"/>
                <w:szCs w:val="20"/>
                <w:lang w:val="es-ES"/>
              </w:rPr>
              <w:t xml:space="preserve">Pozo </w:t>
            </w:r>
            <w:r>
              <w:rPr>
                <w:rFonts w:ascii="Verdana" w:hAnsi="Verdana"/>
                <w:sz w:val="20"/>
                <w:szCs w:val="20"/>
                <w:lang w:val="es-ES"/>
              </w:rPr>
              <w:t>L</w:t>
            </w:r>
            <w:r w:rsidRPr="00100E04">
              <w:rPr>
                <w:rFonts w:ascii="Verdana" w:hAnsi="Verdana"/>
                <w:sz w:val="20"/>
                <w:szCs w:val="20"/>
                <w:lang w:val="es-ES"/>
              </w:rPr>
              <w:t xml:space="preserve">a </w:t>
            </w:r>
            <w:r>
              <w:rPr>
                <w:rFonts w:ascii="Verdana" w:hAnsi="Verdana"/>
                <w:sz w:val="20"/>
                <w:szCs w:val="20"/>
                <w:lang w:val="es-ES"/>
              </w:rPr>
              <w:t>C</w:t>
            </w:r>
            <w:r w:rsidRPr="00100E04">
              <w:rPr>
                <w:rFonts w:ascii="Verdana" w:hAnsi="Verdana"/>
                <w:sz w:val="20"/>
                <w:szCs w:val="20"/>
                <w:lang w:val="es-ES"/>
              </w:rPr>
              <w:t>hina</w:t>
            </w:r>
          </w:p>
        </w:tc>
      </w:tr>
      <w:tr w:rsidR="00F46A92" w14:paraId="543C97E4" w14:textId="77777777" w:rsidTr="00425397">
        <w:tc>
          <w:tcPr>
            <w:tcW w:w="9576" w:type="dxa"/>
          </w:tcPr>
          <w:p w14:paraId="45B53845" w14:textId="77777777" w:rsidR="00F46A92" w:rsidRPr="00100E04" w:rsidRDefault="00F46A92" w:rsidP="00425397">
            <w:pPr>
              <w:pStyle w:val="Prrafodelista"/>
              <w:numPr>
                <w:ilvl w:val="0"/>
                <w:numId w:val="18"/>
              </w:numPr>
              <w:spacing w:after="0" w:line="240" w:lineRule="auto"/>
              <w:jc w:val="both"/>
              <w:rPr>
                <w:rFonts w:ascii="Verdana" w:hAnsi="Verdana"/>
                <w:sz w:val="20"/>
                <w:szCs w:val="20"/>
                <w:lang w:val="es-ES"/>
              </w:rPr>
            </w:pPr>
            <w:r w:rsidRPr="00100E04">
              <w:rPr>
                <w:rFonts w:ascii="Verdana" w:hAnsi="Verdana"/>
                <w:sz w:val="20"/>
                <w:szCs w:val="20"/>
                <w:lang w:val="es-ES"/>
              </w:rPr>
              <w:t xml:space="preserve">Rancho del </w:t>
            </w:r>
            <w:r>
              <w:rPr>
                <w:rFonts w:ascii="Verdana" w:hAnsi="Verdana"/>
                <w:sz w:val="20"/>
                <w:szCs w:val="20"/>
                <w:lang w:val="es-ES"/>
              </w:rPr>
              <w:t>Ñ</w:t>
            </w:r>
            <w:r w:rsidRPr="00100E04">
              <w:rPr>
                <w:rFonts w:ascii="Verdana" w:hAnsi="Verdana"/>
                <w:sz w:val="20"/>
                <w:szCs w:val="20"/>
                <w:lang w:val="es-ES"/>
              </w:rPr>
              <w:t>ato</w:t>
            </w:r>
          </w:p>
        </w:tc>
      </w:tr>
      <w:tr w:rsidR="00F46A92" w14:paraId="7E8A0D29" w14:textId="77777777" w:rsidTr="00425397">
        <w:tc>
          <w:tcPr>
            <w:tcW w:w="9576" w:type="dxa"/>
          </w:tcPr>
          <w:p w14:paraId="339BE417" w14:textId="77777777" w:rsidR="00F46A92" w:rsidRPr="00100E04" w:rsidRDefault="00F46A92" w:rsidP="00425397">
            <w:pPr>
              <w:pStyle w:val="Prrafodelista"/>
              <w:numPr>
                <w:ilvl w:val="0"/>
                <w:numId w:val="18"/>
              </w:numPr>
              <w:spacing w:after="0" w:line="240" w:lineRule="auto"/>
              <w:jc w:val="both"/>
              <w:rPr>
                <w:rFonts w:ascii="Verdana" w:hAnsi="Verdana"/>
                <w:sz w:val="20"/>
                <w:szCs w:val="20"/>
                <w:lang w:val="es-ES"/>
              </w:rPr>
            </w:pPr>
            <w:r w:rsidRPr="00100E04">
              <w:rPr>
                <w:rFonts w:ascii="Verdana" w:hAnsi="Verdana"/>
                <w:sz w:val="20"/>
                <w:szCs w:val="20"/>
                <w:lang w:val="es-ES"/>
              </w:rPr>
              <w:t>San Luis</w:t>
            </w:r>
          </w:p>
        </w:tc>
      </w:tr>
      <w:tr w:rsidR="00F46A92" w14:paraId="3F7DADE7" w14:textId="77777777" w:rsidTr="00425397">
        <w:tc>
          <w:tcPr>
            <w:tcW w:w="9576" w:type="dxa"/>
          </w:tcPr>
          <w:p w14:paraId="1127D0B0" w14:textId="77777777" w:rsidR="00F46A92" w:rsidRPr="00100E04" w:rsidRDefault="00F46A92" w:rsidP="00425397">
            <w:pPr>
              <w:pStyle w:val="Prrafodelista"/>
              <w:numPr>
                <w:ilvl w:val="0"/>
                <w:numId w:val="18"/>
              </w:numPr>
              <w:spacing w:after="0" w:line="240" w:lineRule="auto"/>
              <w:jc w:val="both"/>
              <w:rPr>
                <w:rFonts w:ascii="Verdana" w:hAnsi="Verdana"/>
                <w:sz w:val="20"/>
                <w:szCs w:val="20"/>
                <w:lang w:val="es-ES"/>
              </w:rPr>
            </w:pPr>
            <w:r w:rsidRPr="00100E04">
              <w:rPr>
                <w:rFonts w:ascii="Verdana" w:hAnsi="Verdana"/>
                <w:sz w:val="20"/>
                <w:szCs w:val="20"/>
                <w:lang w:val="es-ES"/>
              </w:rPr>
              <w:t xml:space="preserve">Santa </w:t>
            </w:r>
            <w:r>
              <w:rPr>
                <w:rFonts w:ascii="Verdana" w:hAnsi="Verdana"/>
                <w:sz w:val="20"/>
                <w:szCs w:val="20"/>
                <w:lang w:val="es-ES"/>
              </w:rPr>
              <w:t>M</w:t>
            </w:r>
            <w:r w:rsidRPr="00100E04">
              <w:rPr>
                <w:rFonts w:ascii="Verdana" w:hAnsi="Verdana"/>
                <w:sz w:val="20"/>
                <w:szCs w:val="20"/>
                <w:lang w:val="es-ES"/>
              </w:rPr>
              <w:t>aría</w:t>
            </w:r>
          </w:p>
        </w:tc>
      </w:tr>
    </w:tbl>
    <w:p w14:paraId="53855913" w14:textId="77777777" w:rsidR="00F46A92" w:rsidRPr="00987EA0" w:rsidRDefault="00F46A92" w:rsidP="00F46A92">
      <w:pPr>
        <w:spacing w:line="240" w:lineRule="auto"/>
        <w:rPr>
          <w:rFonts w:ascii="Verdana" w:hAnsi="Verdana"/>
          <w:sz w:val="20"/>
          <w:szCs w:val="20"/>
          <w:lang w:val="es-ES"/>
        </w:rPr>
      </w:pPr>
    </w:p>
    <w:p w14:paraId="3DB705CB" w14:textId="77777777" w:rsidR="00F46A92" w:rsidRDefault="00F46A92" w:rsidP="00F46A92">
      <w:pPr>
        <w:spacing w:line="240" w:lineRule="auto"/>
        <w:jc w:val="center"/>
        <w:rPr>
          <w:rFonts w:ascii="Verdana" w:hAnsi="Verdana"/>
          <w:b/>
          <w:sz w:val="20"/>
          <w:szCs w:val="20"/>
          <w:u w:val="single"/>
          <w:lang w:val="es-ES"/>
        </w:rPr>
      </w:pPr>
    </w:p>
    <w:p w14:paraId="3166190F" w14:textId="77777777" w:rsidR="00F46A92" w:rsidRDefault="00F46A92" w:rsidP="00F46A92">
      <w:pPr>
        <w:spacing w:line="240" w:lineRule="auto"/>
        <w:jc w:val="center"/>
        <w:rPr>
          <w:rFonts w:ascii="Verdana" w:hAnsi="Verdana"/>
          <w:b/>
          <w:sz w:val="20"/>
          <w:szCs w:val="20"/>
          <w:u w:val="single"/>
          <w:lang w:val="es-ES"/>
        </w:rPr>
      </w:pPr>
      <w:r>
        <w:rPr>
          <w:rFonts w:ascii="Verdana" w:hAnsi="Verdana"/>
          <w:b/>
          <w:sz w:val="20"/>
          <w:szCs w:val="20"/>
          <w:u w:val="single"/>
          <w:lang w:val="es-ES"/>
        </w:rPr>
        <w:br w:type="page"/>
      </w:r>
    </w:p>
    <w:p w14:paraId="34DC25E6" w14:textId="77777777" w:rsidR="00F46A92" w:rsidRDefault="00F46A92" w:rsidP="00F46A92">
      <w:pPr>
        <w:spacing w:line="240" w:lineRule="auto"/>
        <w:jc w:val="center"/>
        <w:rPr>
          <w:rFonts w:ascii="Verdana" w:hAnsi="Verdana"/>
          <w:b/>
          <w:sz w:val="20"/>
          <w:szCs w:val="20"/>
          <w:u w:val="single"/>
          <w:lang w:val="es-ES"/>
        </w:rPr>
      </w:pPr>
    </w:p>
    <w:p w14:paraId="7CA6AD09" w14:textId="77777777" w:rsidR="00F46A92" w:rsidRPr="00F46A92" w:rsidRDefault="00F46A92" w:rsidP="00F46A92">
      <w:pPr>
        <w:pStyle w:val="Ttulo1"/>
        <w:jc w:val="center"/>
        <w:rPr>
          <w:rFonts w:ascii="Verdana" w:hAnsi="Verdana"/>
          <w:color w:val="auto"/>
          <w:sz w:val="20"/>
          <w:szCs w:val="20"/>
          <w:lang w:val="es-ES"/>
        </w:rPr>
      </w:pPr>
      <w:bookmarkStart w:id="379" w:name="_Toc34337611"/>
      <w:r w:rsidRPr="00F46A92">
        <w:rPr>
          <w:rFonts w:ascii="Verdana" w:hAnsi="Verdana"/>
          <w:color w:val="auto"/>
          <w:sz w:val="20"/>
          <w:szCs w:val="20"/>
          <w:lang w:val="es-ES"/>
        </w:rPr>
        <w:t>ANEXO II</w:t>
      </w:r>
      <w:bookmarkEnd w:id="379"/>
    </w:p>
    <w:tbl>
      <w:tblPr>
        <w:tblStyle w:val="Cuadrculamedia1"/>
        <w:tblW w:w="0" w:type="auto"/>
        <w:tblLook w:val="04A0" w:firstRow="1" w:lastRow="0" w:firstColumn="1" w:lastColumn="0" w:noHBand="0" w:noVBand="1"/>
      </w:tblPr>
      <w:tblGrid>
        <w:gridCol w:w="8818"/>
      </w:tblGrid>
      <w:tr w:rsidR="00F46A92" w:rsidRPr="0083307C" w14:paraId="103EDC6A" w14:textId="77777777" w:rsidTr="004253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21493339" w14:textId="77777777" w:rsidR="00F46A92" w:rsidRPr="00987EA0" w:rsidRDefault="00F46A92" w:rsidP="00425397">
            <w:pPr>
              <w:spacing w:line="240" w:lineRule="auto"/>
              <w:jc w:val="center"/>
              <w:rPr>
                <w:rFonts w:ascii="Verdana" w:hAnsi="Verdana"/>
                <w:sz w:val="20"/>
                <w:szCs w:val="20"/>
                <w:lang w:val="es-ES"/>
              </w:rPr>
            </w:pPr>
            <w:r w:rsidRPr="00987EA0">
              <w:rPr>
                <w:rFonts w:ascii="Verdana" w:hAnsi="Verdana"/>
                <w:sz w:val="20"/>
                <w:szCs w:val="20"/>
                <w:lang w:val="es-ES"/>
              </w:rPr>
              <w:t>COMUNIDAD</w:t>
            </w:r>
            <w:r>
              <w:rPr>
                <w:rFonts w:ascii="Verdana" w:hAnsi="Verdana"/>
                <w:sz w:val="20"/>
                <w:szCs w:val="20"/>
                <w:lang w:val="es-ES"/>
              </w:rPr>
              <w:t>ES</w:t>
            </w:r>
            <w:r w:rsidRPr="00987EA0">
              <w:rPr>
                <w:rFonts w:ascii="Verdana" w:hAnsi="Verdana"/>
                <w:sz w:val="20"/>
                <w:szCs w:val="20"/>
                <w:lang w:val="es-ES"/>
              </w:rPr>
              <w:t xml:space="preserve"> INDÍGENA</w:t>
            </w:r>
            <w:r>
              <w:rPr>
                <w:rFonts w:ascii="Verdana" w:hAnsi="Verdana"/>
                <w:sz w:val="20"/>
                <w:szCs w:val="20"/>
                <w:lang w:val="es-ES"/>
              </w:rPr>
              <w:t>S</w:t>
            </w:r>
            <w:r w:rsidRPr="00987EA0">
              <w:rPr>
                <w:rFonts w:ascii="Verdana" w:hAnsi="Verdana"/>
                <w:sz w:val="20"/>
                <w:szCs w:val="20"/>
                <w:lang w:val="es-ES"/>
              </w:rPr>
              <w:t xml:space="preserve"> </w:t>
            </w:r>
            <w:r>
              <w:rPr>
                <w:rFonts w:ascii="Verdana" w:hAnsi="Verdana"/>
                <w:sz w:val="20"/>
                <w:szCs w:val="20"/>
                <w:lang w:val="es-ES"/>
              </w:rPr>
              <w:t>CONSIDERADAS VÍCTIMAS EN EL</w:t>
            </w:r>
            <w:r w:rsidRPr="00987EA0">
              <w:rPr>
                <w:rFonts w:ascii="Verdana" w:hAnsi="Verdana"/>
                <w:sz w:val="20"/>
                <w:szCs w:val="20"/>
                <w:lang w:val="es-ES"/>
              </w:rPr>
              <w:t xml:space="preserve"> INFORME DE FONDO NO. 2/12</w:t>
            </w:r>
          </w:p>
        </w:tc>
      </w:tr>
    </w:tbl>
    <w:p w14:paraId="569A85A7" w14:textId="77777777" w:rsidR="00F46A92" w:rsidRPr="00987EA0" w:rsidRDefault="00F46A92" w:rsidP="00F46A92">
      <w:pPr>
        <w:spacing w:line="240" w:lineRule="auto"/>
        <w:jc w:val="center"/>
        <w:rPr>
          <w:rFonts w:ascii="Verdana" w:hAnsi="Verdana"/>
          <w:sz w:val="20"/>
          <w:szCs w:val="20"/>
          <w:u w:val="single"/>
          <w:lang w:val="es-ES"/>
        </w:rPr>
      </w:pPr>
    </w:p>
    <w:tbl>
      <w:tblPr>
        <w:tblStyle w:val="Tablaconcuadrcula"/>
        <w:tblW w:w="0" w:type="auto"/>
        <w:tblLook w:val="04A0" w:firstRow="1" w:lastRow="0" w:firstColumn="1" w:lastColumn="0" w:noHBand="0" w:noVBand="1"/>
      </w:tblPr>
      <w:tblGrid>
        <w:gridCol w:w="8828"/>
      </w:tblGrid>
      <w:tr w:rsidR="00F46A92" w:rsidRPr="00987EA0" w14:paraId="6999EC60" w14:textId="77777777" w:rsidTr="00425397">
        <w:tc>
          <w:tcPr>
            <w:tcW w:w="9576" w:type="dxa"/>
          </w:tcPr>
          <w:p w14:paraId="01064BE3" w14:textId="77777777" w:rsidR="00F46A92" w:rsidRPr="00987EA0" w:rsidRDefault="00F46A92" w:rsidP="00425397">
            <w:pPr>
              <w:pStyle w:val="Prrafodelista"/>
              <w:numPr>
                <w:ilvl w:val="0"/>
                <w:numId w:val="15"/>
              </w:numPr>
              <w:spacing w:after="0" w:line="240" w:lineRule="auto"/>
              <w:jc w:val="both"/>
              <w:rPr>
                <w:rFonts w:ascii="Verdana" w:hAnsi="Verdana"/>
                <w:sz w:val="20"/>
                <w:szCs w:val="20"/>
                <w:lang w:val="es-ES"/>
              </w:rPr>
            </w:pPr>
            <w:r w:rsidRPr="00987EA0">
              <w:rPr>
                <w:rFonts w:ascii="Verdana" w:hAnsi="Verdana"/>
                <w:sz w:val="20"/>
                <w:szCs w:val="20"/>
                <w:lang w:val="es-ES"/>
              </w:rPr>
              <w:t>Bella Vista</w:t>
            </w:r>
          </w:p>
        </w:tc>
      </w:tr>
      <w:tr w:rsidR="00F46A92" w:rsidRPr="00987EA0" w14:paraId="210E15FB" w14:textId="77777777" w:rsidTr="00425397">
        <w:tc>
          <w:tcPr>
            <w:tcW w:w="9576" w:type="dxa"/>
          </w:tcPr>
          <w:p w14:paraId="510DFF75" w14:textId="77777777" w:rsidR="00F46A92" w:rsidRPr="00987EA0" w:rsidRDefault="00F46A92" w:rsidP="00425397">
            <w:pPr>
              <w:pStyle w:val="Prrafodelista"/>
              <w:numPr>
                <w:ilvl w:val="0"/>
                <w:numId w:val="15"/>
              </w:numPr>
              <w:spacing w:after="0" w:line="240" w:lineRule="auto"/>
              <w:jc w:val="both"/>
              <w:rPr>
                <w:rFonts w:ascii="Verdana" w:hAnsi="Verdana"/>
                <w:sz w:val="20"/>
                <w:szCs w:val="20"/>
                <w:lang w:val="es-ES"/>
              </w:rPr>
            </w:pPr>
            <w:r w:rsidRPr="00987EA0">
              <w:rPr>
                <w:rFonts w:ascii="Verdana" w:hAnsi="Verdana"/>
                <w:sz w:val="20"/>
                <w:szCs w:val="20"/>
                <w:lang w:val="es-ES"/>
              </w:rPr>
              <w:t>El Cañaveral 1</w:t>
            </w:r>
          </w:p>
        </w:tc>
      </w:tr>
      <w:tr w:rsidR="00F46A92" w:rsidRPr="0083307C" w14:paraId="79808AB1" w14:textId="77777777" w:rsidTr="00425397">
        <w:tc>
          <w:tcPr>
            <w:tcW w:w="9576" w:type="dxa"/>
          </w:tcPr>
          <w:p w14:paraId="346DF5EE" w14:textId="77777777" w:rsidR="00F46A92" w:rsidRPr="00987EA0" w:rsidRDefault="00F46A92" w:rsidP="00425397">
            <w:pPr>
              <w:pStyle w:val="Prrafodelista"/>
              <w:numPr>
                <w:ilvl w:val="0"/>
                <w:numId w:val="15"/>
              </w:numPr>
              <w:spacing w:after="0" w:line="240" w:lineRule="auto"/>
              <w:jc w:val="both"/>
              <w:rPr>
                <w:rFonts w:ascii="Verdana" w:hAnsi="Verdana"/>
                <w:sz w:val="20"/>
                <w:szCs w:val="20"/>
                <w:lang w:val="es-ES"/>
              </w:rPr>
            </w:pPr>
            <w:r>
              <w:rPr>
                <w:rFonts w:ascii="Verdana" w:hAnsi="Verdana"/>
                <w:sz w:val="20"/>
                <w:szCs w:val="20"/>
                <w:lang w:val="es-ES"/>
              </w:rPr>
              <w:t xml:space="preserve">El </w:t>
            </w:r>
            <w:r w:rsidRPr="00987EA0">
              <w:rPr>
                <w:rFonts w:ascii="Verdana" w:hAnsi="Verdana"/>
                <w:sz w:val="20"/>
                <w:szCs w:val="20"/>
                <w:lang w:val="es-ES"/>
              </w:rPr>
              <w:t>Cercado</w:t>
            </w:r>
          </w:p>
        </w:tc>
      </w:tr>
      <w:tr w:rsidR="00F46A92" w:rsidRPr="00987EA0" w14:paraId="1767D79C" w14:textId="77777777" w:rsidTr="00425397">
        <w:tc>
          <w:tcPr>
            <w:tcW w:w="9576" w:type="dxa"/>
          </w:tcPr>
          <w:p w14:paraId="5355A355" w14:textId="77777777" w:rsidR="00F46A92" w:rsidRPr="00987EA0" w:rsidRDefault="00F46A92" w:rsidP="00425397">
            <w:pPr>
              <w:pStyle w:val="Prrafodelista"/>
              <w:numPr>
                <w:ilvl w:val="0"/>
                <w:numId w:val="15"/>
              </w:numPr>
              <w:spacing w:after="0" w:line="240" w:lineRule="auto"/>
              <w:jc w:val="both"/>
              <w:rPr>
                <w:rFonts w:ascii="Verdana" w:hAnsi="Verdana"/>
                <w:sz w:val="20"/>
                <w:szCs w:val="20"/>
                <w:lang w:val="es-ES"/>
              </w:rPr>
            </w:pPr>
            <w:r w:rsidRPr="00987EA0">
              <w:rPr>
                <w:rFonts w:ascii="Verdana" w:hAnsi="Verdana"/>
                <w:sz w:val="20"/>
                <w:szCs w:val="20"/>
                <w:lang w:val="es-ES"/>
              </w:rPr>
              <w:t>El Cruce</w:t>
            </w:r>
          </w:p>
        </w:tc>
      </w:tr>
      <w:tr w:rsidR="00F46A92" w:rsidRPr="00987EA0" w14:paraId="49CC83E9" w14:textId="77777777" w:rsidTr="00425397">
        <w:tc>
          <w:tcPr>
            <w:tcW w:w="9576" w:type="dxa"/>
          </w:tcPr>
          <w:p w14:paraId="05C74C73" w14:textId="77777777" w:rsidR="00F46A92" w:rsidRPr="00987EA0" w:rsidRDefault="00F46A92" w:rsidP="00425397">
            <w:pPr>
              <w:pStyle w:val="Prrafodelista"/>
              <w:numPr>
                <w:ilvl w:val="0"/>
                <w:numId w:val="15"/>
              </w:numPr>
              <w:spacing w:after="0" w:line="240" w:lineRule="auto"/>
              <w:jc w:val="both"/>
              <w:rPr>
                <w:rFonts w:ascii="Verdana" w:hAnsi="Verdana"/>
                <w:sz w:val="20"/>
                <w:szCs w:val="20"/>
                <w:lang w:val="es-ES"/>
              </w:rPr>
            </w:pPr>
            <w:r w:rsidRPr="00987EA0">
              <w:rPr>
                <w:rFonts w:ascii="Verdana" w:hAnsi="Verdana"/>
                <w:sz w:val="20"/>
                <w:szCs w:val="20"/>
                <w:lang w:val="es-ES"/>
              </w:rPr>
              <w:t>Km 1</w:t>
            </w:r>
          </w:p>
        </w:tc>
      </w:tr>
      <w:tr w:rsidR="00F46A92" w:rsidRPr="00987EA0" w14:paraId="3DC756A0" w14:textId="77777777" w:rsidTr="00425397">
        <w:tc>
          <w:tcPr>
            <w:tcW w:w="9576" w:type="dxa"/>
          </w:tcPr>
          <w:p w14:paraId="45ED5AF6" w14:textId="77777777" w:rsidR="00F46A92" w:rsidRPr="00987EA0" w:rsidRDefault="00F46A92" w:rsidP="00425397">
            <w:pPr>
              <w:pStyle w:val="Prrafodelista"/>
              <w:numPr>
                <w:ilvl w:val="0"/>
                <w:numId w:val="15"/>
              </w:numPr>
              <w:spacing w:after="0" w:line="240" w:lineRule="auto"/>
              <w:jc w:val="both"/>
              <w:rPr>
                <w:rFonts w:ascii="Verdana" w:hAnsi="Verdana"/>
                <w:sz w:val="20"/>
                <w:szCs w:val="20"/>
                <w:lang w:val="es-ES"/>
              </w:rPr>
            </w:pPr>
            <w:r w:rsidRPr="00987EA0">
              <w:rPr>
                <w:rFonts w:ascii="Verdana" w:hAnsi="Verdana"/>
                <w:sz w:val="20"/>
                <w:szCs w:val="20"/>
                <w:lang w:val="es-ES"/>
              </w:rPr>
              <w:t>Km 2</w:t>
            </w:r>
          </w:p>
        </w:tc>
      </w:tr>
      <w:tr w:rsidR="00F46A92" w:rsidRPr="00987EA0" w14:paraId="4366B39A" w14:textId="77777777" w:rsidTr="00425397">
        <w:tc>
          <w:tcPr>
            <w:tcW w:w="9576" w:type="dxa"/>
          </w:tcPr>
          <w:p w14:paraId="23530800" w14:textId="77777777" w:rsidR="00F46A92" w:rsidRPr="00987EA0" w:rsidRDefault="00F46A92" w:rsidP="00425397">
            <w:pPr>
              <w:pStyle w:val="Prrafodelista"/>
              <w:numPr>
                <w:ilvl w:val="0"/>
                <w:numId w:val="15"/>
              </w:numPr>
              <w:spacing w:after="0" w:line="240" w:lineRule="auto"/>
              <w:jc w:val="both"/>
              <w:rPr>
                <w:rFonts w:ascii="Verdana" w:hAnsi="Verdana"/>
                <w:sz w:val="20"/>
                <w:szCs w:val="20"/>
                <w:lang w:val="es-ES"/>
              </w:rPr>
            </w:pPr>
            <w:r w:rsidRPr="00987EA0">
              <w:rPr>
                <w:rFonts w:ascii="Verdana" w:hAnsi="Verdana"/>
                <w:sz w:val="20"/>
                <w:szCs w:val="20"/>
                <w:lang w:val="es-ES"/>
              </w:rPr>
              <w:t>Kom Lañoko - Misión Toba - Monte Carmelo</w:t>
            </w:r>
          </w:p>
        </w:tc>
      </w:tr>
      <w:tr w:rsidR="00F46A92" w:rsidRPr="00987EA0" w14:paraId="18C4E276" w14:textId="77777777" w:rsidTr="00425397">
        <w:tc>
          <w:tcPr>
            <w:tcW w:w="9576" w:type="dxa"/>
          </w:tcPr>
          <w:p w14:paraId="5604FF59" w14:textId="77777777" w:rsidR="00F46A92" w:rsidRPr="00987EA0" w:rsidRDefault="00F46A92" w:rsidP="00425397">
            <w:pPr>
              <w:pStyle w:val="Prrafodelista"/>
              <w:numPr>
                <w:ilvl w:val="0"/>
                <w:numId w:val="15"/>
              </w:numPr>
              <w:spacing w:after="0" w:line="240" w:lineRule="auto"/>
              <w:jc w:val="both"/>
              <w:rPr>
                <w:rFonts w:ascii="Verdana" w:hAnsi="Verdana"/>
                <w:sz w:val="20"/>
                <w:szCs w:val="20"/>
                <w:lang w:val="es-ES"/>
              </w:rPr>
            </w:pPr>
            <w:r w:rsidRPr="00987EA0">
              <w:rPr>
                <w:rFonts w:ascii="Verdana" w:hAnsi="Verdana"/>
                <w:sz w:val="20"/>
                <w:szCs w:val="20"/>
                <w:lang w:val="es-ES"/>
              </w:rPr>
              <w:t>La Bolsa</w:t>
            </w:r>
          </w:p>
        </w:tc>
      </w:tr>
      <w:tr w:rsidR="00F46A92" w:rsidRPr="00987EA0" w14:paraId="6236381D" w14:textId="77777777" w:rsidTr="00425397">
        <w:tc>
          <w:tcPr>
            <w:tcW w:w="9576" w:type="dxa"/>
          </w:tcPr>
          <w:p w14:paraId="54307646" w14:textId="77777777" w:rsidR="00F46A92" w:rsidRPr="00987EA0" w:rsidRDefault="00F46A92" w:rsidP="00425397">
            <w:pPr>
              <w:pStyle w:val="Prrafodelista"/>
              <w:numPr>
                <w:ilvl w:val="0"/>
                <w:numId w:val="15"/>
              </w:numPr>
              <w:spacing w:after="0" w:line="240" w:lineRule="auto"/>
              <w:jc w:val="both"/>
              <w:rPr>
                <w:rFonts w:ascii="Verdana" w:hAnsi="Verdana"/>
                <w:sz w:val="20"/>
                <w:szCs w:val="20"/>
                <w:lang w:val="es-ES"/>
              </w:rPr>
            </w:pPr>
            <w:r w:rsidRPr="00987EA0">
              <w:rPr>
                <w:rFonts w:ascii="Verdana" w:hAnsi="Verdana"/>
                <w:sz w:val="20"/>
                <w:szCs w:val="20"/>
                <w:lang w:val="es-ES"/>
              </w:rPr>
              <w:t>La Curvita</w:t>
            </w:r>
          </w:p>
        </w:tc>
      </w:tr>
      <w:tr w:rsidR="00F46A92" w:rsidRPr="00987EA0" w14:paraId="6DA708E4" w14:textId="77777777" w:rsidTr="00425397">
        <w:tc>
          <w:tcPr>
            <w:tcW w:w="9576" w:type="dxa"/>
          </w:tcPr>
          <w:p w14:paraId="5513A4D3" w14:textId="77777777" w:rsidR="00F46A92" w:rsidRPr="00987EA0" w:rsidRDefault="00F46A92" w:rsidP="00425397">
            <w:pPr>
              <w:pStyle w:val="Prrafodelista"/>
              <w:numPr>
                <w:ilvl w:val="0"/>
                <w:numId w:val="15"/>
              </w:numPr>
              <w:spacing w:after="0" w:line="240" w:lineRule="auto"/>
              <w:jc w:val="both"/>
              <w:rPr>
                <w:rFonts w:ascii="Verdana" w:hAnsi="Verdana"/>
                <w:sz w:val="20"/>
                <w:szCs w:val="20"/>
                <w:lang w:val="es-ES"/>
              </w:rPr>
            </w:pPr>
            <w:r w:rsidRPr="00987EA0">
              <w:rPr>
                <w:rFonts w:ascii="Verdana" w:hAnsi="Verdana"/>
                <w:sz w:val="20"/>
                <w:szCs w:val="20"/>
                <w:lang w:val="es-ES"/>
              </w:rPr>
              <w:t>Las Juntas</w:t>
            </w:r>
          </w:p>
        </w:tc>
      </w:tr>
      <w:tr w:rsidR="00F46A92" w:rsidRPr="00987EA0" w14:paraId="5D048733" w14:textId="77777777" w:rsidTr="00425397">
        <w:tc>
          <w:tcPr>
            <w:tcW w:w="9576" w:type="dxa"/>
          </w:tcPr>
          <w:p w14:paraId="3C0D15A7" w14:textId="77777777" w:rsidR="00F46A92" w:rsidRPr="00987EA0" w:rsidRDefault="00F46A92" w:rsidP="00425397">
            <w:pPr>
              <w:pStyle w:val="Prrafodelista"/>
              <w:numPr>
                <w:ilvl w:val="0"/>
                <w:numId w:val="15"/>
              </w:numPr>
              <w:spacing w:after="0" w:line="240" w:lineRule="auto"/>
              <w:jc w:val="both"/>
              <w:rPr>
                <w:rFonts w:ascii="Verdana" w:hAnsi="Verdana"/>
                <w:sz w:val="20"/>
                <w:szCs w:val="20"/>
                <w:lang w:val="es-ES"/>
              </w:rPr>
            </w:pPr>
            <w:r w:rsidRPr="00987EA0">
              <w:rPr>
                <w:rFonts w:ascii="Verdana" w:hAnsi="Verdana"/>
                <w:sz w:val="20"/>
                <w:szCs w:val="20"/>
                <w:lang w:val="es-ES"/>
              </w:rPr>
              <w:t>La Merced Nueva</w:t>
            </w:r>
          </w:p>
        </w:tc>
      </w:tr>
      <w:tr w:rsidR="00F46A92" w:rsidRPr="00987EA0" w14:paraId="18E0A5A3" w14:textId="77777777" w:rsidTr="00425397">
        <w:tc>
          <w:tcPr>
            <w:tcW w:w="9576" w:type="dxa"/>
          </w:tcPr>
          <w:p w14:paraId="11C3A013" w14:textId="77777777" w:rsidR="00F46A92" w:rsidRPr="00987EA0" w:rsidRDefault="00F46A92" w:rsidP="00425397">
            <w:pPr>
              <w:pStyle w:val="Prrafodelista"/>
              <w:numPr>
                <w:ilvl w:val="0"/>
                <w:numId w:val="15"/>
              </w:numPr>
              <w:spacing w:after="0" w:line="240" w:lineRule="auto"/>
              <w:jc w:val="both"/>
              <w:rPr>
                <w:rFonts w:ascii="Verdana" w:hAnsi="Verdana"/>
                <w:sz w:val="20"/>
                <w:szCs w:val="20"/>
                <w:lang w:val="es-ES"/>
              </w:rPr>
            </w:pPr>
            <w:r w:rsidRPr="00987EA0">
              <w:rPr>
                <w:rFonts w:ascii="Verdana" w:hAnsi="Verdana"/>
                <w:sz w:val="20"/>
                <w:szCs w:val="20"/>
                <w:lang w:val="es-ES"/>
              </w:rPr>
              <w:t>La Merced Vieja</w:t>
            </w:r>
          </w:p>
        </w:tc>
      </w:tr>
      <w:tr w:rsidR="00F46A92" w:rsidRPr="00987EA0" w14:paraId="7A1D47DF" w14:textId="77777777" w:rsidTr="00425397">
        <w:tc>
          <w:tcPr>
            <w:tcW w:w="9576" w:type="dxa"/>
          </w:tcPr>
          <w:p w14:paraId="7D3F228C" w14:textId="77777777" w:rsidR="00F46A92" w:rsidRPr="00987EA0" w:rsidRDefault="00F46A92" w:rsidP="00425397">
            <w:pPr>
              <w:pStyle w:val="Prrafodelista"/>
              <w:numPr>
                <w:ilvl w:val="0"/>
                <w:numId w:val="15"/>
              </w:numPr>
              <w:spacing w:after="0" w:line="240" w:lineRule="auto"/>
              <w:jc w:val="both"/>
              <w:rPr>
                <w:rFonts w:ascii="Verdana" w:hAnsi="Verdana"/>
                <w:sz w:val="20"/>
                <w:szCs w:val="20"/>
                <w:lang w:val="es-ES"/>
              </w:rPr>
            </w:pPr>
            <w:r w:rsidRPr="00987EA0">
              <w:rPr>
                <w:rFonts w:ascii="Verdana" w:hAnsi="Verdana"/>
                <w:sz w:val="20"/>
                <w:szCs w:val="20"/>
                <w:lang w:val="es-ES"/>
              </w:rPr>
              <w:t>La Puntana I</w:t>
            </w:r>
          </w:p>
        </w:tc>
      </w:tr>
      <w:tr w:rsidR="00F46A92" w:rsidRPr="00987EA0" w14:paraId="553339A0" w14:textId="77777777" w:rsidTr="00425397">
        <w:tc>
          <w:tcPr>
            <w:tcW w:w="9576" w:type="dxa"/>
          </w:tcPr>
          <w:p w14:paraId="505B2F52" w14:textId="77777777" w:rsidR="00F46A92" w:rsidRPr="00D70D7E" w:rsidRDefault="00F46A92" w:rsidP="00425397">
            <w:pPr>
              <w:pStyle w:val="Prrafodelista"/>
              <w:numPr>
                <w:ilvl w:val="0"/>
                <w:numId w:val="15"/>
              </w:numPr>
              <w:spacing w:after="0" w:line="240" w:lineRule="auto"/>
              <w:jc w:val="both"/>
              <w:rPr>
                <w:rFonts w:ascii="Verdana" w:hAnsi="Verdana"/>
                <w:sz w:val="20"/>
                <w:szCs w:val="20"/>
                <w:lang w:val="es-ES"/>
              </w:rPr>
            </w:pPr>
            <w:r w:rsidRPr="00987EA0">
              <w:rPr>
                <w:rFonts w:ascii="Verdana" w:hAnsi="Verdana"/>
                <w:sz w:val="20"/>
                <w:szCs w:val="20"/>
                <w:lang w:val="es-ES"/>
              </w:rPr>
              <w:t>Las Vertientes</w:t>
            </w:r>
          </w:p>
        </w:tc>
      </w:tr>
      <w:tr w:rsidR="00F46A92" w:rsidRPr="00987EA0" w14:paraId="2C7ED9E9" w14:textId="77777777" w:rsidTr="00425397">
        <w:tc>
          <w:tcPr>
            <w:tcW w:w="9576" w:type="dxa"/>
          </w:tcPr>
          <w:p w14:paraId="29368AFD" w14:textId="61BE0E61" w:rsidR="00F46A92" w:rsidRPr="00987EA0" w:rsidRDefault="00D53712" w:rsidP="00425397">
            <w:pPr>
              <w:pStyle w:val="Prrafodelista"/>
              <w:numPr>
                <w:ilvl w:val="0"/>
                <w:numId w:val="15"/>
              </w:numPr>
              <w:spacing w:after="0" w:line="240" w:lineRule="auto"/>
              <w:jc w:val="both"/>
              <w:rPr>
                <w:rFonts w:ascii="Verdana" w:hAnsi="Verdana"/>
                <w:sz w:val="20"/>
                <w:szCs w:val="20"/>
                <w:lang w:val="es-ES"/>
              </w:rPr>
            </w:pPr>
            <w:r>
              <w:rPr>
                <w:rFonts w:ascii="Verdana" w:hAnsi="Verdana"/>
                <w:sz w:val="20"/>
                <w:szCs w:val="20"/>
                <w:lang w:val="es-ES"/>
              </w:rPr>
              <w:t xml:space="preserve">Lantawos - Alto </w:t>
            </w:r>
            <w:r w:rsidR="00F46A92" w:rsidRPr="00987EA0">
              <w:rPr>
                <w:rFonts w:ascii="Verdana" w:hAnsi="Verdana"/>
                <w:sz w:val="20"/>
                <w:szCs w:val="20"/>
                <w:lang w:val="es-ES"/>
              </w:rPr>
              <w:t>La Sierra</w:t>
            </w:r>
          </w:p>
        </w:tc>
      </w:tr>
      <w:tr w:rsidR="00F46A92" w:rsidRPr="00987EA0" w14:paraId="0FE055E7" w14:textId="77777777" w:rsidTr="00425397">
        <w:tc>
          <w:tcPr>
            <w:tcW w:w="9576" w:type="dxa"/>
          </w:tcPr>
          <w:p w14:paraId="197A9CDC" w14:textId="77777777" w:rsidR="00F46A92" w:rsidRPr="00987EA0" w:rsidRDefault="00F46A92" w:rsidP="00425397">
            <w:pPr>
              <w:pStyle w:val="Prrafodelista"/>
              <w:numPr>
                <w:ilvl w:val="0"/>
                <w:numId w:val="15"/>
              </w:numPr>
              <w:spacing w:after="0" w:line="240" w:lineRule="auto"/>
              <w:jc w:val="both"/>
              <w:rPr>
                <w:rFonts w:ascii="Verdana" w:hAnsi="Verdana"/>
                <w:sz w:val="20"/>
                <w:szCs w:val="20"/>
                <w:lang w:val="es-ES"/>
              </w:rPr>
            </w:pPr>
            <w:r w:rsidRPr="00987EA0">
              <w:rPr>
                <w:rFonts w:ascii="Verdana" w:hAnsi="Verdana"/>
                <w:sz w:val="20"/>
                <w:szCs w:val="20"/>
                <w:lang w:val="es-ES"/>
              </w:rPr>
              <w:t>Misión La Gracia</w:t>
            </w:r>
          </w:p>
        </w:tc>
      </w:tr>
      <w:tr w:rsidR="00F46A92" w:rsidRPr="00987EA0" w14:paraId="03193427" w14:textId="77777777" w:rsidTr="00425397">
        <w:tc>
          <w:tcPr>
            <w:tcW w:w="9576" w:type="dxa"/>
          </w:tcPr>
          <w:p w14:paraId="2C4C3851" w14:textId="77777777" w:rsidR="00F46A92" w:rsidRPr="00987EA0" w:rsidRDefault="00F46A92" w:rsidP="00425397">
            <w:pPr>
              <w:pStyle w:val="Prrafodelista"/>
              <w:numPr>
                <w:ilvl w:val="0"/>
                <w:numId w:val="15"/>
              </w:numPr>
              <w:spacing w:after="0" w:line="240" w:lineRule="auto"/>
              <w:jc w:val="both"/>
              <w:rPr>
                <w:rFonts w:ascii="Verdana" w:hAnsi="Verdana"/>
                <w:sz w:val="20"/>
                <w:szCs w:val="20"/>
                <w:lang w:val="es-ES"/>
              </w:rPr>
            </w:pPr>
            <w:r w:rsidRPr="00987EA0">
              <w:rPr>
                <w:rFonts w:ascii="Verdana" w:hAnsi="Verdana"/>
                <w:sz w:val="20"/>
                <w:szCs w:val="20"/>
                <w:lang w:val="es-ES"/>
              </w:rPr>
              <w:t>Misión La Paz</w:t>
            </w:r>
          </w:p>
        </w:tc>
      </w:tr>
      <w:tr w:rsidR="00F46A92" w:rsidRPr="00987EA0" w14:paraId="04D4DF99" w14:textId="77777777" w:rsidTr="00425397">
        <w:tc>
          <w:tcPr>
            <w:tcW w:w="9576" w:type="dxa"/>
          </w:tcPr>
          <w:p w14:paraId="78F25C89" w14:textId="77777777" w:rsidR="00F46A92" w:rsidRPr="00987EA0" w:rsidRDefault="00F46A92" w:rsidP="00425397">
            <w:pPr>
              <w:pStyle w:val="Prrafodelista"/>
              <w:numPr>
                <w:ilvl w:val="0"/>
                <w:numId w:val="15"/>
              </w:numPr>
              <w:spacing w:after="0" w:line="240" w:lineRule="auto"/>
              <w:jc w:val="both"/>
              <w:rPr>
                <w:rFonts w:ascii="Verdana" w:hAnsi="Verdana"/>
                <w:sz w:val="20"/>
                <w:szCs w:val="20"/>
                <w:lang w:val="es-ES"/>
              </w:rPr>
            </w:pPr>
            <w:r w:rsidRPr="00987EA0">
              <w:rPr>
                <w:rFonts w:ascii="Verdana" w:hAnsi="Verdana"/>
                <w:sz w:val="20"/>
                <w:szCs w:val="20"/>
                <w:lang w:val="es-ES"/>
              </w:rPr>
              <w:t>Misión San Luis</w:t>
            </w:r>
          </w:p>
        </w:tc>
      </w:tr>
      <w:tr w:rsidR="00F46A92" w:rsidRPr="00987EA0" w14:paraId="158FE66B" w14:textId="77777777" w:rsidTr="00425397">
        <w:tc>
          <w:tcPr>
            <w:tcW w:w="9576" w:type="dxa"/>
          </w:tcPr>
          <w:p w14:paraId="7592A34E" w14:textId="77777777" w:rsidR="00F46A92" w:rsidRPr="00987EA0" w:rsidRDefault="00F46A92" w:rsidP="00425397">
            <w:pPr>
              <w:pStyle w:val="Prrafodelista"/>
              <w:numPr>
                <w:ilvl w:val="0"/>
                <w:numId w:val="15"/>
              </w:numPr>
              <w:spacing w:after="0" w:line="240" w:lineRule="auto"/>
              <w:jc w:val="both"/>
              <w:rPr>
                <w:rFonts w:ascii="Verdana" w:hAnsi="Verdana"/>
                <w:sz w:val="20"/>
                <w:szCs w:val="20"/>
                <w:lang w:val="es-ES"/>
              </w:rPr>
            </w:pPr>
            <w:r w:rsidRPr="00987EA0">
              <w:rPr>
                <w:rFonts w:ascii="Verdana" w:hAnsi="Verdana"/>
                <w:sz w:val="20"/>
                <w:szCs w:val="20"/>
                <w:lang w:val="es-ES"/>
              </w:rPr>
              <w:t>Padre Coll</w:t>
            </w:r>
          </w:p>
        </w:tc>
      </w:tr>
      <w:tr w:rsidR="00F46A92" w:rsidRPr="00987EA0" w14:paraId="7D9805DD" w14:textId="77777777" w:rsidTr="00425397">
        <w:tc>
          <w:tcPr>
            <w:tcW w:w="9576" w:type="dxa"/>
          </w:tcPr>
          <w:p w14:paraId="4C874CBE" w14:textId="77777777" w:rsidR="00F46A92" w:rsidRPr="00987EA0" w:rsidRDefault="00F46A92" w:rsidP="00425397">
            <w:pPr>
              <w:pStyle w:val="Prrafodelista"/>
              <w:numPr>
                <w:ilvl w:val="0"/>
                <w:numId w:val="15"/>
              </w:numPr>
              <w:spacing w:after="0" w:line="240" w:lineRule="auto"/>
              <w:jc w:val="both"/>
              <w:rPr>
                <w:rFonts w:ascii="Verdana" w:hAnsi="Verdana"/>
                <w:sz w:val="20"/>
                <w:szCs w:val="20"/>
                <w:lang w:val="es-ES"/>
              </w:rPr>
            </w:pPr>
            <w:r w:rsidRPr="00987EA0">
              <w:rPr>
                <w:rFonts w:ascii="Verdana" w:hAnsi="Verdana"/>
                <w:sz w:val="20"/>
                <w:szCs w:val="20"/>
                <w:lang w:val="es-ES"/>
              </w:rPr>
              <w:t>Pin Pin</w:t>
            </w:r>
          </w:p>
        </w:tc>
      </w:tr>
      <w:tr w:rsidR="00F46A92" w:rsidRPr="00987EA0" w14:paraId="63CC3DE6" w14:textId="77777777" w:rsidTr="00425397">
        <w:tc>
          <w:tcPr>
            <w:tcW w:w="9576" w:type="dxa"/>
          </w:tcPr>
          <w:p w14:paraId="4C25DE41" w14:textId="77777777" w:rsidR="00F46A92" w:rsidRPr="00987EA0" w:rsidRDefault="00F46A92" w:rsidP="00425397">
            <w:pPr>
              <w:pStyle w:val="Prrafodelista"/>
              <w:numPr>
                <w:ilvl w:val="0"/>
                <w:numId w:val="15"/>
              </w:numPr>
              <w:spacing w:after="0" w:line="240" w:lineRule="auto"/>
              <w:jc w:val="both"/>
              <w:rPr>
                <w:rFonts w:ascii="Verdana" w:hAnsi="Verdana"/>
                <w:sz w:val="20"/>
                <w:szCs w:val="20"/>
                <w:lang w:val="es-ES"/>
              </w:rPr>
            </w:pPr>
            <w:r w:rsidRPr="00987EA0">
              <w:rPr>
                <w:rFonts w:ascii="Verdana" w:hAnsi="Verdana"/>
                <w:sz w:val="20"/>
                <w:szCs w:val="20"/>
                <w:lang w:val="es-ES"/>
              </w:rPr>
              <w:t>Pozo El Mulato</w:t>
            </w:r>
          </w:p>
        </w:tc>
      </w:tr>
      <w:tr w:rsidR="00F46A92" w:rsidRPr="00987EA0" w14:paraId="2DC1EC4C" w14:textId="77777777" w:rsidTr="00425397">
        <w:tc>
          <w:tcPr>
            <w:tcW w:w="9576" w:type="dxa"/>
          </w:tcPr>
          <w:p w14:paraId="2D6F9C0A" w14:textId="77777777" w:rsidR="00F46A92" w:rsidRPr="00987EA0" w:rsidRDefault="00F46A92" w:rsidP="00425397">
            <w:pPr>
              <w:pStyle w:val="Prrafodelista"/>
              <w:numPr>
                <w:ilvl w:val="0"/>
                <w:numId w:val="15"/>
              </w:numPr>
              <w:spacing w:after="0" w:line="240" w:lineRule="auto"/>
              <w:jc w:val="both"/>
              <w:rPr>
                <w:rFonts w:ascii="Verdana" w:hAnsi="Verdana"/>
                <w:sz w:val="20"/>
                <w:szCs w:val="20"/>
                <w:lang w:val="es-ES"/>
              </w:rPr>
            </w:pPr>
            <w:r w:rsidRPr="00987EA0">
              <w:rPr>
                <w:rFonts w:ascii="Verdana" w:hAnsi="Verdana"/>
                <w:sz w:val="20"/>
                <w:szCs w:val="20"/>
                <w:lang w:val="es-ES"/>
              </w:rPr>
              <w:t>Pozo El Tigre</w:t>
            </w:r>
          </w:p>
        </w:tc>
      </w:tr>
      <w:tr w:rsidR="00F46A92" w:rsidRPr="00987EA0" w14:paraId="3711329E" w14:textId="77777777" w:rsidTr="00425397">
        <w:tc>
          <w:tcPr>
            <w:tcW w:w="9576" w:type="dxa"/>
          </w:tcPr>
          <w:p w14:paraId="0392F016" w14:textId="77777777" w:rsidR="00F46A92" w:rsidRPr="00987EA0" w:rsidRDefault="00F46A92" w:rsidP="00425397">
            <w:pPr>
              <w:pStyle w:val="Prrafodelista"/>
              <w:numPr>
                <w:ilvl w:val="0"/>
                <w:numId w:val="15"/>
              </w:numPr>
              <w:spacing w:after="0" w:line="240" w:lineRule="auto"/>
              <w:jc w:val="both"/>
              <w:rPr>
                <w:rFonts w:ascii="Verdana" w:hAnsi="Verdana"/>
                <w:sz w:val="20"/>
                <w:szCs w:val="20"/>
                <w:lang w:val="es-ES"/>
              </w:rPr>
            </w:pPr>
            <w:r w:rsidRPr="00987EA0">
              <w:rPr>
                <w:rFonts w:ascii="Verdana" w:hAnsi="Verdana"/>
                <w:sz w:val="20"/>
                <w:szCs w:val="20"/>
                <w:lang w:val="es-ES"/>
              </w:rPr>
              <w:t>Pozo El Toro</w:t>
            </w:r>
          </w:p>
        </w:tc>
      </w:tr>
      <w:tr w:rsidR="00F46A92" w:rsidRPr="00987EA0" w14:paraId="1C73C981" w14:textId="77777777" w:rsidTr="00425397">
        <w:tc>
          <w:tcPr>
            <w:tcW w:w="9576" w:type="dxa"/>
          </w:tcPr>
          <w:p w14:paraId="29CF9AD6" w14:textId="77777777" w:rsidR="00F46A92" w:rsidRPr="00987EA0" w:rsidRDefault="00F46A92" w:rsidP="00425397">
            <w:pPr>
              <w:pStyle w:val="Prrafodelista"/>
              <w:numPr>
                <w:ilvl w:val="0"/>
                <w:numId w:val="15"/>
              </w:numPr>
              <w:spacing w:after="0" w:line="240" w:lineRule="auto"/>
              <w:jc w:val="both"/>
              <w:rPr>
                <w:rFonts w:ascii="Verdana" w:hAnsi="Verdana"/>
                <w:sz w:val="20"/>
                <w:szCs w:val="20"/>
                <w:lang w:val="es-ES"/>
              </w:rPr>
            </w:pPr>
            <w:r w:rsidRPr="00987EA0">
              <w:rPr>
                <w:rFonts w:ascii="Verdana" w:hAnsi="Verdana"/>
                <w:sz w:val="20"/>
                <w:szCs w:val="20"/>
                <w:lang w:val="es-ES"/>
              </w:rPr>
              <w:t>Pozo La China</w:t>
            </w:r>
          </w:p>
        </w:tc>
      </w:tr>
      <w:tr w:rsidR="00F46A92" w:rsidRPr="00987EA0" w14:paraId="00D8AD2B" w14:textId="77777777" w:rsidTr="00425397">
        <w:tc>
          <w:tcPr>
            <w:tcW w:w="9576" w:type="dxa"/>
          </w:tcPr>
          <w:p w14:paraId="21061176" w14:textId="77777777" w:rsidR="00F46A92" w:rsidRPr="00987EA0" w:rsidRDefault="00F46A92" w:rsidP="00425397">
            <w:pPr>
              <w:pStyle w:val="Prrafodelista"/>
              <w:numPr>
                <w:ilvl w:val="0"/>
                <w:numId w:val="15"/>
              </w:numPr>
              <w:spacing w:after="0" w:line="240" w:lineRule="auto"/>
              <w:jc w:val="both"/>
              <w:rPr>
                <w:rFonts w:ascii="Verdana" w:hAnsi="Verdana"/>
                <w:sz w:val="20"/>
                <w:szCs w:val="20"/>
                <w:lang w:val="es-ES"/>
              </w:rPr>
            </w:pPr>
            <w:r w:rsidRPr="00987EA0">
              <w:rPr>
                <w:rFonts w:ascii="Verdana" w:hAnsi="Verdana"/>
                <w:sz w:val="20"/>
                <w:szCs w:val="20"/>
                <w:lang w:val="es-ES"/>
              </w:rPr>
              <w:t>Rancho El Ñato</w:t>
            </w:r>
          </w:p>
        </w:tc>
      </w:tr>
      <w:tr w:rsidR="00F46A92" w:rsidRPr="00987EA0" w14:paraId="7DD1B173" w14:textId="77777777" w:rsidTr="00425397">
        <w:tc>
          <w:tcPr>
            <w:tcW w:w="9576" w:type="dxa"/>
          </w:tcPr>
          <w:p w14:paraId="1378012C" w14:textId="77777777" w:rsidR="00F46A92" w:rsidRPr="00987EA0" w:rsidRDefault="00F46A92" w:rsidP="00425397">
            <w:pPr>
              <w:pStyle w:val="Prrafodelista"/>
              <w:numPr>
                <w:ilvl w:val="0"/>
                <w:numId w:val="15"/>
              </w:numPr>
              <w:spacing w:after="0" w:line="240" w:lineRule="auto"/>
              <w:jc w:val="both"/>
              <w:rPr>
                <w:rFonts w:ascii="Verdana" w:hAnsi="Verdana"/>
                <w:sz w:val="20"/>
                <w:szCs w:val="20"/>
                <w:lang w:val="es-ES"/>
              </w:rPr>
            </w:pPr>
            <w:r w:rsidRPr="00987EA0">
              <w:rPr>
                <w:rFonts w:ascii="Verdana" w:hAnsi="Verdana"/>
                <w:sz w:val="20"/>
                <w:szCs w:val="20"/>
                <w:lang w:val="es-ES"/>
              </w:rPr>
              <w:t>Santa María</w:t>
            </w:r>
          </w:p>
        </w:tc>
      </w:tr>
      <w:tr w:rsidR="00F46A92" w:rsidRPr="00987EA0" w14:paraId="1995CE97" w14:textId="77777777" w:rsidTr="00425397">
        <w:tc>
          <w:tcPr>
            <w:tcW w:w="9576" w:type="dxa"/>
          </w:tcPr>
          <w:p w14:paraId="70918485" w14:textId="77777777" w:rsidR="00F46A92" w:rsidRPr="00987EA0" w:rsidRDefault="00F46A92" w:rsidP="00425397">
            <w:pPr>
              <w:pStyle w:val="Prrafodelista"/>
              <w:numPr>
                <w:ilvl w:val="0"/>
                <w:numId w:val="15"/>
              </w:numPr>
              <w:spacing w:after="0" w:line="240" w:lineRule="auto"/>
              <w:jc w:val="both"/>
              <w:rPr>
                <w:rFonts w:ascii="Verdana" w:hAnsi="Verdana"/>
                <w:sz w:val="20"/>
                <w:szCs w:val="20"/>
                <w:lang w:val="es-ES"/>
              </w:rPr>
            </w:pPr>
            <w:r w:rsidRPr="00987EA0">
              <w:rPr>
                <w:rFonts w:ascii="Verdana" w:hAnsi="Verdana"/>
                <w:sz w:val="20"/>
                <w:szCs w:val="20"/>
                <w:lang w:val="es-ES"/>
              </w:rPr>
              <w:t>Santa Victoria 2</w:t>
            </w:r>
          </w:p>
        </w:tc>
      </w:tr>
    </w:tbl>
    <w:p w14:paraId="23233C77" w14:textId="77777777" w:rsidR="00F46A92" w:rsidRDefault="00F46A92" w:rsidP="00F46A92">
      <w:pPr>
        <w:pStyle w:val="Prrafodelista"/>
        <w:spacing w:line="240" w:lineRule="auto"/>
        <w:jc w:val="both"/>
        <w:rPr>
          <w:rFonts w:ascii="Verdana" w:hAnsi="Verdana"/>
          <w:sz w:val="20"/>
          <w:szCs w:val="20"/>
          <w:lang w:val="es-ES"/>
        </w:rPr>
      </w:pPr>
    </w:p>
    <w:p w14:paraId="19D37142" w14:textId="77777777" w:rsidR="00F46A92" w:rsidRDefault="00F46A92" w:rsidP="00F46A92">
      <w:pPr>
        <w:spacing w:line="240" w:lineRule="auto"/>
        <w:rPr>
          <w:rFonts w:ascii="Verdana" w:hAnsi="Verdana"/>
          <w:sz w:val="20"/>
          <w:szCs w:val="20"/>
          <w:lang w:val="es-ES"/>
        </w:rPr>
      </w:pPr>
      <w:r>
        <w:rPr>
          <w:rFonts w:ascii="Verdana" w:hAnsi="Verdana"/>
          <w:sz w:val="20"/>
          <w:szCs w:val="20"/>
          <w:lang w:val="es-ES"/>
        </w:rPr>
        <w:br w:type="page"/>
      </w:r>
    </w:p>
    <w:p w14:paraId="5FACA427" w14:textId="77777777" w:rsidR="00F46A92" w:rsidRPr="00F46A92" w:rsidRDefault="00F46A92" w:rsidP="00F46A92">
      <w:pPr>
        <w:pStyle w:val="Ttulo1"/>
        <w:jc w:val="center"/>
        <w:rPr>
          <w:rFonts w:ascii="Verdana" w:hAnsi="Verdana"/>
          <w:color w:val="auto"/>
          <w:sz w:val="20"/>
          <w:szCs w:val="20"/>
          <w:lang w:val="es-ES"/>
        </w:rPr>
      </w:pPr>
      <w:bookmarkStart w:id="380" w:name="_Toc34337612"/>
      <w:r w:rsidRPr="00F46A92">
        <w:rPr>
          <w:rFonts w:ascii="Verdana" w:hAnsi="Verdana"/>
          <w:color w:val="auto"/>
          <w:sz w:val="20"/>
          <w:szCs w:val="20"/>
          <w:lang w:val="es-ES"/>
        </w:rPr>
        <w:lastRenderedPageBreak/>
        <w:t>ANEXO III</w:t>
      </w:r>
      <w:bookmarkEnd w:id="380"/>
    </w:p>
    <w:tbl>
      <w:tblPr>
        <w:tblStyle w:val="Cuadrculamedia1"/>
        <w:tblW w:w="0" w:type="auto"/>
        <w:tblLook w:val="04A0" w:firstRow="1" w:lastRow="0" w:firstColumn="1" w:lastColumn="0" w:noHBand="0" w:noVBand="1"/>
      </w:tblPr>
      <w:tblGrid>
        <w:gridCol w:w="8818"/>
      </w:tblGrid>
      <w:tr w:rsidR="00F46A92" w:rsidRPr="0083307C" w14:paraId="273DA864" w14:textId="77777777" w:rsidTr="004253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7D224854" w14:textId="77777777" w:rsidR="00F46A92" w:rsidRPr="00D70D7E" w:rsidRDefault="00F46A92" w:rsidP="00425397">
            <w:pPr>
              <w:spacing w:line="240" w:lineRule="auto"/>
              <w:jc w:val="center"/>
              <w:rPr>
                <w:rFonts w:ascii="Verdana" w:hAnsi="Verdana"/>
                <w:sz w:val="20"/>
                <w:szCs w:val="20"/>
                <w:lang w:val="es-ES"/>
              </w:rPr>
            </w:pPr>
            <w:r w:rsidRPr="00D70D7E">
              <w:rPr>
                <w:rFonts w:ascii="Verdana" w:hAnsi="Verdana"/>
                <w:sz w:val="20"/>
                <w:szCs w:val="20"/>
                <w:lang w:val="es-ES"/>
              </w:rPr>
              <w:t>COMUNIDAD</w:t>
            </w:r>
            <w:r>
              <w:rPr>
                <w:rFonts w:ascii="Verdana" w:hAnsi="Verdana"/>
                <w:sz w:val="20"/>
                <w:szCs w:val="20"/>
                <w:lang w:val="es-ES"/>
              </w:rPr>
              <w:t>ES</w:t>
            </w:r>
            <w:r w:rsidRPr="00D70D7E">
              <w:rPr>
                <w:rFonts w:ascii="Verdana" w:hAnsi="Verdana"/>
                <w:sz w:val="20"/>
                <w:szCs w:val="20"/>
                <w:lang w:val="es-ES"/>
              </w:rPr>
              <w:t xml:space="preserve"> INDÍGENA</w:t>
            </w:r>
            <w:r>
              <w:rPr>
                <w:rFonts w:ascii="Verdana" w:hAnsi="Verdana"/>
                <w:sz w:val="20"/>
                <w:szCs w:val="20"/>
                <w:lang w:val="es-ES"/>
              </w:rPr>
              <w:t>S CONTEMPLADAS EN EL DECRETO 1498/14 DE LA PROVINCIA DE SALTA</w:t>
            </w:r>
          </w:p>
        </w:tc>
      </w:tr>
    </w:tbl>
    <w:p w14:paraId="0371D122" w14:textId="77777777" w:rsidR="00F46A92" w:rsidRDefault="00F46A92" w:rsidP="00F46A92">
      <w:pPr>
        <w:spacing w:line="240" w:lineRule="auto"/>
        <w:rPr>
          <w:rFonts w:ascii="Verdana" w:hAnsi="Verdana"/>
          <w:sz w:val="20"/>
          <w:szCs w:val="20"/>
          <w:lang w:val="es-ES"/>
        </w:rPr>
      </w:pPr>
    </w:p>
    <w:tbl>
      <w:tblPr>
        <w:tblStyle w:val="Tablaconcuadrcula"/>
        <w:tblW w:w="0" w:type="auto"/>
        <w:tblLook w:val="04A0" w:firstRow="1" w:lastRow="0" w:firstColumn="1" w:lastColumn="0" w:noHBand="0" w:noVBand="1"/>
      </w:tblPr>
      <w:tblGrid>
        <w:gridCol w:w="8828"/>
      </w:tblGrid>
      <w:tr w:rsidR="00F46A92" w14:paraId="407AC2A9" w14:textId="77777777" w:rsidTr="00425397">
        <w:tc>
          <w:tcPr>
            <w:tcW w:w="9576" w:type="dxa"/>
          </w:tcPr>
          <w:p w14:paraId="4070BFCC" w14:textId="075A6DE3" w:rsidR="00F46A92" w:rsidRPr="00AB1C2C" w:rsidRDefault="00D5371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Al Pu</w:t>
            </w:r>
            <w:r w:rsidR="00F46A92">
              <w:rPr>
                <w:rFonts w:ascii="Verdana" w:hAnsi="Verdana"/>
                <w:sz w:val="20"/>
                <w:szCs w:val="20"/>
                <w:lang w:val="es-ES"/>
              </w:rPr>
              <w:t>-Mision Las Juntas</w:t>
            </w:r>
          </w:p>
        </w:tc>
      </w:tr>
      <w:tr w:rsidR="00F46A92" w14:paraId="223B9A9A" w14:textId="77777777" w:rsidTr="00425397">
        <w:tc>
          <w:tcPr>
            <w:tcW w:w="9576" w:type="dxa"/>
          </w:tcPr>
          <w:p w14:paraId="408AA729" w14:textId="77777777" w:rsidR="00F46A92" w:rsidRPr="00AB1C2C" w:rsidRDefault="00F46A9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Arenales (Hoot)</w:t>
            </w:r>
          </w:p>
        </w:tc>
      </w:tr>
      <w:tr w:rsidR="00F46A92" w14:paraId="0EB10F93" w14:textId="77777777" w:rsidTr="00425397">
        <w:tc>
          <w:tcPr>
            <w:tcW w:w="9576" w:type="dxa"/>
          </w:tcPr>
          <w:p w14:paraId="63A6BD17" w14:textId="77777777" w:rsidR="00F46A92" w:rsidRDefault="00F46A9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Bella Vista</w:t>
            </w:r>
          </w:p>
        </w:tc>
      </w:tr>
      <w:tr w:rsidR="00F46A92" w14:paraId="0EEA94A6" w14:textId="77777777" w:rsidTr="00425397">
        <w:tc>
          <w:tcPr>
            <w:tcW w:w="9576" w:type="dxa"/>
          </w:tcPr>
          <w:p w14:paraId="39AF2350" w14:textId="77777777" w:rsidR="00F46A92" w:rsidRDefault="00F46A9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Bajo Grande</w:t>
            </w:r>
          </w:p>
        </w:tc>
      </w:tr>
      <w:tr w:rsidR="00F46A92" w14:paraId="5DDBBC67" w14:textId="77777777" w:rsidTr="00425397">
        <w:tc>
          <w:tcPr>
            <w:tcW w:w="9576" w:type="dxa"/>
          </w:tcPr>
          <w:p w14:paraId="58555CF3" w14:textId="45D77EB5" w:rsidR="00F46A92" w:rsidRDefault="00D5371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Cañaveral 1</w:t>
            </w:r>
          </w:p>
        </w:tc>
      </w:tr>
      <w:tr w:rsidR="00F46A92" w14:paraId="59D5D07F" w14:textId="77777777" w:rsidTr="00425397">
        <w:tc>
          <w:tcPr>
            <w:tcW w:w="9576" w:type="dxa"/>
          </w:tcPr>
          <w:p w14:paraId="51D7AB5C" w14:textId="77777777" w:rsidR="00F46A92" w:rsidRDefault="00F46A9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Cho”way Alto de la Sierra</w:t>
            </w:r>
          </w:p>
        </w:tc>
      </w:tr>
      <w:tr w:rsidR="00F46A92" w14:paraId="465521B5" w14:textId="77777777" w:rsidTr="00425397">
        <w:tc>
          <w:tcPr>
            <w:tcW w:w="9576" w:type="dxa"/>
          </w:tcPr>
          <w:p w14:paraId="7AAC7D70" w14:textId="77777777" w:rsidR="00F46A92" w:rsidRDefault="00F46A9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Ebeneser</w:t>
            </w:r>
          </w:p>
        </w:tc>
      </w:tr>
      <w:tr w:rsidR="00F46A92" w14:paraId="16439461" w14:textId="77777777" w:rsidTr="00425397">
        <w:tc>
          <w:tcPr>
            <w:tcW w:w="9576" w:type="dxa"/>
          </w:tcPr>
          <w:p w14:paraId="4AFAE582" w14:textId="77777777" w:rsidR="00F46A92" w:rsidRDefault="00F46A9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El Bordo</w:t>
            </w:r>
          </w:p>
        </w:tc>
      </w:tr>
      <w:tr w:rsidR="00F46A92" w14:paraId="4D0B5E56" w14:textId="77777777" w:rsidTr="00425397">
        <w:tc>
          <w:tcPr>
            <w:tcW w:w="9576" w:type="dxa"/>
          </w:tcPr>
          <w:p w14:paraId="39A01326" w14:textId="77777777" w:rsidR="00F46A92" w:rsidRDefault="00F46A9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El Cañaveral II</w:t>
            </w:r>
          </w:p>
        </w:tc>
      </w:tr>
      <w:tr w:rsidR="00F46A92" w14:paraId="4D06490E" w14:textId="77777777" w:rsidTr="00425397">
        <w:tc>
          <w:tcPr>
            <w:tcW w:w="9576" w:type="dxa"/>
          </w:tcPr>
          <w:p w14:paraId="482EF8A9" w14:textId="77777777" w:rsidR="00F46A92" w:rsidRDefault="00F46A9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El Cruce- Santa María</w:t>
            </w:r>
          </w:p>
        </w:tc>
      </w:tr>
      <w:tr w:rsidR="00F46A92" w14:paraId="3CA94D68" w14:textId="77777777" w:rsidTr="00425397">
        <w:tc>
          <w:tcPr>
            <w:tcW w:w="9576" w:type="dxa"/>
          </w:tcPr>
          <w:p w14:paraId="052D79E1" w14:textId="77777777" w:rsidR="00F46A92" w:rsidRDefault="00F46A9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El Desemboque</w:t>
            </w:r>
          </w:p>
        </w:tc>
      </w:tr>
      <w:tr w:rsidR="00F46A92" w14:paraId="3FD8E080" w14:textId="77777777" w:rsidTr="00425397">
        <w:tc>
          <w:tcPr>
            <w:tcW w:w="9576" w:type="dxa"/>
          </w:tcPr>
          <w:p w14:paraId="460B701D" w14:textId="77777777" w:rsidR="00F46A92" w:rsidRDefault="00F46A9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Golondrina</w:t>
            </w:r>
          </w:p>
        </w:tc>
      </w:tr>
      <w:tr w:rsidR="00F46A92" w14:paraId="16FED2FC" w14:textId="77777777" w:rsidTr="00425397">
        <w:tc>
          <w:tcPr>
            <w:tcW w:w="9576" w:type="dxa"/>
          </w:tcPr>
          <w:p w14:paraId="7E2971C7" w14:textId="77777777" w:rsidR="00F46A92" w:rsidRDefault="00F46A9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Inhate Alto La Sierra</w:t>
            </w:r>
          </w:p>
        </w:tc>
      </w:tr>
      <w:tr w:rsidR="00F46A92" w14:paraId="59C4B6D9" w14:textId="77777777" w:rsidTr="00425397">
        <w:tc>
          <w:tcPr>
            <w:tcW w:w="9576" w:type="dxa"/>
          </w:tcPr>
          <w:p w14:paraId="48F0D268" w14:textId="554D591E" w:rsidR="00F46A92" w:rsidRDefault="00D5371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Kilómetro 1</w:t>
            </w:r>
          </w:p>
        </w:tc>
      </w:tr>
      <w:tr w:rsidR="00F46A92" w14:paraId="36C85FC3" w14:textId="77777777" w:rsidTr="00425397">
        <w:tc>
          <w:tcPr>
            <w:tcW w:w="9576" w:type="dxa"/>
          </w:tcPr>
          <w:p w14:paraId="6AA77F37" w14:textId="77777777" w:rsidR="00F46A92" w:rsidRDefault="00F46A9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Kilómetro 2</w:t>
            </w:r>
          </w:p>
        </w:tc>
      </w:tr>
      <w:tr w:rsidR="00F46A92" w14:paraId="06BFB1DB" w14:textId="77777777" w:rsidTr="00425397">
        <w:tc>
          <w:tcPr>
            <w:tcW w:w="9576" w:type="dxa"/>
          </w:tcPr>
          <w:p w14:paraId="400E7C34" w14:textId="77777777" w:rsidR="00F46A92" w:rsidRDefault="00F46A9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Kom La Chaca- Monte Carmelo</w:t>
            </w:r>
          </w:p>
        </w:tc>
      </w:tr>
      <w:tr w:rsidR="00F46A92" w14:paraId="2075930F" w14:textId="77777777" w:rsidTr="00425397">
        <w:tc>
          <w:tcPr>
            <w:tcW w:w="9576" w:type="dxa"/>
          </w:tcPr>
          <w:p w14:paraId="0316E5AB" w14:textId="77777777" w:rsidR="00F46A92" w:rsidRDefault="00F46A9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La Bolsa</w:t>
            </w:r>
          </w:p>
        </w:tc>
      </w:tr>
      <w:tr w:rsidR="00F46A92" w14:paraId="233B89E8" w14:textId="77777777" w:rsidTr="00425397">
        <w:tc>
          <w:tcPr>
            <w:tcW w:w="9576" w:type="dxa"/>
          </w:tcPr>
          <w:p w14:paraId="59977A4C" w14:textId="77777777" w:rsidR="00F46A92" w:rsidRDefault="00F46A9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La Bolsa II</w:t>
            </w:r>
          </w:p>
        </w:tc>
      </w:tr>
      <w:tr w:rsidR="00F46A92" w14:paraId="5DF27942" w14:textId="77777777" w:rsidTr="00425397">
        <w:tc>
          <w:tcPr>
            <w:tcW w:w="9576" w:type="dxa"/>
          </w:tcPr>
          <w:p w14:paraId="3E264A05" w14:textId="77777777" w:rsidR="00F46A92" w:rsidRDefault="00F46A9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La Curvita</w:t>
            </w:r>
          </w:p>
        </w:tc>
      </w:tr>
      <w:tr w:rsidR="00F46A92" w:rsidRPr="0083307C" w14:paraId="600D6F47" w14:textId="77777777" w:rsidTr="00425397">
        <w:tc>
          <w:tcPr>
            <w:tcW w:w="9576" w:type="dxa"/>
          </w:tcPr>
          <w:p w14:paraId="3A22B1D8" w14:textId="77777777" w:rsidR="00F46A92" w:rsidRDefault="00F46A9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La Esperanza</w:t>
            </w:r>
          </w:p>
        </w:tc>
      </w:tr>
      <w:tr w:rsidR="00F46A92" w14:paraId="17F0EF0D" w14:textId="77777777" w:rsidTr="00425397">
        <w:tc>
          <w:tcPr>
            <w:tcW w:w="9576" w:type="dxa"/>
          </w:tcPr>
          <w:p w14:paraId="7E72DF64" w14:textId="77777777" w:rsidR="00F46A92" w:rsidRDefault="00F46A9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La Esperanza 2 (La Puntana)</w:t>
            </w:r>
          </w:p>
        </w:tc>
      </w:tr>
      <w:tr w:rsidR="00F46A92" w14:paraId="18AC7695" w14:textId="77777777" w:rsidTr="00425397">
        <w:tc>
          <w:tcPr>
            <w:tcW w:w="9576" w:type="dxa"/>
          </w:tcPr>
          <w:p w14:paraId="110F729C" w14:textId="77777777" w:rsidR="00F46A92" w:rsidRDefault="00F46A9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La Estrella</w:t>
            </w:r>
          </w:p>
        </w:tc>
      </w:tr>
      <w:tr w:rsidR="00F46A92" w14:paraId="68F7DFC0" w14:textId="77777777" w:rsidTr="00425397">
        <w:tc>
          <w:tcPr>
            <w:tcW w:w="9576" w:type="dxa"/>
          </w:tcPr>
          <w:p w14:paraId="2B4DF68A" w14:textId="77777777" w:rsidR="00F46A92" w:rsidRDefault="00F46A9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La Merced Chica</w:t>
            </w:r>
          </w:p>
        </w:tc>
      </w:tr>
      <w:tr w:rsidR="00F46A92" w14:paraId="76339D73" w14:textId="77777777" w:rsidTr="00425397">
        <w:tc>
          <w:tcPr>
            <w:tcW w:w="9576" w:type="dxa"/>
          </w:tcPr>
          <w:p w14:paraId="084FBDDE" w14:textId="77777777" w:rsidR="00F46A92" w:rsidRDefault="00F46A9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La Merced Nueva</w:t>
            </w:r>
          </w:p>
        </w:tc>
      </w:tr>
      <w:tr w:rsidR="00F46A92" w14:paraId="7DB86A6E" w14:textId="77777777" w:rsidTr="00425397">
        <w:tc>
          <w:tcPr>
            <w:tcW w:w="9576" w:type="dxa"/>
          </w:tcPr>
          <w:p w14:paraId="352C40A3" w14:textId="77777777" w:rsidR="00F46A92" w:rsidRDefault="00F46A9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La Merced Vieja</w:t>
            </w:r>
          </w:p>
        </w:tc>
      </w:tr>
      <w:tr w:rsidR="00F46A92" w14:paraId="43CBEAA2" w14:textId="77777777" w:rsidTr="00425397">
        <w:tc>
          <w:tcPr>
            <w:tcW w:w="9576" w:type="dxa"/>
          </w:tcPr>
          <w:p w14:paraId="26D7E72A" w14:textId="007CEBBF" w:rsidR="00F46A92" w:rsidRDefault="00D5371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Las Moja</w:t>
            </w:r>
            <w:r w:rsidR="00F46A92">
              <w:rPr>
                <w:rFonts w:ascii="Verdana" w:hAnsi="Verdana"/>
                <w:sz w:val="20"/>
                <w:szCs w:val="20"/>
                <w:lang w:val="es-ES"/>
              </w:rPr>
              <w:t>rras</w:t>
            </w:r>
          </w:p>
        </w:tc>
      </w:tr>
      <w:tr w:rsidR="00F46A92" w14:paraId="570FD42C" w14:textId="77777777" w:rsidTr="00425397">
        <w:tc>
          <w:tcPr>
            <w:tcW w:w="9576" w:type="dxa"/>
          </w:tcPr>
          <w:p w14:paraId="00F5216C" w14:textId="77777777" w:rsidR="00F46A92" w:rsidRDefault="00F46A9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La Puntana I</w:t>
            </w:r>
          </w:p>
        </w:tc>
      </w:tr>
      <w:tr w:rsidR="00F46A92" w14:paraId="09E2E914" w14:textId="77777777" w:rsidTr="00425397">
        <w:tc>
          <w:tcPr>
            <w:tcW w:w="9576" w:type="dxa"/>
          </w:tcPr>
          <w:p w14:paraId="154B6EB6" w14:textId="77777777" w:rsidR="00F46A92" w:rsidRDefault="00F46A9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Las Vertientes</w:t>
            </w:r>
          </w:p>
        </w:tc>
      </w:tr>
      <w:tr w:rsidR="00F46A92" w14:paraId="645FE6BA" w14:textId="77777777" w:rsidTr="00425397">
        <w:tc>
          <w:tcPr>
            <w:tcW w:w="9576" w:type="dxa"/>
          </w:tcPr>
          <w:p w14:paraId="61145724" w14:textId="77777777" w:rsidR="00F46A92" w:rsidRDefault="00F46A9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Las Vertientes 2</w:t>
            </w:r>
          </w:p>
        </w:tc>
      </w:tr>
      <w:tr w:rsidR="00F46A92" w14:paraId="3F56E0B0" w14:textId="77777777" w:rsidTr="00425397">
        <w:tc>
          <w:tcPr>
            <w:tcW w:w="9576" w:type="dxa"/>
          </w:tcPr>
          <w:p w14:paraId="4E2367ED" w14:textId="77777777" w:rsidR="00F46A92" w:rsidRDefault="00F46A9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Lantawos Alto La Sierra</w:t>
            </w:r>
          </w:p>
        </w:tc>
      </w:tr>
      <w:tr w:rsidR="00F46A92" w14:paraId="4B92A0A7" w14:textId="77777777" w:rsidTr="00425397">
        <w:tc>
          <w:tcPr>
            <w:tcW w:w="9576" w:type="dxa"/>
          </w:tcPr>
          <w:p w14:paraId="02F6A7DE" w14:textId="77777777" w:rsidR="00F46A92" w:rsidRPr="00AB1C2C" w:rsidRDefault="00F46A9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Larguero</w:t>
            </w:r>
          </w:p>
        </w:tc>
      </w:tr>
      <w:tr w:rsidR="00F46A92" w14:paraId="0C31B19D" w14:textId="77777777" w:rsidTr="00425397">
        <w:tc>
          <w:tcPr>
            <w:tcW w:w="9576" w:type="dxa"/>
          </w:tcPr>
          <w:p w14:paraId="5329F891" w14:textId="77777777" w:rsidR="00F46A92" w:rsidRDefault="00F46A9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Madre Esperanza</w:t>
            </w:r>
          </w:p>
        </w:tc>
      </w:tr>
      <w:tr w:rsidR="00F46A92" w14:paraId="2A629515" w14:textId="77777777" w:rsidTr="00425397">
        <w:tc>
          <w:tcPr>
            <w:tcW w:w="9576" w:type="dxa"/>
          </w:tcPr>
          <w:p w14:paraId="69778CD4" w14:textId="77777777" w:rsidR="00F46A92" w:rsidRDefault="00F46A9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Misión Algarrobal</w:t>
            </w:r>
          </w:p>
        </w:tc>
      </w:tr>
      <w:tr w:rsidR="00F46A92" w14:paraId="0684778F" w14:textId="77777777" w:rsidTr="00425397">
        <w:tc>
          <w:tcPr>
            <w:tcW w:w="9576" w:type="dxa"/>
          </w:tcPr>
          <w:p w14:paraId="22FE07F8" w14:textId="77777777" w:rsidR="00F46A92" w:rsidRDefault="00F46A9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Misión Anselmo</w:t>
            </w:r>
          </w:p>
        </w:tc>
      </w:tr>
      <w:tr w:rsidR="00F46A92" w14:paraId="3AEF2BA4" w14:textId="77777777" w:rsidTr="00425397">
        <w:tc>
          <w:tcPr>
            <w:tcW w:w="9576" w:type="dxa"/>
          </w:tcPr>
          <w:p w14:paraId="22EB60D9" w14:textId="77777777" w:rsidR="00F46A92" w:rsidRDefault="00F46A9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Misión Grande De Santa María (Molhatati)</w:t>
            </w:r>
          </w:p>
        </w:tc>
      </w:tr>
      <w:tr w:rsidR="00F46A92" w14:paraId="7168ADB1" w14:textId="77777777" w:rsidTr="00425397">
        <w:tc>
          <w:tcPr>
            <w:tcW w:w="9576" w:type="dxa"/>
          </w:tcPr>
          <w:p w14:paraId="0469FF02" w14:textId="77777777" w:rsidR="00F46A92" w:rsidRDefault="00F46A9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Misión La Gracia</w:t>
            </w:r>
          </w:p>
        </w:tc>
      </w:tr>
      <w:tr w:rsidR="00F46A92" w14:paraId="37C7FD8C" w14:textId="77777777" w:rsidTr="00425397">
        <w:tc>
          <w:tcPr>
            <w:tcW w:w="9576" w:type="dxa"/>
          </w:tcPr>
          <w:p w14:paraId="57DC4175" w14:textId="77777777" w:rsidR="00F46A92" w:rsidRDefault="00F46A9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Misión La Paz</w:t>
            </w:r>
          </w:p>
        </w:tc>
      </w:tr>
      <w:tr w:rsidR="00F46A92" w14:paraId="2D6E1398" w14:textId="77777777" w:rsidTr="00425397">
        <w:tc>
          <w:tcPr>
            <w:tcW w:w="9576" w:type="dxa"/>
          </w:tcPr>
          <w:p w14:paraId="0E56A7BF" w14:textId="77777777" w:rsidR="00F46A92" w:rsidRDefault="00F46A9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Misión La Paz- B- (Chica)</w:t>
            </w:r>
          </w:p>
        </w:tc>
      </w:tr>
      <w:tr w:rsidR="00F46A92" w14:paraId="5A43FCAF" w14:textId="77777777" w:rsidTr="00425397">
        <w:tc>
          <w:tcPr>
            <w:tcW w:w="9576" w:type="dxa"/>
          </w:tcPr>
          <w:p w14:paraId="72F27373" w14:textId="77777777" w:rsidR="00F46A92" w:rsidRDefault="00F46A9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Misión San Luis</w:t>
            </w:r>
          </w:p>
        </w:tc>
      </w:tr>
      <w:tr w:rsidR="00F46A92" w14:paraId="5C9B5400" w14:textId="77777777" w:rsidTr="00425397">
        <w:tc>
          <w:tcPr>
            <w:tcW w:w="9576" w:type="dxa"/>
          </w:tcPr>
          <w:p w14:paraId="7D41B3CA" w14:textId="77777777" w:rsidR="00F46A92" w:rsidRDefault="00F46A9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Molathati</w:t>
            </w:r>
          </w:p>
        </w:tc>
      </w:tr>
      <w:tr w:rsidR="00F46A92" w14:paraId="6A791F90" w14:textId="77777777" w:rsidTr="00425397">
        <w:tc>
          <w:tcPr>
            <w:tcW w:w="9576" w:type="dxa"/>
          </w:tcPr>
          <w:p w14:paraId="4DF27B83" w14:textId="77777777" w:rsidR="00F46A92" w:rsidRDefault="00F46A9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Molathati 3</w:t>
            </w:r>
          </w:p>
        </w:tc>
      </w:tr>
      <w:tr w:rsidR="00F46A92" w14:paraId="3B7A1918" w14:textId="77777777" w:rsidTr="00425397">
        <w:tc>
          <w:tcPr>
            <w:tcW w:w="9576" w:type="dxa"/>
          </w:tcPr>
          <w:p w14:paraId="43BCC263" w14:textId="536CC066" w:rsidR="00F46A92" w:rsidRDefault="00F46A9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Monte Carmelo</w:t>
            </w:r>
            <w:r w:rsidR="00D53712">
              <w:rPr>
                <w:rFonts w:ascii="Verdana" w:hAnsi="Verdana"/>
                <w:sz w:val="20"/>
                <w:szCs w:val="20"/>
                <w:lang w:val="es-ES"/>
              </w:rPr>
              <w:t xml:space="preserve"> (toba)</w:t>
            </w:r>
          </w:p>
        </w:tc>
      </w:tr>
      <w:tr w:rsidR="00F46A92" w14:paraId="60F837FF" w14:textId="77777777" w:rsidTr="00425397">
        <w:tc>
          <w:tcPr>
            <w:tcW w:w="9576" w:type="dxa"/>
          </w:tcPr>
          <w:p w14:paraId="56219259" w14:textId="58F4F077" w:rsidR="00F46A92" w:rsidRDefault="00F46A9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Monte Carmelo</w:t>
            </w:r>
            <w:r w:rsidR="00D53712">
              <w:rPr>
                <w:rFonts w:ascii="Verdana" w:hAnsi="Verdana"/>
                <w:sz w:val="20"/>
                <w:szCs w:val="20"/>
                <w:lang w:val="es-ES"/>
              </w:rPr>
              <w:t xml:space="preserve"> (wichí)</w:t>
            </w:r>
          </w:p>
        </w:tc>
      </w:tr>
      <w:tr w:rsidR="00F46A92" w14:paraId="0086B698" w14:textId="77777777" w:rsidTr="00425397">
        <w:tc>
          <w:tcPr>
            <w:tcW w:w="9576" w:type="dxa"/>
          </w:tcPr>
          <w:p w14:paraId="2D891F68" w14:textId="619F4C3F" w:rsidR="00F46A92" w:rsidRDefault="00F46A9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Monte</w:t>
            </w:r>
            <w:r w:rsidR="00D53712">
              <w:rPr>
                <w:rFonts w:ascii="Verdana" w:hAnsi="Verdana"/>
                <w:sz w:val="20"/>
                <w:szCs w:val="20"/>
                <w:lang w:val="es-ES"/>
              </w:rPr>
              <w:t xml:space="preserve"> V</w:t>
            </w:r>
            <w:r>
              <w:rPr>
                <w:rFonts w:ascii="Verdana" w:hAnsi="Verdana"/>
                <w:sz w:val="20"/>
                <w:szCs w:val="20"/>
                <w:lang w:val="es-ES"/>
              </w:rPr>
              <w:t>erde</w:t>
            </w:r>
          </w:p>
        </w:tc>
      </w:tr>
      <w:tr w:rsidR="00F46A92" w14:paraId="65AB1AEB" w14:textId="77777777" w:rsidTr="00425397">
        <w:tc>
          <w:tcPr>
            <w:tcW w:w="9576" w:type="dxa"/>
          </w:tcPr>
          <w:p w14:paraId="4B17A894" w14:textId="77777777" w:rsidR="00F46A92" w:rsidRDefault="00F46A9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Nahakwet (Vertientes Chica)</w:t>
            </w:r>
          </w:p>
        </w:tc>
      </w:tr>
      <w:tr w:rsidR="00F46A92" w14:paraId="2C8E7E47" w14:textId="77777777" w:rsidTr="00425397">
        <w:tc>
          <w:tcPr>
            <w:tcW w:w="9576" w:type="dxa"/>
          </w:tcPr>
          <w:p w14:paraId="703496EA" w14:textId="77777777" w:rsidR="00F46A92" w:rsidRDefault="00F46A9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lastRenderedPageBreak/>
              <w:t>Nueva Esperanza</w:t>
            </w:r>
          </w:p>
        </w:tc>
      </w:tr>
      <w:tr w:rsidR="00F46A92" w14:paraId="1EA140DB" w14:textId="77777777" w:rsidTr="00425397">
        <w:tc>
          <w:tcPr>
            <w:tcW w:w="9576" w:type="dxa"/>
          </w:tcPr>
          <w:p w14:paraId="718F3997" w14:textId="77777777" w:rsidR="00F46A92" w:rsidRDefault="00F46A9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Nueva Vida</w:t>
            </w:r>
          </w:p>
        </w:tc>
      </w:tr>
      <w:tr w:rsidR="00F46A92" w14:paraId="17642299" w14:textId="77777777" w:rsidTr="00425397">
        <w:tc>
          <w:tcPr>
            <w:tcW w:w="9576" w:type="dxa"/>
          </w:tcPr>
          <w:p w14:paraId="2B41D3B9" w14:textId="77777777" w:rsidR="00F46A92" w:rsidRDefault="00F46A9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Padre Coll</w:t>
            </w:r>
          </w:p>
        </w:tc>
      </w:tr>
      <w:tr w:rsidR="00F46A92" w14:paraId="693D8484" w14:textId="77777777" w:rsidTr="00425397">
        <w:tc>
          <w:tcPr>
            <w:tcW w:w="9576" w:type="dxa"/>
          </w:tcPr>
          <w:p w14:paraId="778FF882" w14:textId="77777777" w:rsidR="00F46A92" w:rsidRDefault="00F46A9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Padre Coll 2</w:t>
            </w:r>
          </w:p>
        </w:tc>
      </w:tr>
      <w:tr w:rsidR="00F46A92" w14:paraId="595B33FF" w14:textId="77777777" w:rsidTr="00425397">
        <w:tc>
          <w:tcPr>
            <w:tcW w:w="9576" w:type="dxa"/>
          </w:tcPr>
          <w:p w14:paraId="7811AE5E" w14:textId="77777777" w:rsidR="00F46A92" w:rsidRDefault="00F46A9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Pim-Pim</w:t>
            </w:r>
          </w:p>
        </w:tc>
      </w:tr>
      <w:tr w:rsidR="00F46A92" w14:paraId="1FA942D1" w14:textId="77777777" w:rsidTr="00425397">
        <w:tc>
          <w:tcPr>
            <w:tcW w:w="9576" w:type="dxa"/>
          </w:tcPr>
          <w:p w14:paraId="1AE6B48D" w14:textId="373CFF4E" w:rsidR="00F46A92" w:rsidRDefault="00F46A9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Pomis</w:t>
            </w:r>
            <w:r w:rsidR="00D53712">
              <w:rPr>
                <w:rFonts w:ascii="Verdana" w:hAnsi="Verdana"/>
                <w:sz w:val="20"/>
                <w:szCs w:val="20"/>
                <w:lang w:val="es-ES"/>
              </w:rPr>
              <w:t xml:space="preserve"> </w:t>
            </w:r>
            <w:r>
              <w:rPr>
                <w:rFonts w:ascii="Verdana" w:hAnsi="Verdana"/>
                <w:sz w:val="20"/>
                <w:szCs w:val="20"/>
                <w:lang w:val="es-ES"/>
              </w:rPr>
              <w:t>Jiwet</w:t>
            </w:r>
          </w:p>
        </w:tc>
      </w:tr>
      <w:tr w:rsidR="00F46A92" w:rsidRPr="0083307C" w14:paraId="143D0FA9" w14:textId="77777777" w:rsidTr="00425397">
        <w:tc>
          <w:tcPr>
            <w:tcW w:w="9576" w:type="dxa"/>
          </w:tcPr>
          <w:p w14:paraId="3B750B3E" w14:textId="77777777" w:rsidR="00F46A92" w:rsidRDefault="00F46A9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Pozo El Bravo</w:t>
            </w:r>
          </w:p>
        </w:tc>
      </w:tr>
      <w:tr w:rsidR="00F46A92" w14:paraId="45FD30A6" w14:textId="77777777" w:rsidTr="00425397">
        <w:tc>
          <w:tcPr>
            <w:tcW w:w="9576" w:type="dxa"/>
          </w:tcPr>
          <w:p w14:paraId="058E7A79" w14:textId="77777777" w:rsidR="00F46A92" w:rsidRDefault="00F46A9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Pozo El Mulato</w:t>
            </w:r>
          </w:p>
        </w:tc>
      </w:tr>
      <w:tr w:rsidR="00F46A92" w14:paraId="425B5694" w14:textId="77777777" w:rsidTr="00425397">
        <w:tc>
          <w:tcPr>
            <w:tcW w:w="9576" w:type="dxa"/>
          </w:tcPr>
          <w:p w14:paraId="1D402F17" w14:textId="77777777" w:rsidR="00F46A92" w:rsidRDefault="00F46A9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Pozo El Tigre</w:t>
            </w:r>
          </w:p>
        </w:tc>
      </w:tr>
      <w:tr w:rsidR="00F46A92" w14:paraId="5B86A3B4" w14:textId="77777777" w:rsidTr="00425397">
        <w:tc>
          <w:tcPr>
            <w:tcW w:w="9576" w:type="dxa"/>
          </w:tcPr>
          <w:p w14:paraId="451541B5" w14:textId="77777777" w:rsidR="00F46A92" w:rsidRDefault="00F46A9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Pozo El Tigre III</w:t>
            </w:r>
          </w:p>
        </w:tc>
      </w:tr>
      <w:tr w:rsidR="00F46A92" w:rsidRPr="0083307C" w14:paraId="45396515" w14:textId="77777777" w:rsidTr="00425397">
        <w:tc>
          <w:tcPr>
            <w:tcW w:w="9576" w:type="dxa"/>
          </w:tcPr>
          <w:p w14:paraId="57432042" w14:textId="77777777" w:rsidR="00F46A92" w:rsidRDefault="00F46A9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Pozo El Toro</w:t>
            </w:r>
          </w:p>
        </w:tc>
      </w:tr>
      <w:tr w:rsidR="00F46A92" w14:paraId="66BFA25D" w14:textId="77777777" w:rsidTr="00425397">
        <w:tc>
          <w:tcPr>
            <w:tcW w:w="9576" w:type="dxa"/>
          </w:tcPr>
          <w:p w14:paraId="45E7C00E" w14:textId="77777777" w:rsidR="00F46A92" w:rsidRPr="00D70D7E" w:rsidRDefault="00F46A9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Pozo La China</w:t>
            </w:r>
          </w:p>
        </w:tc>
      </w:tr>
      <w:tr w:rsidR="00F46A92" w14:paraId="767A981E" w14:textId="77777777" w:rsidTr="00425397">
        <w:tc>
          <w:tcPr>
            <w:tcW w:w="9576" w:type="dxa"/>
          </w:tcPr>
          <w:p w14:paraId="60C4BC59" w14:textId="3BFAB30D" w:rsidR="00F46A92" w:rsidRDefault="00F46A9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 xml:space="preserve">Pozo </w:t>
            </w:r>
            <w:r w:rsidR="00D53712">
              <w:rPr>
                <w:rFonts w:ascii="Verdana" w:hAnsi="Verdana"/>
                <w:sz w:val="20"/>
                <w:szCs w:val="20"/>
                <w:lang w:val="es-ES"/>
              </w:rPr>
              <w:t>de l</w:t>
            </w:r>
            <w:r>
              <w:rPr>
                <w:rFonts w:ascii="Verdana" w:hAnsi="Verdana"/>
                <w:sz w:val="20"/>
                <w:szCs w:val="20"/>
                <w:lang w:val="es-ES"/>
              </w:rPr>
              <w:t>as Víboras</w:t>
            </w:r>
          </w:p>
        </w:tc>
      </w:tr>
      <w:tr w:rsidR="00F46A92" w14:paraId="7718D0B6" w14:textId="77777777" w:rsidTr="00425397">
        <w:tc>
          <w:tcPr>
            <w:tcW w:w="9576" w:type="dxa"/>
          </w:tcPr>
          <w:p w14:paraId="582AA56B" w14:textId="77777777" w:rsidR="00F46A92" w:rsidRDefault="00F46A9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Puesto Nuevo</w:t>
            </w:r>
          </w:p>
        </w:tc>
      </w:tr>
      <w:tr w:rsidR="00F46A92" w14:paraId="7469994B" w14:textId="77777777" w:rsidTr="00425397">
        <w:tc>
          <w:tcPr>
            <w:tcW w:w="9576" w:type="dxa"/>
          </w:tcPr>
          <w:p w14:paraId="0E0BC3F7" w14:textId="77777777" w:rsidR="00F46A92" w:rsidRDefault="00F46A9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Puntana Chica</w:t>
            </w:r>
          </w:p>
        </w:tc>
      </w:tr>
      <w:tr w:rsidR="00F46A92" w:rsidRPr="0083307C" w14:paraId="0DF28D75" w14:textId="77777777" w:rsidTr="00425397">
        <w:tc>
          <w:tcPr>
            <w:tcW w:w="9576" w:type="dxa"/>
          </w:tcPr>
          <w:p w14:paraId="122AC5CA" w14:textId="77777777" w:rsidR="00F46A92" w:rsidRDefault="00F46A9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Quebrachal 1</w:t>
            </w:r>
          </w:p>
        </w:tc>
      </w:tr>
      <w:tr w:rsidR="00F46A92" w14:paraId="2D62115D" w14:textId="77777777" w:rsidTr="00425397">
        <w:tc>
          <w:tcPr>
            <w:tcW w:w="9576" w:type="dxa"/>
          </w:tcPr>
          <w:p w14:paraId="2D298863" w14:textId="77777777" w:rsidR="00F46A92" w:rsidRPr="00136F8F" w:rsidRDefault="00F46A9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Quebrachal 2</w:t>
            </w:r>
          </w:p>
        </w:tc>
      </w:tr>
      <w:tr w:rsidR="00F46A92" w14:paraId="2076C105" w14:textId="77777777" w:rsidTr="00425397">
        <w:tc>
          <w:tcPr>
            <w:tcW w:w="9576" w:type="dxa"/>
          </w:tcPr>
          <w:p w14:paraId="2640D6A2" w14:textId="77777777" w:rsidR="00F46A92" w:rsidRPr="00136F8F" w:rsidRDefault="00F46A9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Rancho El Ñato</w:t>
            </w:r>
          </w:p>
        </w:tc>
      </w:tr>
      <w:tr w:rsidR="00F46A92" w14:paraId="1BB54625" w14:textId="77777777" w:rsidTr="00425397">
        <w:tc>
          <w:tcPr>
            <w:tcW w:w="9576" w:type="dxa"/>
          </w:tcPr>
          <w:p w14:paraId="06D7B131" w14:textId="77777777" w:rsidR="00F46A92" w:rsidRPr="00136F8F" w:rsidRDefault="00F46A9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Roberto Romero</w:t>
            </w:r>
          </w:p>
        </w:tc>
      </w:tr>
      <w:tr w:rsidR="00F46A92" w14:paraId="7ACC2E14" w14:textId="77777777" w:rsidTr="00425397">
        <w:tc>
          <w:tcPr>
            <w:tcW w:w="9576" w:type="dxa"/>
          </w:tcPr>
          <w:p w14:paraId="1450CCC4" w14:textId="77777777" w:rsidR="00F46A92" w:rsidRPr="00136F8F" w:rsidRDefault="00F46A9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San Andrés</w:t>
            </w:r>
          </w:p>
        </w:tc>
      </w:tr>
      <w:tr w:rsidR="00F46A92" w14:paraId="463A5A84" w14:textId="77777777" w:rsidTr="00425397">
        <w:tc>
          <w:tcPr>
            <w:tcW w:w="9576" w:type="dxa"/>
          </w:tcPr>
          <w:p w14:paraId="06109BEC" w14:textId="77777777" w:rsidR="00F46A92" w:rsidRPr="00136F8F" w:rsidRDefault="00F46A9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San Bernardo</w:t>
            </w:r>
          </w:p>
        </w:tc>
      </w:tr>
      <w:tr w:rsidR="00F46A92" w14:paraId="2C148595" w14:textId="77777777" w:rsidTr="00425397">
        <w:trPr>
          <w:trHeight w:val="282"/>
        </w:trPr>
        <w:tc>
          <w:tcPr>
            <w:tcW w:w="9576" w:type="dxa"/>
          </w:tcPr>
          <w:p w14:paraId="47AF531E" w14:textId="77777777" w:rsidR="00F46A92" w:rsidRPr="00136F8F" w:rsidRDefault="00F46A9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San Ignacio</w:t>
            </w:r>
          </w:p>
        </w:tc>
      </w:tr>
      <w:tr w:rsidR="00F46A92" w14:paraId="2CB2A4BE" w14:textId="77777777" w:rsidTr="00425397">
        <w:tc>
          <w:tcPr>
            <w:tcW w:w="9576" w:type="dxa"/>
          </w:tcPr>
          <w:p w14:paraId="2A557D3F" w14:textId="77777777" w:rsidR="00F46A92" w:rsidRPr="00136F8F" w:rsidRDefault="00F46A9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San Lorenzo</w:t>
            </w:r>
          </w:p>
        </w:tc>
      </w:tr>
      <w:tr w:rsidR="00F46A92" w14:paraId="6F9741C7" w14:textId="77777777" w:rsidTr="00425397">
        <w:tc>
          <w:tcPr>
            <w:tcW w:w="9576" w:type="dxa"/>
          </w:tcPr>
          <w:p w14:paraId="5C66D21B" w14:textId="77777777" w:rsidR="00F46A92" w:rsidRPr="00136F8F" w:rsidRDefault="00F46A9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San Miguel</w:t>
            </w:r>
          </w:p>
        </w:tc>
      </w:tr>
      <w:tr w:rsidR="00F46A92" w14:paraId="1B209DC1" w14:textId="77777777" w:rsidTr="00425397">
        <w:tc>
          <w:tcPr>
            <w:tcW w:w="9576" w:type="dxa"/>
          </w:tcPr>
          <w:p w14:paraId="18C365AF" w14:textId="77777777" w:rsidR="00F46A92" w:rsidRPr="00136F8F" w:rsidRDefault="00F46A9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Santa Victoria Este I</w:t>
            </w:r>
          </w:p>
        </w:tc>
      </w:tr>
      <w:tr w:rsidR="00F46A92" w:rsidRPr="0083307C" w14:paraId="2AB99685" w14:textId="77777777" w:rsidTr="00425397">
        <w:tc>
          <w:tcPr>
            <w:tcW w:w="9576" w:type="dxa"/>
          </w:tcPr>
          <w:p w14:paraId="4D50AAE9" w14:textId="77777777" w:rsidR="00F46A92" w:rsidRPr="00136F8F" w:rsidRDefault="00F46A9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Santa Victoria 2</w:t>
            </w:r>
          </w:p>
        </w:tc>
      </w:tr>
    </w:tbl>
    <w:p w14:paraId="2CD0390B" w14:textId="77777777" w:rsidR="00F46A92" w:rsidRDefault="00F46A92" w:rsidP="00F46A92">
      <w:pPr>
        <w:spacing w:line="240" w:lineRule="auto"/>
        <w:rPr>
          <w:rFonts w:ascii="Verdana" w:hAnsi="Verdana"/>
          <w:sz w:val="20"/>
          <w:szCs w:val="20"/>
          <w:lang w:val="es-ES"/>
        </w:rPr>
      </w:pPr>
    </w:p>
    <w:p w14:paraId="4B2934D6" w14:textId="77777777" w:rsidR="00F46A92" w:rsidRDefault="00F46A92" w:rsidP="00F46A92">
      <w:pPr>
        <w:spacing w:line="240" w:lineRule="auto"/>
        <w:rPr>
          <w:rFonts w:ascii="Verdana" w:hAnsi="Verdana"/>
          <w:sz w:val="20"/>
          <w:szCs w:val="20"/>
          <w:lang w:val="es-ES"/>
        </w:rPr>
      </w:pPr>
      <w:r>
        <w:rPr>
          <w:rFonts w:ascii="Verdana" w:hAnsi="Verdana"/>
          <w:sz w:val="20"/>
          <w:szCs w:val="20"/>
          <w:lang w:val="es-ES"/>
        </w:rPr>
        <w:br w:type="page"/>
      </w:r>
    </w:p>
    <w:p w14:paraId="06DCC76B" w14:textId="77777777" w:rsidR="00F46A92" w:rsidRPr="00F46A92" w:rsidRDefault="00F46A92" w:rsidP="00F46A92">
      <w:pPr>
        <w:pStyle w:val="Ttulo1"/>
        <w:jc w:val="center"/>
        <w:rPr>
          <w:rFonts w:ascii="Verdana" w:hAnsi="Verdana"/>
          <w:color w:val="auto"/>
          <w:sz w:val="20"/>
          <w:szCs w:val="20"/>
          <w:lang w:val="es-CR"/>
        </w:rPr>
      </w:pPr>
      <w:bookmarkStart w:id="381" w:name="_Toc34337613"/>
      <w:r w:rsidRPr="00F46A92">
        <w:rPr>
          <w:rFonts w:ascii="Verdana" w:hAnsi="Verdana"/>
          <w:color w:val="auto"/>
          <w:sz w:val="20"/>
          <w:szCs w:val="20"/>
          <w:lang w:val="es-ES"/>
        </w:rPr>
        <w:lastRenderedPageBreak/>
        <w:t>ANEXO IV</w:t>
      </w:r>
      <w:bookmarkEnd w:id="381"/>
    </w:p>
    <w:tbl>
      <w:tblPr>
        <w:tblStyle w:val="Tablaconcuadrcula"/>
        <w:tblW w:w="0" w:type="auto"/>
        <w:shd w:val="clear" w:color="auto" w:fill="BFBFBF" w:themeFill="background1" w:themeFillShade="BF"/>
        <w:tblLook w:val="04A0" w:firstRow="1" w:lastRow="0" w:firstColumn="1" w:lastColumn="0" w:noHBand="0" w:noVBand="1"/>
      </w:tblPr>
      <w:tblGrid>
        <w:gridCol w:w="8828"/>
      </w:tblGrid>
      <w:tr w:rsidR="00F46A92" w:rsidRPr="0083307C" w14:paraId="26FA8B69" w14:textId="77777777" w:rsidTr="00425397">
        <w:tc>
          <w:tcPr>
            <w:tcW w:w="9576" w:type="dxa"/>
            <w:shd w:val="clear" w:color="auto" w:fill="BFBFBF" w:themeFill="background1" w:themeFillShade="BF"/>
          </w:tcPr>
          <w:p w14:paraId="5EDB06E5" w14:textId="755B1C9A" w:rsidR="00F46A92" w:rsidRDefault="00F46A92" w:rsidP="00425397">
            <w:pPr>
              <w:spacing w:line="240" w:lineRule="auto"/>
              <w:jc w:val="center"/>
              <w:rPr>
                <w:rFonts w:ascii="Verdana" w:hAnsi="Verdana"/>
                <w:b/>
                <w:sz w:val="20"/>
                <w:szCs w:val="20"/>
                <w:lang w:val="es-CR"/>
              </w:rPr>
            </w:pPr>
            <w:r>
              <w:rPr>
                <w:rFonts w:ascii="Verdana" w:hAnsi="Verdana"/>
                <w:b/>
                <w:sz w:val="20"/>
                <w:szCs w:val="20"/>
                <w:lang w:val="es-CR"/>
              </w:rPr>
              <w:t>COMUNIDADES INDÍGENAS SEÑALADAS EN EL ESCRITO DE SOLICITUDES, ARGUME</w:t>
            </w:r>
            <w:r w:rsidR="00FF2CB4">
              <w:rPr>
                <w:rFonts w:ascii="Verdana" w:hAnsi="Verdana"/>
                <w:b/>
                <w:sz w:val="20"/>
                <w:szCs w:val="20"/>
                <w:lang w:val="es-CR"/>
              </w:rPr>
              <w:t>N</w:t>
            </w:r>
            <w:r>
              <w:rPr>
                <w:rFonts w:ascii="Verdana" w:hAnsi="Verdana"/>
                <w:b/>
                <w:sz w:val="20"/>
                <w:szCs w:val="20"/>
                <w:lang w:val="es-CR"/>
              </w:rPr>
              <w:t>TOS Y PRUEBAS</w:t>
            </w:r>
          </w:p>
          <w:p w14:paraId="13A473C8" w14:textId="77777777" w:rsidR="00F46A92" w:rsidRPr="00CB4851" w:rsidRDefault="00F46A92" w:rsidP="00425397">
            <w:pPr>
              <w:spacing w:line="240" w:lineRule="auto"/>
              <w:jc w:val="center"/>
              <w:rPr>
                <w:rFonts w:ascii="Verdana" w:hAnsi="Verdana"/>
                <w:b/>
                <w:sz w:val="20"/>
                <w:szCs w:val="20"/>
                <w:lang w:val="es-CR"/>
              </w:rPr>
            </w:pPr>
            <w:r>
              <w:rPr>
                <w:rFonts w:ascii="Verdana" w:hAnsi="Verdana"/>
                <w:b/>
                <w:sz w:val="20"/>
                <w:szCs w:val="20"/>
                <w:lang w:val="es-CR"/>
              </w:rPr>
              <w:t xml:space="preserve"> </w:t>
            </w:r>
          </w:p>
        </w:tc>
      </w:tr>
    </w:tbl>
    <w:p w14:paraId="74C3071E" w14:textId="77777777" w:rsidR="00F46A92" w:rsidRPr="00CB4851" w:rsidRDefault="00F46A92" w:rsidP="00543ED6">
      <w:pPr>
        <w:spacing w:after="0" w:line="240" w:lineRule="auto"/>
        <w:jc w:val="center"/>
        <w:rPr>
          <w:rFonts w:ascii="Verdana" w:hAnsi="Verdana"/>
          <w:b/>
          <w:sz w:val="20"/>
          <w:szCs w:val="20"/>
          <w:u w:val="single"/>
          <w:lang w:val="es-CR"/>
        </w:rPr>
      </w:pPr>
    </w:p>
    <w:tbl>
      <w:tblPr>
        <w:tblStyle w:val="Tablaconcuadrcula"/>
        <w:tblW w:w="0" w:type="auto"/>
        <w:tblLook w:val="04A0" w:firstRow="1" w:lastRow="0" w:firstColumn="1" w:lastColumn="0" w:noHBand="0" w:noVBand="1"/>
      </w:tblPr>
      <w:tblGrid>
        <w:gridCol w:w="8828"/>
      </w:tblGrid>
      <w:tr w:rsidR="00F46A92" w14:paraId="6C9F8D08" w14:textId="77777777" w:rsidTr="00425397">
        <w:tc>
          <w:tcPr>
            <w:tcW w:w="9576" w:type="dxa"/>
          </w:tcPr>
          <w:p w14:paraId="78F51124"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Algarrobal 2</w:t>
            </w:r>
          </w:p>
        </w:tc>
      </w:tr>
      <w:tr w:rsidR="00F46A92" w14:paraId="52977B01" w14:textId="77777777" w:rsidTr="00425397">
        <w:tc>
          <w:tcPr>
            <w:tcW w:w="9576" w:type="dxa"/>
          </w:tcPr>
          <w:p w14:paraId="3FF26EF5"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Al PU – Misión Las Juntas</w:t>
            </w:r>
          </w:p>
        </w:tc>
      </w:tr>
      <w:tr w:rsidR="00F46A92" w14:paraId="510D89BE" w14:textId="77777777" w:rsidTr="00425397">
        <w:tc>
          <w:tcPr>
            <w:tcW w:w="9576" w:type="dxa"/>
          </w:tcPr>
          <w:p w14:paraId="1856B294"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Anglicana 2</w:t>
            </w:r>
          </w:p>
        </w:tc>
      </w:tr>
      <w:tr w:rsidR="00F46A92" w14:paraId="750560BD" w14:textId="77777777" w:rsidTr="00425397">
        <w:tc>
          <w:tcPr>
            <w:tcW w:w="9576" w:type="dxa"/>
          </w:tcPr>
          <w:p w14:paraId="0F6A1DC9"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Arenales (Hoot)</w:t>
            </w:r>
          </w:p>
        </w:tc>
      </w:tr>
      <w:tr w:rsidR="00F46A92" w14:paraId="11981AF0" w14:textId="77777777" w:rsidTr="00425397">
        <w:tc>
          <w:tcPr>
            <w:tcW w:w="9576" w:type="dxa"/>
          </w:tcPr>
          <w:p w14:paraId="6A5D1FC1"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Bajo Grande (Sopak – Wen’hi)</w:t>
            </w:r>
          </w:p>
        </w:tc>
      </w:tr>
      <w:tr w:rsidR="00F46A92" w14:paraId="38DEFE36" w14:textId="77777777" w:rsidTr="00425397">
        <w:tc>
          <w:tcPr>
            <w:tcW w:w="9576" w:type="dxa"/>
          </w:tcPr>
          <w:p w14:paraId="134E2B47"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 xml:space="preserve">Barrio Pozo el Tigre </w:t>
            </w:r>
          </w:p>
        </w:tc>
      </w:tr>
      <w:tr w:rsidR="00F46A92" w14:paraId="5857B275" w14:textId="77777777" w:rsidTr="00425397">
        <w:tc>
          <w:tcPr>
            <w:tcW w:w="9576" w:type="dxa"/>
          </w:tcPr>
          <w:p w14:paraId="5DCB3907"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B00788">
              <w:rPr>
                <w:rFonts w:ascii="Verdana" w:hAnsi="Verdana"/>
                <w:sz w:val="20"/>
                <w:szCs w:val="20"/>
                <w:lang w:val="es-CR"/>
              </w:rPr>
              <w:t>Bella Vista</w:t>
            </w:r>
          </w:p>
        </w:tc>
      </w:tr>
      <w:tr w:rsidR="00F46A92" w14:paraId="652A4D24" w14:textId="77777777" w:rsidTr="00425397">
        <w:tc>
          <w:tcPr>
            <w:tcW w:w="9576" w:type="dxa"/>
          </w:tcPr>
          <w:p w14:paraId="37662871"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Buen Destino 1</w:t>
            </w:r>
          </w:p>
        </w:tc>
      </w:tr>
      <w:tr w:rsidR="00F46A92" w14:paraId="4621B55B" w14:textId="77777777" w:rsidTr="00425397">
        <w:tc>
          <w:tcPr>
            <w:tcW w:w="9576" w:type="dxa"/>
          </w:tcPr>
          <w:p w14:paraId="22DE52F8"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Buen Destino 2</w:t>
            </w:r>
          </w:p>
        </w:tc>
      </w:tr>
      <w:tr w:rsidR="00F46A92" w14:paraId="61820463" w14:textId="77777777" w:rsidTr="00425397">
        <w:tc>
          <w:tcPr>
            <w:tcW w:w="9576" w:type="dxa"/>
          </w:tcPr>
          <w:p w14:paraId="163745EB"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Cañada Larga</w:t>
            </w:r>
          </w:p>
        </w:tc>
      </w:tr>
      <w:tr w:rsidR="00F46A92" w14:paraId="1B14A6CA" w14:textId="77777777" w:rsidTr="00425397">
        <w:tc>
          <w:tcPr>
            <w:tcW w:w="9576" w:type="dxa"/>
          </w:tcPr>
          <w:p w14:paraId="53EF36C3"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Cho” way Alto La Sierra</w:t>
            </w:r>
          </w:p>
        </w:tc>
      </w:tr>
      <w:tr w:rsidR="00F46A92" w14:paraId="3B0721ED" w14:textId="77777777" w:rsidTr="00425397">
        <w:tc>
          <w:tcPr>
            <w:tcW w:w="9576" w:type="dxa"/>
          </w:tcPr>
          <w:p w14:paraId="024F65F5"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Cruce Buena Fe</w:t>
            </w:r>
          </w:p>
        </w:tc>
      </w:tr>
      <w:tr w:rsidR="00F46A92" w14:paraId="611F990C" w14:textId="77777777" w:rsidTr="00425397">
        <w:tc>
          <w:tcPr>
            <w:tcW w:w="9576" w:type="dxa"/>
          </w:tcPr>
          <w:p w14:paraId="1BAD443D"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Cruce Santa Victoria Este</w:t>
            </w:r>
          </w:p>
        </w:tc>
      </w:tr>
      <w:tr w:rsidR="00F46A92" w14:paraId="5A899148" w14:textId="77777777" w:rsidTr="00425397">
        <w:tc>
          <w:tcPr>
            <w:tcW w:w="9576" w:type="dxa"/>
          </w:tcPr>
          <w:p w14:paraId="143F46BE"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Ebeneser</w:t>
            </w:r>
          </w:p>
        </w:tc>
      </w:tr>
      <w:tr w:rsidR="00F46A92" w14:paraId="4C9A7AD2" w14:textId="77777777" w:rsidTr="00425397">
        <w:tc>
          <w:tcPr>
            <w:tcW w:w="9576" w:type="dxa"/>
          </w:tcPr>
          <w:p w14:paraId="6A976214"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El Bordo</w:t>
            </w:r>
          </w:p>
        </w:tc>
      </w:tr>
      <w:tr w:rsidR="00F46A92" w14:paraId="488D76D0" w14:textId="77777777" w:rsidTr="00425397">
        <w:tc>
          <w:tcPr>
            <w:tcW w:w="9576" w:type="dxa"/>
          </w:tcPr>
          <w:p w14:paraId="5D66B729"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El Cañaveral I</w:t>
            </w:r>
          </w:p>
        </w:tc>
      </w:tr>
      <w:tr w:rsidR="00F46A92" w14:paraId="7252CBBF" w14:textId="77777777" w:rsidTr="00425397">
        <w:tc>
          <w:tcPr>
            <w:tcW w:w="9576" w:type="dxa"/>
          </w:tcPr>
          <w:p w14:paraId="7613D802"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El Cañaveral II</w:t>
            </w:r>
          </w:p>
        </w:tc>
      </w:tr>
      <w:tr w:rsidR="00F46A92" w14:paraId="7AD4459B" w14:textId="77777777" w:rsidTr="00F46A92">
        <w:trPr>
          <w:trHeight w:val="200"/>
        </w:trPr>
        <w:tc>
          <w:tcPr>
            <w:tcW w:w="9576" w:type="dxa"/>
          </w:tcPr>
          <w:p w14:paraId="6D5F4483"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El Cruce – Santa María</w:t>
            </w:r>
          </w:p>
        </w:tc>
      </w:tr>
      <w:tr w:rsidR="00F46A92" w:rsidRPr="0083307C" w14:paraId="77F14FD2" w14:textId="77777777" w:rsidTr="00425397">
        <w:tc>
          <w:tcPr>
            <w:tcW w:w="9576" w:type="dxa"/>
          </w:tcPr>
          <w:p w14:paraId="3C7F3A6E"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El Desemboque</w:t>
            </w:r>
          </w:p>
        </w:tc>
      </w:tr>
      <w:tr w:rsidR="00F46A92" w14:paraId="56F008F8" w14:textId="77777777" w:rsidTr="00425397">
        <w:tc>
          <w:tcPr>
            <w:tcW w:w="9576" w:type="dxa"/>
          </w:tcPr>
          <w:p w14:paraId="7F901E86"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El Porvenir</w:t>
            </w:r>
          </w:p>
        </w:tc>
      </w:tr>
      <w:tr w:rsidR="00F46A92" w14:paraId="58D005A2" w14:textId="77777777" w:rsidTr="00425397">
        <w:tc>
          <w:tcPr>
            <w:tcW w:w="9576" w:type="dxa"/>
          </w:tcPr>
          <w:p w14:paraId="5194E989"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Golondrina</w:t>
            </w:r>
          </w:p>
        </w:tc>
      </w:tr>
      <w:tr w:rsidR="00F46A92" w14:paraId="06DB88C9" w14:textId="77777777" w:rsidTr="00425397">
        <w:tc>
          <w:tcPr>
            <w:tcW w:w="9576" w:type="dxa"/>
          </w:tcPr>
          <w:p w14:paraId="3F750206"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Inhate Alto La Sierra</w:t>
            </w:r>
          </w:p>
        </w:tc>
      </w:tr>
      <w:tr w:rsidR="00F46A92" w14:paraId="40278843" w14:textId="77777777" w:rsidTr="00425397">
        <w:tc>
          <w:tcPr>
            <w:tcW w:w="9576" w:type="dxa"/>
          </w:tcPr>
          <w:p w14:paraId="2F1B2A03"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Kilómetro I</w:t>
            </w:r>
          </w:p>
        </w:tc>
      </w:tr>
      <w:tr w:rsidR="00F46A92" w14:paraId="5C80AB78" w14:textId="77777777" w:rsidTr="00425397">
        <w:tc>
          <w:tcPr>
            <w:tcW w:w="9576" w:type="dxa"/>
          </w:tcPr>
          <w:p w14:paraId="47A33DA5"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Kilómetro 2</w:t>
            </w:r>
          </w:p>
        </w:tc>
      </w:tr>
      <w:tr w:rsidR="00F46A92" w14:paraId="41F6E129" w14:textId="77777777" w:rsidTr="00425397">
        <w:tc>
          <w:tcPr>
            <w:tcW w:w="9576" w:type="dxa"/>
          </w:tcPr>
          <w:p w14:paraId="4F3F1434"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Kilómetro 2</w:t>
            </w:r>
            <w:r>
              <w:rPr>
                <w:rFonts w:ascii="Verdana" w:hAnsi="Verdana"/>
                <w:sz w:val="20"/>
                <w:szCs w:val="20"/>
                <w:lang w:val="es-CR"/>
              </w:rPr>
              <w:t xml:space="preserve"> (2)</w:t>
            </w:r>
          </w:p>
        </w:tc>
      </w:tr>
      <w:tr w:rsidR="00F46A92" w14:paraId="33408FBE" w14:textId="77777777" w:rsidTr="00425397">
        <w:tc>
          <w:tcPr>
            <w:tcW w:w="9576" w:type="dxa"/>
          </w:tcPr>
          <w:p w14:paraId="3728CCAB"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Kilómetro 2 (3)</w:t>
            </w:r>
          </w:p>
        </w:tc>
      </w:tr>
      <w:tr w:rsidR="00F46A92" w14:paraId="31F69419" w14:textId="77777777" w:rsidTr="00425397">
        <w:tc>
          <w:tcPr>
            <w:tcW w:w="9576" w:type="dxa"/>
          </w:tcPr>
          <w:p w14:paraId="4ED73AC6" w14:textId="5C357394" w:rsidR="00F46A92" w:rsidRPr="006956F9" w:rsidRDefault="00D53712" w:rsidP="00425397">
            <w:pPr>
              <w:pStyle w:val="Prrafodelista"/>
              <w:numPr>
                <w:ilvl w:val="0"/>
                <w:numId w:val="19"/>
              </w:numPr>
              <w:spacing w:after="0" w:line="240" w:lineRule="auto"/>
              <w:rPr>
                <w:rFonts w:ascii="Verdana" w:hAnsi="Verdana"/>
                <w:sz w:val="20"/>
                <w:szCs w:val="20"/>
                <w:lang w:val="es-CR"/>
              </w:rPr>
            </w:pPr>
            <w:r>
              <w:rPr>
                <w:rFonts w:ascii="Verdana" w:hAnsi="Verdana"/>
                <w:sz w:val="20"/>
                <w:szCs w:val="20"/>
                <w:lang w:val="es-CR"/>
              </w:rPr>
              <w:t>Ko</w:t>
            </w:r>
            <w:r w:rsidR="00F46A92" w:rsidRPr="006956F9">
              <w:rPr>
                <w:rFonts w:ascii="Verdana" w:hAnsi="Verdana"/>
                <w:sz w:val="20"/>
                <w:szCs w:val="20"/>
                <w:lang w:val="es-CR"/>
              </w:rPr>
              <w:t>m La Chaca – Monte Carmelo</w:t>
            </w:r>
          </w:p>
        </w:tc>
      </w:tr>
      <w:tr w:rsidR="00F46A92" w14:paraId="17FEE2E9" w14:textId="77777777" w:rsidTr="00425397">
        <w:tc>
          <w:tcPr>
            <w:tcW w:w="9576" w:type="dxa"/>
          </w:tcPr>
          <w:p w14:paraId="5B9C5893"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La Banda</w:t>
            </w:r>
          </w:p>
        </w:tc>
      </w:tr>
      <w:tr w:rsidR="00F46A92" w14:paraId="300D4073" w14:textId="77777777" w:rsidTr="00425397">
        <w:tc>
          <w:tcPr>
            <w:tcW w:w="9576" w:type="dxa"/>
          </w:tcPr>
          <w:p w14:paraId="2853C084"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La Bolsa</w:t>
            </w:r>
          </w:p>
        </w:tc>
      </w:tr>
      <w:tr w:rsidR="00F46A92" w14:paraId="2E9822EB" w14:textId="77777777" w:rsidTr="00425397">
        <w:tc>
          <w:tcPr>
            <w:tcW w:w="9576" w:type="dxa"/>
          </w:tcPr>
          <w:p w14:paraId="076E53F9"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La Bolsa II</w:t>
            </w:r>
          </w:p>
        </w:tc>
      </w:tr>
      <w:tr w:rsidR="00F46A92" w14:paraId="5EE37339" w14:textId="77777777" w:rsidTr="00425397">
        <w:tc>
          <w:tcPr>
            <w:tcW w:w="9576" w:type="dxa"/>
          </w:tcPr>
          <w:p w14:paraId="1D805256"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La Curvita</w:t>
            </w:r>
          </w:p>
        </w:tc>
      </w:tr>
      <w:tr w:rsidR="00F46A92" w14:paraId="5BFB8056" w14:textId="77777777" w:rsidTr="00425397">
        <w:tc>
          <w:tcPr>
            <w:tcW w:w="9576" w:type="dxa"/>
          </w:tcPr>
          <w:p w14:paraId="56C84492"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La Esperanza</w:t>
            </w:r>
          </w:p>
        </w:tc>
      </w:tr>
      <w:tr w:rsidR="00F46A92" w14:paraId="2C10190F" w14:textId="77777777" w:rsidTr="00425397">
        <w:tc>
          <w:tcPr>
            <w:tcW w:w="9576" w:type="dxa"/>
          </w:tcPr>
          <w:p w14:paraId="5A774147"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La Esperanza 2 (La Puntana)</w:t>
            </w:r>
          </w:p>
        </w:tc>
      </w:tr>
      <w:tr w:rsidR="00F46A92" w14:paraId="4F3A605D" w14:textId="77777777" w:rsidTr="00425397">
        <w:tc>
          <w:tcPr>
            <w:tcW w:w="9576" w:type="dxa"/>
          </w:tcPr>
          <w:p w14:paraId="009E2D3E"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La Estrella</w:t>
            </w:r>
          </w:p>
        </w:tc>
      </w:tr>
      <w:tr w:rsidR="00F46A92" w14:paraId="5E3F9BAB" w14:textId="77777777" w:rsidTr="00425397">
        <w:trPr>
          <w:trHeight w:val="147"/>
        </w:trPr>
        <w:tc>
          <w:tcPr>
            <w:tcW w:w="9576" w:type="dxa"/>
          </w:tcPr>
          <w:p w14:paraId="0D8FBC83"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La Merced Chica</w:t>
            </w:r>
          </w:p>
        </w:tc>
      </w:tr>
      <w:tr w:rsidR="00F46A92" w14:paraId="4C94C818" w14:textId="77777777" w:rsidTr="00425397">
        <w:tc>
          <w:tcPr>
            <w:tcW w:w="9576" w:type="dxa"/>
          </w:tcPr>
          <w:p w14:paraId="4943E429"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La Merced Nueva 1</w:t>
            </w:r>
          </w:p>
        </w:tc>
      </w:tr>
      <w:tr w:rsidR="00F46A92" w14:paraId="11781203" w14:textId="77777777" w:rsidTr="00425397">
        <w:tc>
          <w:tcPr>
            <w:tcW w:w="9576" w:type="dxa"/>
          </w:tcPr>
          <w:p w14:paraId="02CD1A56"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La Merced Vieja</w:t>
            </w:r>
          </w:p>
        </w:tc>
      </w:tr>
      <w:tr w:rsidR="00F46A92" w14:paraId="2EE69ECA" w14:textId="77777777" w:rsidTr="00425397">
        <w:tc>
          <w:tcPr>
            <w:tcW w:w="9576" w:type="dxa"/>
          </w:tcPr>
          <w:p w14:paraId="4657BC7B"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La Puntana I</w:t>
            </w:r>
          </w:p>
        </w:tc>
      </w:tr>
      <w:tr w:rsidR="00F46A92" w14:paraId="562EC31B" w14:textId="77777777" w:rsidTr="00425397">
        <w:tc>
          <w:tcPr>
            <w:tcW w:w="9576" w:type="dxa"/>
          </w:tcPr>
          <w:p w14:paraId="606678A2"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La Sardina</w:t>
            </w:r>
          </w:p>
        </w:tc>
      </w:tr>
      <w:tr w:rsidR="00F46A92" w14:paraId="2028BBA7" w14:textId="77777777" w:rsidTr="00425397">
        <w:tc>
          <w:tcPr>
            <w:tcW w:w="9576" w:type="dxa"/>
          </w:tcPr>
          <w:p w14:paraId="5AFFBDFF"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Larguero</w:t>
            </w:r>
          </w:p>
        </w:tc>
      </w:tr>
      <w:tr w:rsidR="00F46A92" w14:paraId="68BD3E7D" w14:textId="77777777" w:rsidTr="00425397">
        <w:tc>
          <w:tcPr>
            <w:tcW w:w="9576" w:type="dxa"/>
          </w:tcPr>
          <w:p w14:paraId="55B3AB3E"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Las Lomitas</w:t>
            </w:r>
          </w:p>
        </w:tc>
      </w:tr>
      <w:tr w:rsidR="00F46A92" w14:paraId="60AC3700" w14:textId="77777777" w:rsidTr="00425397">
        <w:tc>
          <w:tcPr>
            <w:tcW w:w="9576" w:type="dxa"/>
          </w:tcPr>
          <w:p w14:paraId="3F1340DD"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Las Vertientes 1</w:t>
            </w:r>
          </w:p>
        </w:tc>
      </w:tr>
      <w:tr w:rsidR="00F46A92" w14:paraId="6C3C09A3" w14:textId="77777777" w:rsidTr="00425397">
        <w:tc>
          <w:tcPr>
            <w:tcW w:w="9576" w:type="dxa"/>
          </w:tcPr>
          <w:p w14:paraId="49C6D73D"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Las Vertientes 2</w:t>
            </w:r>
          </w:p>
        </w:tc>
      </w:tr>
      <w:tr w:rsidR="00F46A92" w14:paraId="0816625E" w14:textId="77777777" w:rsidTr="00425397">
        <w:tc>
          <w:tcPr>
            <w:tcW w:w="9576" w:type="dxa"/>
          </w:tcPr>
          <w:p w14:paraId="564AA12F"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Latawos Alto La Sierra</w:t>
            </w:r>
          </w:p>
        </w:tc>
      </w:tr>
      <w:tr w:rsidR="00F46A92" w14:paraId="6AEDAAF1" w14:textId="77777777" w:rsidTr="00425397">
        <w:tc>
          <w:tcPr>
            <w:tcW w:w="9576" w:type="dxa"/>
          </w:tcPr>
          <w:p w14:paraId="5DC85EE7"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lastRenderedPageBreak/>
              <w:t>Lhaka Honhat Nueva</w:t>
            </w:r>
          </w:p>
        </w:tc>
      </w:tr>
      <w:tr w:rsidR="00F46A92" w14:paraId="0604711B" w14:textId="77777777" w:rsidTr="00425397">
        <w:tc>
          <w:tcPr>
            <w:tcW w:w="9576" w:type="dxa"/>
          </w:tcPr>
          <w:p w14:paraId="3AC3D663"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Misión Algarrobal</w:t>
            </w:r>
          </w:p>
        </w:tc>
      </w:tr>
      <w:tr w:rsidR="00F46A92" w14:paraId="3B2C0CCE" w14:textId="77777777" w:rsidTr="00425397">
        <w:tc>
          <w:tcPr>
            <w:tcW w:w="9576" w:type="dxa"/>
          </w:tcPr>
          <w:p w14:paraId="7373C3D1"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Misión Anselmo</w:t>
            </w:r>
          </w:p>
        </w:tc>
      </w:tr>
      <w:tr w:rsidR="00F46A92" w:rsidRPr="0083307C" w14:paraId="6687B9FB" w14:textId="77777777" w:rsidTr="00425397">
        <w:tc>
          <w:tcPr>
            <w:tcW w:w="9576" w:type="dxa"/>
          </w:tcPr>
          <w:p w14:paraId="23F4199F" w14:textId="102B5A1F"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Misión Anselmo</w:t>
            </w:r>
            <w:r w:rsidR="00543ED6" w:rsidRPr="00543ED6">
              <w:rPr>
                <w:rStyle w:val="Refdenotaalpie"/>
                <w:rFonts w:ascii="Verdana" w:hAnsi="Verdana"/>
                <w:sz w:val="20"/>
                <w:lang w:val="es-ES"/>
              </w:rPr>
              <w:footnoteReference w:customMarkFollows="1" w:id="341"/>
              <w:t>*</w:t>
            </w:r>
          </w:p>
        </w:tc>
      </w:tr>
      <w:tr w:rsidR="00F46A92" w14:paraId="3A5C785D" w14:textId="77777777" w:rsidTr="00425397">
        <w:tc>
          <w:tcPr>
            <w:tcW w:w="9576" w:type="dxa"/>
          </w:tcPr>
          <w:p w14:paraId="7FF6CE7C"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Misión Grande Santa María (Molthatí)</w:t>
            </w:r>
          </w:p>
        </w:tc>
      </w:tr>
      <w:tr w:rsidR="00F46A92" w14:paraId="0A7B24BC" w14:textId="77777777" w:rsidTr="00425397">
        <w:tc>
          <w:tcPr>
            <w:tcW w:w="9576" w:type="dxa"/>
          </w:tcPr>
          <w:p w14:paraId="08825172"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Misión La Gracia</w:t>
            </w:r>
          </w:p>
        </w:tc>
      </w:tr>
      <w:tr w:rsidR="00F46A92" w14:paraId="0B7A77EE" w14:textId="77777777" w:rsidTr="00425397">
        <w:tc>
          <w:tcPr>
            <w:tcW w:w="9576" w:type="dxa"/>
          </w:tcPr>
          <w:p w14:paraId="313CFB1E"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Misión La Paz</w:t>
            </w:r>
          </w:p>
        </w:tc>
      </w:tr>
      <w:tr w:rsidR="00F46A92" w:rsidRPr="0083307C" w14:paraId="62396256" w14:textId="77777777" w:rsidTr="00425397">
        <w:tc>
          <w:tcPr>
            <w:tcW w:w="9576" w:type="dxa"/>
          </w:tcPr>
          <w:p w14:paraId="7457AA9E"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Misión La Paz –B- (Chica)</w:t>
            </w:r>
          </w:p>
        </w:tc>
      </w:tr>
      <w:tr w:rsidR="00F46A92" w14:paraId="638E67E1" w14:textId="77777777" w:rsidTr="00425397">
        <w:tc>
          <w:tcPr>
            <w:tcW w:w="9576" w:type="dxa"/>
          </w:tcPr>
          <w:p w14:paraId="4E7E6FA8"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Misión San Luis</w:t>
            </w:r>
          </w:p>
        </w:tc>
      </w:tr>
      <w:tr w:rsidR="00F46A92" w14:paraId="0EC31985" w14:textId="77777777" w:rsidTr="00425397">
        <w:tc>
          <w:tcPr>
            <w:tcW w:w="9576" w:type="dxa"/>
          </w:tcPr>
          <w:p w14:paraId="6934197F"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Misión Vieja Santa María</w:t>
            </w:r>
          </w:p>
        </w:tc>
      </w:tr>
      <w:tr w:rsidR="00F46A92" w14:paraId="1891B8C3" w14:textId="77777777" w:rsidTr="00425397">
        <w:tc>
          <w:tcPr>
            <w:tcW w:w="9576" w:type="dxa"/>
          </w:tcPr>
          <w:p w14:paraId="6DB6CADF"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Misión Vieja (Santa María)</w:t>
            </w:r>
          </w:p>
        </w:tc>
      </w:tr>
      <w:tr w:rsidR="00F46A92" w14:paraId="5AC81BA5" w14:textId="77777777" w:rsidTr="00425397">
        <w:tc>
          <w:tcPr>
            <w:tcW w:w="9576" w:type="dxa"/>
          </w:tcPr>
          <w:p w14:paraId="2969CC1C"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Mistolar</w:t>
            </w:r>
          </w:p>
        </w:tc>
      </w:tr>
      <w:tr w:rsidR="00F46A92" w:rsidRPr="0083307C" w14:paraId="3860EE45" w14:textId="77777777" w:rsidTr="00425397">
        <w:tc>
          <w:tcPr>
            <w:tcW w:w="9576" w:type="dxa"/>
          </w:tcPr>
          <w:p w14:paraId="49D9821A"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Molathati</w:t>
            </w:r>
          </w:p>
        </w:tc>
      </w:tr>
      <w:tr w:rsidR="00F46A92" w14:paraId="4A0B5E43" w14:textId="77777777" w:rsidTr="00425397">
        <w:tc>
          <w:tcPr>
            <w:tcW w:w="9576" w:type="dxa"/>
          </w:tcPr>
          <w:p w14:paraId="79A1AA33"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Molathati 2</w:t>
            </w:r>
          </w:p>
        </w:tc>
      </w:tr>
      <w:tr w:rsidR="00F46A92" w14:paraId="031646CC" w14:textId="77777777" w:rsidTr="00425397">
        <w:tc>
          <w:tcPr>
            <w:tcW w:w="9576" w:type="dxa"/>
          </w:tcPr>
          <w:p w14:paraId="312C145F"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Monteverde</w:t>
            </w:r>
          </w:p>
        </w:tc>
      </w:tr>
      <w:tr w:rsidR="00F46A92" w14:paraId="0071FA15" w14:textId="77777777" w:rsidTr="00425397">
        <w:tc>
          <w:tcPr>
            <w:tcW w:w="9576" w:type="dxa"/>
          </w:tcPr>
          <w:p w14:paraId="08A6C220"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Monte Carmelo (toba)</w:t>
            </w:r>
          </w:p>
        </w:tc>
      </w:tr>
      <w:tr w:rsidR="00F46A92" w14:paraId="4DA4D12E" w14:textId="77777777" w:rsidTr="00425397">
        <w:tc>
          <w:tcPr>
            <w:tcW w:w="9576" w:type="dxa"/>
          </w:tcPr>
          <w:p w14:paraId="2F93A16E"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Monte Carmelo (wichí)</w:t>
            </w:r>
          </w:p>
        </w:tc>
      </w:tr>
      <w:tr w:rsidR="00F46A92" w14:paraId="74D94F1D" w14:textId="77777777" w:rsidTr="00425397">
        <w:tc>
          <w:tcPr>
            <w:tcW w:w="9576" w:type="dxa"/>
          </w:tcPr>
          <w:p w14:paraId="46F9B674"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Nahakw</w:t>
            </w:r>
            <w:r>
              <w:rPr>
                <w:rFonts w:ascii="Verdana" w:hAnsi="Verdana"/>
                <w:sz w:val="20"/>
                <w:szCs w:val="20"/>
                <w:lang w:val="es-CR"/>
              </w:rPr>
              <w:t>e</w:t>
            </w:r>
            <w:r w:rsidRPr="006956F9">
              <w:rPr>
                <w:rFonts w:ascii="Verdana" w:hAnsi="Verdana"/>
                <w:sz w:val="20"/>
                <w:szCs w:val="20"/>
                <w:lang w:val="es-CR"/>
              </w:rPr>
              <w:t>t (Vertientes Chica)</w:t>
            </w:r>
          </w:p>
        </w:tc>
      </w:tr>
      <w:tr w:rsidR="00F46A92" w14:paraId="1F4D87E1" w14:textId="77777777" w:rsidTr="00425397">
        <w:tc>
          <w:tcPr>
            <w:tcW w:w="9576" w:type="dxa"/>
          </w:tcPr>
          <w:p w14:paraId="4FBCF69B"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Nueva Esperanza</w:t>
            </w:r>
          </w:p>
        </w:tc>
      </w:tr>
      <w:tr w:rsidR="00F46A92" w14:paraId="6B072F00" w14:textId="77777777" w:rsidTr="00425397">
        <w:tc>
          <w:tcPr>
            <w:tcW w:w="9576" w:type="dxa"/>
          </w:tcPr>
          <w:p w14:paraId="7C6287F8"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Nueva Vida</w:t>
            </w:r>
          </w:p>
        </w:tc>
      </w:tr>
      <w:tr w:rsidR="00F46A92" w14:paraId="4172A2AD" w14:textId="77777777" w:rsidTr="00425397">
        <w:tc>
          <w:tcPr>
            <w:tcW w:w="9576" w:type="dxa"/>
          </w:tcPr>
          <w:p w14:paraId="0DA30139"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Padre Coll 1</w:t>
            </w:r>
          </w:p>
        </w:tc>
      </w:tr>
      <w:tr w:rsidR="00F46A92" w14:paraId="1BF474D8" w14:textId="77777777" w:rsidTr="00425397">
        <w:tc>
          <w:tcPr>
            <w:tcW w:w="9576" w:type="dxa"/>
          </w:tcPr>
          <w:p w14:paraId="65D79ED0"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Padre Coll 2</w:t>
            </w:r>
          </w:p>
        </w:tc>
      </w:tr>
      <w:tr w:rsidR="00F46A92" w:rsidRPr="0083307C" w14:paraId="278909F8" w14:textId="77777777" w:rsidTr="00425397">
        <w:tc>
          <w:tcPr>
            <w:tcW w:w="9576" w:type="dxa"/>
          </w:tcPr>
          <w:p w14:paraId="0C334FCC"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Palmar</w:t>
            </w:r>
          </w:p>
        </w:tc>
      </w:tr>
      <w:tr w:rsidR="00F46A92" w14:paraId="55A06F48" w14:textId="77777777" w:rsidTr="00425397">
        <w:tc>
          <w:tcPr>
            <w:tcW w:w="9576" w:type="dxa"/>
          </w:tcPr>
          <w:p w14:paraId="4F504629"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Pelícano</w:t>
            </w:r>
          </w:p>
        </w:tc>
      </w:tr>
      <w:tr w:rsidR="00F46A92" w14:paraId="72AEC8C3" w14:textId="77777777" w:rsidTr="00425397">
        <w:tc>
          <w:tcPr>
            <w:tcW w:w="9576" w:type="dxa"/>
          </w:tcPr>
          <w:p w14:paraId="06D9F593"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Pim-Pim</w:t>
            </w:r>
          </w:p>
        </w:tc>
      </w:tr>
      <w:tr w:rsidR="00F46A92" w14:paraId="0AE952E2" w14:textId="77777777" w:rsidTr="00425397">
        <w:tc>
          <w:tcPr>
            <w:tcW w:w="9576" w:type="dxa"/>
          </w:tcPr>
          <w:p w14:paraId="3658E22B"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PomisJiwet</w:t>
            </w:r>
          </w:p>
        </w:tc>
      </w:tr>
      <w:tr w:rsidR="00F46A92" w14:paraId="63D0BFA3" w14:textId="77777777" w:rsidTr="00425397">
        <w:tc>
          <w:tcPr>
            <w:tcW w:w="9576" w:type="dxa"/>
          </w:tcPr>
          <w:p w14:paraId="341D519D"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Pozo El Bravo</w:t>
            </w:r>
          </w:p>
        </w:tc>
      </w:tr>
      <w:tr w:rsidR="00F46A92" w14:paraId="7EA1FA85" w14:textId="77777777" w:rsidTr="00425397">
        <w:tc>
          <w:tcPr>
            <w:tcW w:w="9576" w:type="dxa"/>
          </w:tcPr>
          <w:p w14:paraId="5A54B49E"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Pozo El Mulato</w:t>
            </w:r>
          </w:p>
        </w:tc>
      </w:tr>
      <w:tr w:rsidR="00F46A92" w14:paraId="6141AA9D" w14:textId="77777777" w:rsidTr="00425397">
        <w:tc>
          <w:tcPr>
            <w:tcW w:w="9576" w:type="dxa"/>
          </w:tcPr>
          <w:p w14:paraId="2714BA74"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Pozo El Tigre</w:t>
            </w:r>
          </w:p>
        </w:tc>
      </w:tr>
      <w:tr w:rsidR="00F46A92" w14:paraId="0B03598F" w14:textId="77777777" w:rsidTr="00425397">
        <w:tc>
          <w:tcPr>
            <w:tcW w:w="9576" w:type="dxa"/>
          </w:tcPr>
          <w:p w14:paraId="2F3B24E6"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Pozo El Tigre III</w:t>
            </w:r>
          </w:p>
        </w:tc>
      </w:tr>
      <w:tr w:rsidR="00F46A92" w14:paraId="0D405F74" w14:textId="77777777" w:rsidTr="00425397">
        <w:tc>
          <w:tcPr>
            <w:tcW w:w="9576" w:type="dxa"/>
          </w:tcPr>
          <w:p w14:paraId="1A8F79CD"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Pozo El Toro</w:t>
            </w:r>
          </w:p>
        </w:tc>
      </w:tr>
      <w:tr w:rsidR="00F46A92" w14:paraId="3BC0CCDB" w14:textId="77777777" w:rsidTr="00425397">
        <w:tc>
          <w:tcPr>
            <w:tcW w:w="9576" w:type="dxa"/>
          </w:tcPr>
          <w:p w14:paraId="799A9E88"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Pozo La China</w:t>
            </w:r>
          </w:p>
        </w:tc>
      </w:tr>
      <w:tr w:rsidR="00F46A92" w14:paraId="34374694" w14:textId="77777777" w:rsidTr="00425397">
        <w:tc>
          <w:tcPr>
            <w:tcW w:w="9576" w:type="dxa"/>
          </w:tcPr>
          <w:p w14:paraId="6E7FB45D"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Puesto Nuevo</w:t>
            </w:r>
          </w:p>
        </w:tc>
      </w:tr>
      <w:tr w:rsidR="00F46A92" w14:paraId="2DCE3D17" w14:textId="77777777" w:rsidTr="00425397">
        <w:tc>
          <w:tcPr>
            <w:tcW w:w="9576" w:type="dxa"/>
          </w:tcPr>
          <w:p w14:paraId="479B59BB"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Puntana Chica</w:t>
            </w:r>
          </w:p>
        </w:tc>
      </w:tr>
      <w:tr w:rsidR="00F46A92" w14:paraId="17F41433" w14:textId="77777777" w:rsidTr="00425397">
        <w:tc>
          <w:tcPr>
            <w:tcW w:w="9576" w:type="dxa"/>
          </w:tcPr>
          <w:p w14:paraId="5C0A733F"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Quebrachal 1</w:t>
            </w:r>
          </w:p>
        </w:tc>
      </w:tr>
      <w:tr w:rsidR="00F46A92" w14:paraId="6866704D" w14:textId="77777777" w:rsidTr="00425397">
        <w:tc>
          <w:tcPr>
            <w:tcW w:w="9576" w:type="dxa"/>
          </w:tcPr>
          <w:p w14:paraId="09B7B9FA"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Quebrachal 2</w:t>
            </w:r>
          </w:p>
        </w:tc>
      </w:tr>
      <w:tr w:rsidR="00F46A92" w14:paraId="40B460BA" w14:textId="77777777" w:rsidTr="00425397">
        <w:tc>
          <w:tcPr>
            <w:tcW w:w="9576" w:type="dxa"/>
          </w:tcPr>
          <w:p w14:paraId="3CEF3AED"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Rancho El Ñato</w:t>
            </w:r>
          </w:p>
        </w:tc>
      </w:tr>
      <w:tr w:rsidR="00F46A92" w14:paraId="1C5EA882" w14:textId="77777777" w:rsidTr="00425397">
        <w:tc>
          <w:tcPr>
            <w:tcW w:w="9576" w:type="dxa"/>
          </w:tcPr>
          <w:p w14:paraId="62EF961C"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Rincón de la Paz</w:t>
            </w:r>
          </w:p>
        </w:tc>
      </w:tr>
      <w:tr w:rsidR="00F46A92" w14:paraId="412279BB" w14:textId="77777777" w:rsidTr="00425397">
        <w:tc>
          <w:tcPr>
            <w:tcW w:w="9576" w:type="dxa"/>
          </w:tcPr>
          <w:p w14:paraId="76735220"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Roberto Romero</w:t>
            </w:r>
          </w:p>
        </w:tc>
      </w:tr>
      <w:tr w:rsidR="00F46A92" w14:paraId="66A09754" w14:textId="77777777" w:rsidTr="00425397">
        <w:tc>
          <w:tcPr>
            <w:tcW w:w="9576" w:type="dxa"/>
          </w:tcPr>
          <w:p w14:paraId="62A4C82F"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San Andrés</w:t>
            </w:r>
          </w:p>
        </w:tc>
      </w:tr>
      <w:tr w:rsidR="00F46A92" w14:paraId="06BD7168" w14:textId="77777777" w:rsidTr="00425397">
        <w:trPr>
          <w:trHeight w:val="174"/>
        </w:trPr>
        <w:tc>
          <w:tcPr>
            <w:tcW w:w="9576" w:type="dxa"/>
          </w:tcPr>
          <w:p w14:paraId="39DA4CB4"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San Bernardo</w:t>
            </w:r>
          </w:p>
        </w:tc>
      </w:tr>
      <w:tr w:rsidR="00F46A92" w14:paraId="1DAE7008" w14:textId="77777777" w:rsidTr="00425397">
        <w:tc>
          <w:tcPr>
            <w:tcW w:w="9576" w:type="dxa"/>
          </w:tcPr>
          <w:p w14:paraId="2CB4585B"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San Ignacio</w:t>
            </w:r>
          </w:p>
        </w:tc>
      </w:tr>
      <w:tr w:rsidR="00F46A92" w14:paraId="25D54092" w14:textId="77777777" w:rsidTr="00425397">
        <w:tc>
          <w:tcPr>
            <w:tcW w:w="9576" w:type="dxa"/>
          </w:tcPr>
          <w:p w14:paraId="480C95A2"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San Martin</w:t>
            </w:r>
          </w:p>
        </w:tc>
      </w:tr>
      <w:tr w:rsidR="00F46A92" w14:paraId="7DB3997C" w14:textId="77777777" w:rsidTr="00425397">
        <w:tc>
          <w:tcPr>
            <w:tcW w:w="9576" w:type="dxa"/>
          </w:tcPr>
          <w:p w14:paraId="011AD6EB"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San Martín (Misión Vieja)</w:t>
            </w:r>
          </w:p>
        </w:tc>
      </w:tr>
      <w:tr w:rsidR="00F46A92" w14:paraId="14109449" w14:textId="77777777" w:rsidTr="00425397">
        <w:tc>
          <w:tcPr>
            <w:tcW w:w="9576" w:type="dxa"/>
          </w:tcPr>
          <w:p w14:paraId="6E141904"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San Miguel</w:t>
            </w:r>
          </w:p>
        </w:tc>
      </w:tr>
      <w:tr w:rsidR="00F46A92" w14:paraId="5E68FD23" w14:textId="77777777" w:rsidTr="00425397">
        <w:tc>
          <w:tcPr>
            <w:tcW w:w="9576" w:type="dxa"/>
          </w:tcPr>
          <w:p w14:paraId="5B15624D"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Santa Victoria Este I</w:t>
            </w:r>
          </w:p>
        </w:tc>
      </w:tr>
      <w:tr w:rsidR="00F46A92" w14:paraId="075CAC2D" w14:textId="77777777" w:rsidTr="00425397">
        <w:tc>
          <w:tcPr>
            <w:tcW w:w="9576" w:type="dxa"/>
          </w:tcPr>
          <w:p w14:paraId="7CC40765"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Santa Victoria 2</w:t>
            </w:r>
          </w:p>
        </w:tc>
      </w:tr>
      <w:tr w:rsidR="00F46A92" w14:paraId="5882A330" w14:textId="77777777" w:rsidTr="00425397">
        <w:tc>
          <w:tcPr>
            <w:tcW w:w="9576" w:type="dxa"/>
          </w:tcPr>
          <w:p w14:paraId="0945DED7"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Sepak Comunidad Wichí</w:t>
            </w:r>
          </w:p>
        </w:tc>
      </w:tr>
    </w:tbl>
    <w:p w14:paraId="26BB5469" w14:textId="77777777" w:rsidR="00F46A92" w:rsidRDefault="00F46A92" w:rsidP="00F46A92">
      <w:pPr>
        <w:spacing w:line="240" w:lineRule="auto"/>
        <w:rPr>
          <w:rFonts w:ascii="Verdana" w:hAnsi="Verdana"/>
          <w:sz w:val="20"/>
          <w:szCs w:val="20"/>
          <w:lang w:val="es-ES"/>
        </w:rPr>
      </w:pPr>
    </w:p>
    <w:p w14:paraId="7BA2102A" w14:textId="77777777" w:rsidR="00F46A92" w:rsidRPr="00F46A92" w:rsidRDefault="00F46A92" w:rsidP="00F46A92">
      <w:pPr>
        <w:pStyle w:val="Ttulo1"/>
        <w:jc w:val="center"/>
        <w:rPr>
          <w:rFonts w:ascii="Verdana" w:hAnsi="Verdana"/>
          <w:color w:val="auto"/>
          <w:sz w:val="20"/>
          <w:szCs w:val="20"/>
          <w:lang w:val="es-ES"/>
        </w:rPr>
      </w:pPr>
      <w:bookmarkStart w:id="382" w:name="_Toc34337614"/>
      <w:r w:rsidRPr="00F46A92">
        <w:rPr>
          <w:rFonts w:ascii="Verdana" w:hAnsi="Verdana"/>
          <w:color w:val="auto"/>
          <w:sz w:val="20"/>
          <w:szCs w:val="20"/>
          <w:lang w:val="es-ES"/>
        </w:rPr>
        <w:t>ANEXO V</w:t>
      </w:r>
      <w:bookmarkEnd w:id="382"/>
    </w:p>
    <w:tbl>
      <w:tblPr>
        <w:tblStyle w:val="Cuadrculamedia1"/>
        <w:tblW w:w="0" w:type="auto"/>
        <w:tblLook w:val="04A0" w:firstRow="1" w:lastRow="0" w:firstColumn="1" w:lastColumn="0" w:noHBand="0" w:noVBand="1"/>
      </w:tblPr>
      <w:tblGrid>
        <w:gridCol w:w="8818"/>
      </w:tblGrid>
      <w:tr w:rsidR="00F46A92" w:rsidRPr="0083307C" w14:paraId="7645D021" w14:textId="77777777" w:rsidTr="004253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13531B2A" w14:textId="3E2D6D42" w:rsidR="00F46A92" w:rsidRDefault="00F46A92" w:rsidP="00425397">
            <w:pPr>
              <w:spacing w:line="240" w:lineRule="auto"/>
              <w:jc w:val="center"/>
              <w:rPr>
                <w:rFonts w:ascii="Verdana" w:hAnsi="Verdana"/>
                <w:b w:val="0"/>
                <w:sz w:val="20"/>
                <w:szCs w:val="20"/>
                <w:u w:val="single"/>
                <w:lang w:val="es-ES"/>
              </w:rPr>
            </w:pPr>
            <w:r w:rsidRPr="00D70D7E">
              <w:rPr>
                <w:rFonts w:ascii="Verdana" w:hAnsi="Verdana"/>
                <w:sz w:val="20"/>
                <w:szCs w:val="20"/>
                <w:lang w:val="es-ES"/>
              </w:rPr>
              <w:t>COMUNIDAD</w:t>
            </w:r>
            <w:r w:rsidR="00543ED6">
              <w:rPr>
                <w:rFonts w:ascii="Verdana" w:hAnsi="Verdana"/>
                <w:sz w:val="20"/>
                <w:szCs w:val="20"/>
                <w:lang w:val="es-ES"/>
              </w:rPr>
              <w:t>ES</w:t>
            </w:r>
            <w:r w:rsidRPr="00D70D7E">
              <w:rPr>
                <w:rFonts w:ascii="Verdana" w:hAnsi="Verdana"/>
                <w:sz w:val="20"/>
                <w:szCs w:val="20"/>
                <w:lang w:val="es-ES"/>
              </w:rPr>
              <w:t xml:space="preserve"> INDÍGENA</w:t>
            </w:r>
            <w:r w:rsidR="00543ED6">
              <w:rPr>
                <w:rFonts w:ascii="Verdana" w:hAnsi="Verdana"/>
                <w:sz w:val="20"/>
                <w:szCs w:val="20"/>
                <w:lang w:val="es-ES"/>
              </w:rPr>
              <w:t>S</w:t>
            </w:r>
            <w:r w:rsidRPr="00D70D7E">
              <w:rPr>
                <w:rFonts w:ascii="Verdana" w:hAnsi="Verdana"/>
                <w:sz w:val="20"/>
                <w:szCs w:val="20"/>
                <w:lang w:val="es-ES"/>
              </w:rPr>
              <w:t xml:space="preserve"> </w:t>
            </w:r>
            <w:r>
              <w:rPr>
                <w:rFonts w:ascii="Verdana" w:hAnsi="Verdana"/>
                <w:sz w:val="20"/>
                <w:szCs w:val="20"/>
                <w:lang w:val="es-ES"/>
              </w:rPr>
              <w:t>SEÑALADAS EN LOS ALEGATOS FINALES ESCRITOS DE LOS REPRESENTANTES Y VÍCTIMAS DEL CASO DE CONFORMIDAD CON LA SENTENCIA EMITIDA POR LA CORTE INTERAMERICANA DE DERECHOS HUMANOS</w:t>
            </w:r>
            <w:r>
              <w:rPr>
                <w:rStyle w:val="Refdenotaalpie"/>
                <w:rFonts w:ascii="Verdana" w:hAnsi="Verdana"/>
                <w:sz w:val="20"/>
                <w:lang w:val="es-ES"/>
              </w:rPr>
              <w:footnoteReference w:customMarkFollows="1" w:id="342"/>
              <w:t>*</w:t>
            </w:r>
          </w:p>
        </w:tc>
      </w:tr>
    </w:tbl>
    <w:p w14:paraId="6F4E72D4" w14:textId="77777777" w:rsidR="00F46A92" w:rsidRDefault="00F46A92" w:rsidP="00F46A92">
      <w:pPr>
        <w:spacing w:line="240" w:lineRule="auto"/>
        <w:rPr>
          <w:rFonts w:ascii="Verdana" w:hAnsi="Verdana"/>
          <w:sz w:val="20"/>
          <w:szCs w:val="20"/>
          <w:lang w:val="es-ES"/>
        </w:rPr>
      </w:pPr>
    </w:p>
    <w:tbl>
      <w:tblPr>
        <w:tblStyle w:val="Tablaconcuadrcula"/>
        <w:tblW w:w="0" w:type="auto"/>
        <w:tblLook w:val="04A0" w:firstRow="1" w:lastRow="0" w:firstColumn="1" w:lastColumn="0" w:noHBand="0" w:noVBand="1"/>
      </w:tblPr>
      <w:tblGrid>
        <w:gridCol w:w="8828"/>
      </w:tblGrid>
      <w:tr w:rsidR="00F46A92" w:rsidRPr="006D4F58" w14:paraId="79C8E693" w14:textId="77777777" w:rsidTr="00425397">
        <w:tc>
          <w:tcPr>
            <w:tcW w:w="9576" w:type="dxa"/>
          </w:tcPr>
          <w:p w14:paraId="2F981E23" w14:textId="77777777"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Algarrobal 2 (Algarrobalito - San Luis)</w:t>
            </w:r>
          </w:p>
        </w:tc>
      </w:tr>
      <w:tr w:rsidR="00F46A92" w:rsidRPr="006D4F58" w14:paraId="3280E381" w14:textId="77777777" w:rsidTr="00425397">
        <w:tc>
          <w:tcPr>
            <w:tcW w:w="9576" w:type="dxa"/>
          </w:tcPr>
          <w:p w14:paraId="2B4288A5" w14:textId="1373651B"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lang w:val="es-ES"/>
              </w:rPr>
              <w:t xml:space="preserve">Alto </w:t>
            </w:r>
            <w:r>
              <w:rPr>
                <w:rFonts w:ascii="Verdana" w:hAnsi="Verdana"/>
                <w:sz w:val="20"/>
                <w:szCs w:val="20"/>
                <w:lang w:val="es-ES"/>
              </w:rPr>
              <w:t>d</w:t>
            </w:r>
            <w:r w:rsidRPr="00AC4722">
              <w:rPr>
                <w:rFonts w:ascii="Verdana" w:hAnsi="Verdana"/>
                <w:sz w:val="20"/>
                <w:szCs w:val="20"/>
                <w:lang w:val="es-ES"/>
              </w:rPr>
              <w:t xml:space="preserve">e </w:t>
            </w:r>
            <w:r>
              <w:rPr>
                <w:rFonts w:ascii="Verdana" w:hAnsi="Verdana"/>
                <w:sz w:val="20"/>
                <w:szCs w:val="20"/>
                <w:lang w:val="es-ES"/>
              </w:rPr>
              <w:t>l</w:t>
            </w:r>
            <w:r w:rsidRPr="00AC4722">
              <w:rPr>
                <w:rFonts w:ascii="Verdana" w:hAnsi="Verdana"/>
                <w:sz w:val="20"/>
                <w:szCs w:val="20"/>
                <w:lang w:val="es-ES"/>
              </w:rPr>
              <w:t>a Sierra - Inhate Lhais</w:t>
            </w:r>
            <w:r w:rsidR="003217B5">
              <w:rPr>
                <w:rFonts w:ascii="Verdana" w:hAnsi="Verdana"/>
                <w:sz w:val="20"/>
                <w:szCs w:val="20"/>
                <w:lang w:val="es-ES"/>
              </w:rPr>
              <w:t xml:space="preserve"> (Cho’way)</w:t>
            </w:r>
          </w:p>
        </w:tc>
      </w:tr>
      <w:tr w:rsidR="00F46A92" w:rsidRPr="006D4F58" w14:paraId="6816E054" w14:textId="77777777" w:rsidTr="00425397">
        <w:tc>
          <w:tcPr>
            <w:tcW w:w="9576" w:type="dxa"/>
          </w:tcPr>
          <w:p w14:paraId="15A4A33C" w14:textId="77777777"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Anglicana II</w:t>
            </w:r>
          </w:p>
        </w:tc>
      </w:tr>
      <w:tr w:rsidR="00F46A92" w:rsidRPr="006D4F58" w14:paraId="7A5EC16C" w14:textId="77777777" w:rsidTr="00425397">
        <w:tc>
          <w:tcPr>
            <w:tcW w:w="9576" w:type="dxa"/>
          </w:tcPr>
          <w:p w14:paraId="50A8E4CF" w14:textId="77777777"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Anglicana III</w:t>
            </w:r>
          </w:p>
        </w:tc>
      </w:tr>
      <w:tr w:rsidR="00F46A92" w:rsidRPr="006D4F58" w14:paraId="4FA2ECE2" w14:textId="77777777" w:rsidTr="00425397">
        <w:tc>
          <w:tcPr>
            <w:tcW w:w="9576" w:type="dxa"/>
          </w:tcPr>
          <w:p w14:paraId="202F3F7A" w14:textId="113BF552"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Arenales</w:t>
            </w:r>
            <w:r w:rsidR="003217B5">
              <w:rPr>
                <w:rFonts w:ascii="Verdana" w:hAnsi="Verdana"/>
                <w:sz w:val="20"/>
                <w:szCs w:val="20"/>
              </w:rPr>
              <w:t xml:space="preserve"> (Hoot) </w:t>
            </w:r>
          </w:p>
        </w:tc>
      </w:tr>
      <w:tr w:rsidR="00F46A92" w:rsidRPr="006D4F58" w14:paraId="4D1BDA7D" w14:textId="77777777" w:rsidTr="00425397">
        <w:tc>
          <w:tcPr>
            <w:tcW w:w="9576" w:type="dxa"/>
          </w:tcPr>
          <w:p w14:paraId="38667178" w14:textId="77777777"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Arrozal</w:t>
            </w:r>
          </w:p>
        </w:tc>
      </w:tr>
      <w:tr w:rsidR="00F46A92" w:rsidRPr="006D4F58" w14:paraId="698E709D" w14:textId="77777777" w:rsidTr="00425397">
        <w:tc>
          <w:tcPr>
            <w:tcW w:w="9576" w:type="dxa"/>
          </w:tcPr>
          <w:p w14:paraId="4099DBB4" w14:textId="77777777"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Avenida Pilcomayo</w:t>
            </w:r>
          </w:p>
        </w:tc>
      </w:tr>
      <w:tr w:rsidR="00F46A92" w:rsidRPr="006D4F58" w14:paraId="7AF9A734" w14:textId="77777777" w:rsidTr="00425397">
        <w:tc>
          <w:tcPr>
            <w:tcW w:w="9576" w:type="dxa"/>
          </w:tcPr>
          <w:p w14:paraId="18832A47" w14:textId="3FB1EB14"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Bajo Grande</w:t>
            </w:r>
            <w:r w:rsidR="00616AD6">
              <w:rPr>
                <w:rFonts w:ascii="Verdana" w:hAnsi="Verdana"/>
                <w:sz w:val="20"/>
                <w:szCs w:val="20"/>
              </w:rPr>
              <w:t xml:space="preserve"> (Sop’ak wen’) </w:t>
            </w:r>
          </w:p>
        </w:tc>
      </w:tr>
      <w:tr w:rsidR="00F46A92" w:rsidRPr="006D4F58" w14:paraId="7C99C4B6" w14:textId="77777777" w:rsidTr="00425397">
        <w:tc>
          <w:tcPr>
            <w:tcW w:w="9576" w:type="dxa"/>
          </w:tcPr>
          <w:p w14:paraId="569065AF" w14:textId="34BAED02"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Bella Vista</w:t>
            </w:r>
            <w:r w:rsidR="00AF488B">
              <w:rPr>
                <w:rFonts w:ascii="Verdana" w:hAnsi="Verdana"/>
                <w:sz w:val="20"/>
                <w:szCs w:val="20"/>
              </w:rPr>
              <w:t xml:space="preserve"> (Nakwojay)</w:t>
            </w:r>
          </w:p>
        </w:tc>
      </w:tr>
      <w:tr w:rsidR="00F46A92" w:rsidRPr="006D4F58" w14:paraId="06C1ADD1" w14:textId="77777777" w:rsidTr="00425397">
        <w:tc>
          <w:tcPr>
            <w:tcW w:w="9576" w:type="dxa"/>
          </w:tcPr>
          <w:p w14:paraId="321C67AA" w14:textId="77777777"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Betel</w:t>
            </w:r>
          </w:p>
        </w:tc>
      </w:tr>
      <w:tr w:rsidR="00F46A92" w:rsidRPr="006D4F58" w14:paraId="6134807E" w14:textId="77777777" w:rsidTr="00425397">
        <w:tc>
          <w:tcPr>
            <w:tcW w:w="9576" w:type="dxa"/>
          </w:tcPr>
          <w:p w14:paraId="4F35E239" w14:textId="3F75E966"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Buen Destino 1</w:t>
            </w:r>
            <w:r w:rsidR="003217B5">
              <w:rPr>
                <w:rFonts w:ascii="Verdana" w:hAnsi="Verdana"/>
                <w:sz w:val="20"/>
                <w:szCs w:val="20"/>
              </w:rPr>
              <w:t xml:space="preserve"> (Honhat Tais)</w:t>
            </w:r>
          </w:p>
        </w:tc>
      </w:tr>
      <w:tr w:rsidR="00F46A92" w:rsidRPr="006D4F58" w14:paraId="431405F4" w14:textId="77777777" w:rsidTr="00425397">
        <w:tc>
          <w:tcPr>
            <w:tcW w:w="9576" w:type="dxa"/>
          </w:tcPr>
          <w:p w14:paraId="36324F2B" w14:textId="77777777"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Buen Destino 2</w:t>
            </w:r>
          </w:p>
        </w:tc>
      </w:tr>
      <w:tr w:rsidR="00F46A92" w:rsidRPr="006D4F58" w14:paraId="7EEFD296" w14:textId="77777777" w:rsidTr="00425397">
        <w:tc>
          <w:tcPr>
            <w:tcW w:w="9576" w:type="dxa"/>
          </w:tcPr>
          <w:p w14:paraId="7235399B" w14:textId="2987BBC2"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lang w:val="es-ES"/>
              </w:rPr>
              <w:t>Campo Verde (Ex Lhaka Honhat Nueva)</w:t>
            </w:r>
            <w:r w:rsidR="003217B5">
              <w:rPr>
                <w:rFonts w:ascii="Verdana" w:hAnsi="Verdana"/>
                <w:sz w:val="20"/>
                <w:szCs w:val="20"/>
                <w:lang w:val="es-ES"/>
              </w:rPr>
              <w:t xml:space="preserve"> (Lhip ta is)</w:t>
            </w:r>
          </w:p>
        </w:tc>
      </w:tr>
      <w:tr w:rsidR="00F46A92" w:rsidRPr="0083307C" w14:paraId="1F9F87E2" w14:textId="77777777" w:rsidTr="00425397">
        <w:tc>
          <w:tcPr>
            <w:tcW w:w="9576" w:type="dxa"/>
          </w:tcPr>
          <w:p w14:paraId="516EB841" w14:textId="5EF359E0"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Cañada Larga</w:t>
            </w:r>
            <w:r w:rsidR="003217B5">
              <w:rPr>
                <w:rFonts w:ascii="Verdana" w:hAnsi="Verdana"/>
                <w:sz w:val="20"/>
                <w:szCs w:val="20"/>
              </w:rPr>
              <w:t xml:space="preserve"> (Fwitenukitaj)</w:t>
            </w:r>
          </w:p>
        </w:tc>
      </w:tr>
      <w:tr w:rsidR="00F46A92" w:rsidRPr="006D4F58" w14:paraId="38828B4F" w14:textId="77777777" w:rsidTr="00425397">
        <w:tc>
          <w:tcPr>
            <w:tcW w:w="9576" w:type="dxa"/>
          </w:tcPr>
          <w:p w14:paraId="462C9CA7" w14:textId="063D9A0B"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Cañaveral 1</w:t>
            </w:r>
            <w:r w:rsidR="00616AD6">
              <w:rPr>
                <w:rFonts w:ascii="Verdana" w:hAnsi="Verdana"/>
                <w:sz w:val="20"/>
                <w:szCs w:val="20"/>
              </w:rPr>
              <w:t xml:space="preserve"> (Kanohis)</w:t>
            </w:r>
          </w:p>
        </w:tc>
      </w:tr>
      <w:tr w:rsidR="00F46A92" w:rsidRPr="006D4F58" w14:paraId="10A83AB2" w14:textId="77777777" w:rsidTr="00425397">
        <w:tc>
          <w:tcPr>
            <w:tcW w:w="9576" w:type="dxa"/>
          </w:tcPr>
          <w:p w14:paraId="03272AF9" w14:textId="77777777"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Cañaveral 2</w:t>
            </w:r>
          </w:p>
        </w:tc>
      </w:tr>
      <w:tr w:rsidR="00F46A92" w:rsidRPr="006D4F58" w14:paraId="60A3F3EE" w14:textId="77777777" w:rsidTr="00425397">
        <w:tc>
          <w:tcPr>
            <w:tcW w:w="9576" w:type="dxa"/>
          </w:tcPr>
          <w:p w14:paraId="20E086E6" w14:textId="77777777"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Cañaveral - Kanohis</w:t>
            </w:r>
          </w:p>
        </w:tc>
      </w:tr>
      <w:tr w:rsidR="00F46A92" w:rsidRPr="0083307C" w14:paraId="676B5AE7" w14:textId="77777777" w:rsidTr="00425397">
        <w:tc>
          <w:tcPr>
            <w:tcW w:w="9576" w:type="dxa"/>
          </w:tcPr>
          <w:p w14:paraId="0CD1CB27" w14:textId="04F65D9E" w:rsidR="00F46A92" w:rsidRPr="00AC4722" w:rsidRDefault="0023585A" w:rsidP="00425397">
            <w:pPr>
              <w:pStyle w:val="Prrafodelista"/>
              <w:numPr>
                <w:ilvl w:val="0"/>
                <w:numId w:val="17"/>
              </w:numPr>
              <w:spacing w:after="0" w:line="240" w:lineRule="auto"/>
              <w:jc w:val="both"/>
              <w:rPr>
                <w:rFonts w:ascii="Verdana" w:hAnsi="Verdana"/>
                <w:sz w:val="20"/>
                <w:szCs w:val="20"/>
                <w:lang w:val="es-ES"/>
              </w:rPr>
            </w:pPr>
            <w:r>
              <w:rPr>
                <w:rFonts w:ascii="Verdana" w:hAnsi="Verdana"/>
                <w:sz w:val="20"/>
                <w:szCs w:val="20"/>
              </w:rPr>
              <w:t>Chelhyuk Quebrachal (Santa Marí</w:t>
            </w:r>
            <w:r w:rsidR="00F46A92" w:rsidRPr="00AC4722">
              <w:rPr>
                <w:rFonts w:ascii="Verdana" w:hAnsi="Verdana"/>
                <w:sz w:val="20"/>
                <w:szCs w:val="20"/>
              </w:rPr>
              <w:t>a)</w:t>
            </w:r>
          </w:p>
        </w:tc>
      </w:tr>
      <w:tr w:rsidR="00F46A92" w:rsidRPr="006D4F58" w14:paraId="22F8BBB3" w14:textId="77777777" w:rsidTr="00425397">
        <w:tc>
          <w:tcPr>
            <w:tcW w:w="9576" w:type="dxa"/>
          </w:tcPr>
          <w:p w14:paraId="1C8B318D" w14:textId="77777777"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Chowhay Km 2</w:t>
            </w:r>
          </w:p>
        </w:tc>
      </w:tr>
      <w:tr w:rsidR="00F46A92" w:rsidRPr="006D4F58" w14:paraId="776B3179" w14:textId="77777777" w:rsidTr="00425397">
        <w:tc>
          <w:tcPr>
            <w:tcW w:w="9576" w:type="dxa"/>
          </w:tcPr>
          <w:p w14:paraId="3B4594D3" w14:textId="77777777"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Pr>
                <w:rFonts w:ascii="Verdana" w:hAnsi="Verdana"/>
                <w:sz w:val="20"/>
                <w:szCs w:val="20"/>
              </w:rPr>
              <w:t>Comunidad Nueva Sta. Marí</w:t>
            </w:r>
            <w:r w:rsidRPr="00AC4722">
              <w:rPr>
                <w:rFonts w:ascii="Verdana" w:hAnsi="Verdana"/>
                <w:sz w:val="20"/>
                <w:szCs w:val="20"/>
              </w:rPr>
              <w:t>a</w:t>
            </w:r>
          </w:p>
        </w:tc>
      </w:tr>
      <w:tr w:rsidR="00F46A92" w:rsidRPr="006D4F58" w14:paraId="0A4343F4" w14:textId="77777777" w:rsidTr="00425397">
        <w:tc>
          <w:tcPr>
            <w:tcW w:w="9576" w:type="dxa"/>
          </w:tcPr>
          <w:p w14:paraId="6655F274" w14:textId="77777777"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Comunidad Emanuel</w:t>
            </w:r>
          </w:p>
        </w:tc>
      </w:tr>
      <w:tr w:rsidR="00F46A92" w:rsidRPr="006D4F58" w14:paraId="02E22238" w14:textId="77777777" w:rsidTr="00425397">
        <w:tc>
          <w:tcPr>
            <w:tcW w:w="9576" w:type="dxa"/>
          </w:tcPr>
          <w:p w14:paraId="5192AC20" w14:textId="77777777"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Cruce Buena Fe</w:t>
            </w:r>
          </w:p>
        </w:tc>
      </w:tr>
      <w:tr w:rsidR="00F46A92" w:rsidRPr="006D4F58" w14:paraId="259ED138" w14:textId="77777777" w:rsidTr="00425397">
        <w:tc>
          <w:tcPr>
            <w:tcW w:w="9576" w:type="dxa"/>
          </w:tcPr>
          <w:p w14:paraId="3847629C" w14:textId="77777777"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Cruce Santa Victoria</w:t>
            </w:r>
          </w:p>
        </w:tc>
      </w:tr>
      <w:tr w:rsidR="00F46A92" w:rsidRPr="006D4F58" w14:paraId="4E8363D6" w14:textId="77777777" w:rsidTr="00425397">
        <w:tc>
          <w:tcPr>
            <w:tcW w:w="9576" w:type="dxa"/>
          </w:tcPr>
          <w:p w14:paraId="58CD13F4" w14:textId="6345C4AE"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Desemboque</w:t>
            </w:r>
            <w:r w:rsidR="003217B5">
              <w:rPr>
                <w:rFonts w:ascii="Verdana" w:hAnsi="Verdana"/>
                <w:sz w:val="20"/>
                <w:szCs w:val="20"/>
              </w:rPr>
              <w:t xml:space="preserve"> (Wosotsuk)</w:t>
            </w:r>
          </w:p>
        </w:tc>
      </w:tr>
      <w:tr w:rsidR="00F46A92" w:rsidRPr="006D4F58" w14:paraId="293FACAA" w14:textId="77777777" w:rsidTr="00425397">
        <w:trPr>
          <w:trHeight w:val="210"/>
        </w:trPr>
        <w:tc>
          <w:tcPr>
            <w:tcW w:w="9576" w:type="dxa"/>
          </w:tcPr>
          <w:p w14:paraId="2199EDAC" w14:textId="41BCCA2E"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Ebenezer</w:t>
            </w:r>
            <w:r w:rsidR="00616AD6">
              <w:rPr>
                <w:rFonts w:ascii="Verdana" w:hAnsi="Verdana"/>
                <w:sz w:val="20"/>
                <w:szCs w:val="20"/>
              </w:rPr>
              <w:t xml:space="preserve"> (lsten’)</w:t>
            </w:r>
          </w:p>
        </w:tc>
      </w:tr>
      <w:tr w:rsidR="00F46A92" w:rsidRPr="006D4F58" w14:paraId="5C206E85" w14:textId="77777777" w:rsidTr="00616AD6">
        <w:trPr>
          <w:trHeight w:val="264"/>
        </w:trPr>
        <w:tc>
          <w:tcPr>
            <w:tcW w:w="9576" w:type="dxa"/>
          </w:tcPr>
          <w:p w14:paraId="0ACFACAF" w14:textId="77777777"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El Bordo</w:t>
            </w:r>
          </w:p>
        </w:tc>
      </w:tr>
      <w:tr w:rsidR="00F46A92" w:rsidRPr="006D4F58" w14:paraId="2C9CD31A" w14:textId="77777777" w:rsidTr="00425397">
        <w:tc>
          <w:tcPr>
            <w:tcW w:w="9576" w:type="dxa"/>
          </w:tcPr>
          <w:p w14:paraId="633CBFF4" w14:textId="00ABC8CD"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Pr>
                <w:rFonts w:ascii="Verdana" w:hAnsi="Verdana"/>
                <w:sz w:val="20"/>
                <w:szCs w:val="20"/>
              </w:rPr>
              <w:t>El Cruce - Santa Marí</w:t>
            </w:r>
            <w:r w:rsidRPr="00AC4722">
              <w:rPr>
                <w:rFonts w:ascii="Verdana" w:hAnsi="Verdana"/>
                <w:sz w:val="20"/>
                <w:szCs w:val="20"/>
              </w:rPr>
              <w:t>a</w:t>
            </w:r>
            <w:r w:rsidR="00616AD6">
              <w:rPr>
                <w:rFonts w:ascii="Verdana" w:hAnsi="Verdana"/>
                <w:sz w:val="20"/>
                <w:szCs w:val="20"/>
              </w:rPr>
              <w:t xml:space="preserve"> (Tsofwa Tanu (1))</w:t>
            </w:r>
          </w:p>
        </w:tc>
      </w:tr>
      <w:tr w:rsidR="00F46A92" w:rsidRPr="006D4F58" w14:paraId="250BB740" w14:textId="77777777" w:rsidTr="00425397">
        <w:tc>
          <w:tcPr>
            <w:tcW w:w="9576" w:type="dxa"/>
          </w:tcPr>
          <w:p w14:paraId="175B4FA9" w14:textId="77777777"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El Cruce Viejo</w:t>
            </w:r>
          </w:p>
        </w:tc>
      </w:tr>
      <w:tr w:rsidR="00F46A92" w:rsidRPr="006D4F58" w14:paraId="0903A5CB" w14:textId="77777777" w:rsidTr="00425397">
        <w:tc>
          <w:tcPr>
            <w:tcW w:w="9576" w:type="dxa"/>
          </w:tcPr>
          <w:p w14:paraId="4D81D636" w14:textId="77777777"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El Indio - La Puntana</w:t>
            </w:r>
          </w:p>
        </w:tc>
      </w:tr>
      <w:tr w:rsidR="00F46A92" w:rsidRPr="006D4F58" w14:paraId="421254D7" w14:textId="77777777" w:rsidTr="00425397">
        <w:tc>
          <w:tcPr>
            <w:tcW w:w="9576" w:type="dxa"/>
          </w:tcPr>
          <w:p w14:paraId="6BFC1DDB" w14:textId="7F2D9247"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El Para</w:t>
            </w:r>
            <w:r w:rsidR="00543ED6">
              <w:rPr>
                <w:rFonts w:ascii="Verdana" w:hAnsi="Verdana"/>
                <w:sz w:val="20"/>
                <w:szCs w:val="20"/>
              </w:rPr>
              <w:t>i</w:t>
            </w:r>
            <w:r w:rsidRPr="00AC4722">
              <w:rPr>
                <w:rFonts w:ascii="Verdana" w:hAnsi="Verdana"/>
                <w:sz w:val="20"/>
                <w:szCs w:val="20"/>
              </w:rPr>
              <w:t>so</w:t>
            </w:r>
          </w:p>
        </w:tc>
      </w:tr>
      <w:tr w:rsidR="00F46A92" w:rsidRPr="006D4F58" w14:paraId="4202199E" w14:textId="77777777" w:rsidTr="00425397">
        <w:tc>
          <w:tcPr>
            <w:tcW w:w="9576" w:type="dxa"/>
          </w:tcPr>
          <w:p w14:paraId="544DA6BA" w14:textId="77777777"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El Pim Pim</w:t>
            </w:r>
          </w:p>
        </w:tc>
      </w:tr>
      <w:tr w:rsidR="00F46A92" w:rsidRPr="006D4F58" w14:paraId="6A1266BE" w14:textId="77777777" w:rsidTr="00425397">
        <w:tc>
          <w:tcPr>
            <w:tcW w:w="9576" w:type="dxa"/>
          </w:tcPr>
          <w:p w14:paraId="659D9963" w14:textId="77777777"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El Pim Pim 2</w:t>
            </w:r>
          </w:p>
        </w:tc>
      </w:tr>
      <w:tr w:rsidR="00F46A92" w:rsidRPr="006D4F58" w14:paraId="19440917" w14:textId="77777777" w:rsidTr="00425397">
        <w:tc>
          <w:tcPr>
            <w:tcW w:w="9576" w:type="dxa"/>
          </w:tcPr>
          <w:p w14:paraId="5EFC89EC" w14:textId="04508E64"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El Porvenir</w:t>
            </w:r>
            <w:r w:rsidR="003217B5">
              <w:rPr>
                <w:rFonts w:ascii="Verdana" w:hAnsi="Verdana"/>
                <w:sz w:val="20"/>
                <w:szCs w:val="20"/>
              </w:rPr>
              <w:t xml:space="preserve"> (Imak Tanek Hila) </w:t>
            </w:r>
          </w:p>
        </w:tc>
      </w:tr>
      <w:tr w:rsidR="00F46A92" w:rsidRPr="006D4F58" w14:paraId="1E4A7709" w14:textId="77777777" w:rsidTr="00425397">
        <w:tc>
          <w:tcPr>
            <w:tcW w:w="9576" w:type="dxa"/>
          </w:tcPr>
          <w:p w14:paraId="621D6F7A" w14:textId="77777777"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El Rinc</w:t>
            </w:r>
            <w:r>
              <w:rPr>
                <w:rFonts w:ascii="Verdana" w:hAnsi="Verdana"/>
                <w:sz w:val="20"/>
                <w:szCs w:val="20"/>
              </w:rPr>
              <w:t>ó</w:t>
            </w:r>
            <w:r w:rsidRPr="00AC4722">
              <w:rPr>
                <w:rFonts w:ascii="Verdana" w:hAnsi="Verdana"/>
                <w:sz w:val="20"/>
                <w:szCs w:val="20"/>
              </w:rPr>
              <w:t>n La Paz</w:t>
            </w:r>
          </w:p>
        </w:tc>
      </w:tr>
      <w:tr w:rsidR="00F46A92" w:rsidRPr="006D4F58" w14:paraId="12412656" w14:textId="77777777" w:rsidTr="00425397">
        <w:tc>
          <w:tcPr>
            <w:tcW w:w="9576" w:type="dxa"/>
          </w:tcPr>
          <w:p w14:paraId="29C55456" w14:textId="77777777"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Golondrina</w:t>
            </w:r>
          </w:p>
        </w:tc>
      </w:tr>
      <w:tr w:rsidR="00F46A92" w:rsidRPr="006D4F58" w14:paraId="07967C66" w14:textId="77777777" w:rsidTr="00425397">
        <w:tc>
          <w:tcPr>
            <w:tcW w:w="9576" w:type="dxa"/>
          </w:tcPr>
          <w:p w14:paraId="68686278" w14:textId="77777777"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lastRenderedPageBreak/>
              <w:t>Guayacan</w:t>
            </w:r>
          </w:p>
        </w:tc>
      </w:tr>
      <w:tr w:rsidR="00F46A92" w:rsidRPr="006D4F58" w14:paraId="2F9D8D1D" w14:textId="77777777" w:rsidTr="00425397">
        <w:tc>
          <w:tcPr>
            <w:tcW w:w="9576" w:type="dxa"/>
          </w:tcPr>
          <w:p w14:paraId="332F10A0" w14:textId="77777777"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lang w:val="es-ES"/>
              </w:rPr>
              <w:t>Inhate - Alto De La Sierra</w:t>
            </w:r>
          </w:p>
        </w:tc>
      </w:tr>
      <w:tr w:rsidR="00F46A92" w:rsidRPr="006D4F58" w14:paraId="610C7C27" w14:textId="77777777" w:rsidTr="00425397">
        <w:tc>
          <w:tcPr>
            <w:tcW w:w="9576" w:type="dxa"/>
          </w:tcPr>
          <w:p w14:paraId="4A3B53D9" w14:textId="718D745B"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Kil</w:t>
            </w:r>
            <w:r>
              <w:rPr>
                <w:rFonts w:ascii="Verdana" w:hAnsi="Verdana"/>
                <w:sz w:val="20"/>
                <w:szCs w:val="20"/>
              </w:rPr>
              <w:t>ó</w:t>
            </w:r>
            <w:r w:rsidRPr="00AC4722">
              <w:rPr>
                <w:rFonts w:ascii="Verdana" w:hAnsi="Verdana"/>
                <w:sz w:val="20"/>
                <w:szCs w:val="20"/>
              </w:rPr>
              <w:t>metro 1</w:t>
            </w:r>
            <w:r w:rsidR="00616AD6">
              <w:rPr>
                <w:rFonts w:ascii="Verdana" w:hAnsi="Verdana"/>
                <w:sz w:val="20"/>
                <w:szCs w:val="20"/>
              </w:rPr>
              <w:t xml:space="preserve"> (Onhaichuy)</w:t>
            </w:r>
          </w:p>
        </w:tc>
      </w:tr>
      <w:tr w:rsidR="00F46A92" w:rsidRPr="006D4F58" w14:paraId="29BEF4CF" w14:textId="77777777" w:rsidTr="00425397">
        <w:tc>
          <w:tcPr>
            <w:tcW w:w="9576" w:type="dxa"/>
          </w:tcPr>
          <w:p w14:paraId="3703D995" w14:textId="77777777"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Kil</w:t>
            </w:r>
            <w:r>
              <w:rPr>
                <w:rFonts w:ascii="Verdana" w:hAnsi="Verdana"/>
                <w:sz w:val="20"/>
                <w:szCs w:val="20"/>
              </w:rPr>
              <w:t>ó</w:t>
            </w:r>
            <w:r w:rsidRPr="00AC4722">
              <w:rPr>
                <w:rFonts w:ascii="Verdana" w:hAnsi="Verdana"/>
                <w:sz w:val="20"/>
                <w:szCs w:val="20"/>
              </w:rPr>
              <w:t>metro 2 Central (Ex 3)</w:t>
            </w:r>
          </w:p>
        </w:tc>
      </w:tr>
      <w:tr w:rsidR="00F46A92" w:rsidRPr="006D4F58" w14:paraId="470ACC42" w14:textId="77777777" w:rsidTr="00425397">
        <w:tc>
          <w:tcPr>
            <w:tcW w:w="9576" w:type="dxa"/>
          </w:tcPr>
          <w:p w14:paraId="1DC26E36" w14:textId="5AAA5CD4"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Kil</w:t>
            </w:r>
            <w:r>
              <w:rPr>
                <w:rFonts w:ascii="Verdana" w:hAnsi="Verdana"/>
                <w:sz w:val="20"/>
                <w:szCs w:val="20"/>
              </w:rPr>
              <w:t>ó</w:t>
            </w:r>
            <w:r w:rsidRPr="00AC4722">
              <w:rPr>
                <w:rFonts w:ascii="Verdana" w:hAnsi="Verdana"/>
                <w:sz w:val="20"/>
                <w:szCs w:val="20"/>
              </w:rPr>
              <w:t>metro 2 "H'okad"</w:t>
            </w:r>
            <w:r w:rsidR="003217B5">
              <w:rPr>
                <w:rFonts w:ascii="Verdana" w:hAnsi="Verdana"/>
                <w:sz w:val="20"/>
                <w:szCs w:val="20"/>
              </w:rPr>
              <w:t xml:space="preserve"> (Nop’ok W’et)</w:t>
            </w:r>
          </w:p>
        </w:tc>
      </w:tr>
      <w:tr w:rsidR="00F46A92" w:rsidRPr="006D4F58" w14:paraId="45B8826D" w14:textId="77777777" w:rsidTr="00425397">
        <w:tc>
          <w:tcPr>
            <w:tcW w:w="9576" w:type="dxa"/>
          </w:tcPr>
          <w:p w14:paraId="044AD420" w14:textId="77777777"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Kil</w:t>
            </w:r>
            <w:r>
              <w:rPr>
                <w:rFonts w:ascii="Verdana" w:hAnsi="Verdana"/>
                <w:sz w:val="20"/>
                <w:szCs w:val="20"/>
              </w:rPr>
              <w:t>ó</w:t>
            </w:r>
            <w:r w:rsidRPr="00AC4722">
              <w:rPr>
                <w:rFonts w:ascii="Verdana" w:hAnsi="Verdana"/>
                <w:sz w:val="20"/>
                <w:szCs w:val="20"/>
              </w:rPr>
              <w:t>metro 12 (Ex Km 2)</w:t>
            </w:r>
          </w:p>
        </w:tc>
      </w:tr>
      <w:tr w:rsidR="00F46A92" w:rsidRPr="006D4F58" w14:paraId="3E69F546" w14:textId="77777777" w:rsidTr="00425397">
        <w:tc>
          <w:tcPr>
            <w:tcW w:w="9576" w:type="dxa"/>
          </w:tcPr>
          <w:p w14:paraId="52706F48" w14:textId="77777777"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lang w:val="es-ES"/>
              </w:rPr>
              <w:t>Kom La Chaca – Monte Carmelo</w:t>
            </w:r>
          </w:p>
        </w:tc>
      </w:tr>
      <w:tr w:rsidR="00F46A92" w:rsidRPr="006D4F58" w14:paraId="6D4F3A9A" w14:textId="77777777" w:rsidTr="00425397">
        <w:tc>
          <w:tcPr>
            <w:tcW w:w="9576" w:type="dxa"/>
          </w:tcPr>
          <w:p w14:paraId="01F3494A" w14:textId="77777777"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La Banda</w:t>
            </w:r>
          </w:p>
        </w:tc>
      </w:tr>
      <w:tr w:rsidR="00F46A92" w:rsidRPr="006D4F58" w14:paraId="66244B65" w14:textId="77777777" w:rsidTr="00616AD6">
        <w:trPr>
          <w:trHeight w:val="264"/>
        </w:trPr>
        <w:tc>
          <w:tcPr>
            <w:tcW w:w="9576" w:type="dxa"/>
          </w:tcPr>
          <w:p w14:paraId="138811EC" w14:textId="7E4A1DAE"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La Bolsa</w:t>
            </w:r>
            <w:r w:rsidR="00616AD6">
              <w:rPr>
                <w:rFonts w:ascii="Verdana" w:hAnsi="Verdana"/>
                <w:sz w:val="20"/>
                <w:szCs w:val="20"/>
              </w:rPr>
              <w:t xml:space="preserve"> (Tewuk Iliyi)</w:t>
            </w:r>
          </w:p>
        </w:tc>
      </w:tr>
      <w:tr w:rsidR="00F46A92" w:rsidRPr="006D4F58" w14:paraId="12EA1008" w14:textId="77777777" w:rsidTr="00425397">
        <w:tc>
          <w:tcPr>
            <w:tcW w:w="9576" w:type="dxa"/>
          </w:tcPr>
          <w:p w14:paraId="196D5888" w14:textId="77777777"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La Bolsa 2</w:t>
            </w:r>
          </w:p>
        </w:tc>
      </w:tr>
      <w:tr w:rsidR="00F46A92" w:rsidRPr="0083307C" w14:paraId="1946E3BB" w14:textId="77777777" w:rsidTr="00425397">
        <w:tc>
          <w:tcPr>
            <w:tcW w:w="9576" w:type="dxa"/>
          </w:tcPr>
          <w:p w14:paraId="3875C658" w14:textId="77777777"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La Curvita</w:t>
            </w:r>
          </w:p>
        </w:tc>
      </w:tr>
      <w:tr w:rsidR="00F46A92" w:rsidRPr="006D4F58" w14:paraId="103B16B5" w14:textId="77777777" w:rsidTr="00425397">
        <w:tc>
          <w:tcPr>
            <w:tcW w:w="9576" w:type="dxa"/>
          </w:tcPr>
          <w:p w14:paraId="4F9B3488" w14:textId="238C9886"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La Esperanza</w:t>
            </w:r>
            <w:r w:rsidR="00AF488B">
              <w:rPr>
                <w:rFonts w:ascii="Verdana" w:hAnsi="Verdana"/>
                <w:sz w:val="20"/>
                <w:szCs w:val="20"/>
              </w:rPr>
              <w:t xml:space="preserve"> (Fewj Wen’i)</w:t>
            </w:r>
          </w:p>
        </w:tc>
      </w:tr>
      <w:tr w:rsidR="00F46A92" w:rsidRPr="006D4F58" w14:paraId="29F770CE" w14:textId="77777777" w:rsidTr="00425397">
        <w:tc>
          <w:tcPr>
            <w:tcW w:w="9576" w:type="dxa"/>
          </w:tcPr>
          <w:p w14:paraId="45E2D44D" w14:textId="77777777"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La Esperanza 2 (La Puntana)</w:t>
            </w:r>
          </w:p>
        </w:tc>
      </w:tr>
      <w:tr w:rsidR="00F46A92" w:rsidRPr="006D4F58" w14:paraId="25EB4211" w14:textId="77777777" w:rsidTr="003217B5">
        <w:trPr>
          <w:trHeight w:val="264"/>
        </w:trPr>
        <w:tc>
          <w:tcPr>
            <w:tcW w:w="9576" w:type="dxa"/>
          </w:tcPr>
          <w:p w14:paraId="14AF58B8" w14:textId="1B0B3ED4"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La Estrella</w:t>
            </w:r>
            <w:r w:rsidR="003217B5">
              <w:rPr>
                <w:rFonts w:ascii="Verdana" w:hAnsi="Verdana"/>
                <w:sz w:val="20"/>
                <w:szCs w:val="20"/>
              </w:rPr>
              <w:t xml:space="preserve"> (Kates)</w:t>
            </w:r>
          </w:p>
        </w:tc>
      </w:tr>
      <w:tr w:rsidR="00F46A92" w:rsidRPr="006D4F58" w14:paraId="6B79B3CA" w14:textId="77777777" w:rsidTr="00425397">
        <w:tc>
          <w:tcPr>
            <w:tcW w:w="9576" w:type="dxa"/>
          </w:tcPr>
          <w:p w14:paraId="4D525AFE" w14:textId="15001B12"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La Gracia</w:t>
            </w:r>
            <w:r w:rsidR="00AF488B">
              <w:rPr>
                <w:rFonts w:ascii="Verdana" w:hAnsi="Verdana"/>
                <w:sz w:val="20"/>
                <w:szCs w:val="20"/>
              </w:rPr>
              <w:t xml:space="preserve"> (Pomis Ji’wet)</w:t>
            </w:r>
          </w:p>
        </w:tc>
      </w:tr>
      <w:tr w:rsidR="00F46A92" w:rsidRPr="006D4F58" w14:paraId="2A1F3E3F" w14:textId="77777777" w:rsidTr="00425397">
        <w:tc>
          <w:tcPr>
            <w:tcW w:w="9576" w:type="dxa"/>
          </w:tcPr>
          <w:p w14:paraId="36F32D57" w14:textId="25668790"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La Junta</w:t>
            </w:r>
            <w:r w:rsidR="00616AD6">
              <w:rPr>
                <w:rFonts w:ascii="Verdana" w:hAnsi="Verdana"/>
                <w:sz w:val="20"/>
                <w:szCs w:val="20"/>
              </w:rPr>
              <w:t xml:space="preserve"> (Alpu)</w:t>
            </w:r>
          </w:p>
        </w:tc>
      </w:tr>
      <w:tr w:rsidR="00F46A92" w:rsidRPr="006D4F58" w14:paraId="21A319C2" w14:textId="77777777" w:rsidTr="00425397">
        <w:tc>
          <w:tcPr>
            <w:tcW w:w="9576" w:type="dxa"/>
          </w:tcPr>
          <w:p w14:paraId="0BA3AFFC" w14:textId="77777777"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Las Lomitas</w:t>
            </w:r>
          </w:p>
        </w:tc>
      </w:tr>
      <w:tr w:rsidR="00F46A92" w:rsidRPr="006D4F58" w14:paraId="2B7AB6A0" w14:textId="77777777" w:rsidTr="00425397">
        <w:tc>
          <w:tcPr>
            <w:tcW w:w="9576" w:type="dxa"/>
          </w:tcPr>
          <w:p w14:paraId="091FFEB2" w14:textId="77777777"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La Merced Chica</w:t>
            </w:r>
          </w:p>
        </w:tc>
      </w:tr>
      <w:tr w:rsidR="00F46A92" w:rsidRPr="006D4F58" w14:paraId="73289315" w14:textId="77777777" w:rsidTr="00425397">
        <w:tc>
          <w:tcPr>
            <w:tcW w:w="9576" w:type="dxa"/>
          </w:tcPr>
          <w:p w14:paraId="1DBCE84D" w14:textId="77777777"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La Merced Nueva</w:t>
            </w:r>
          </w:p>
        </w:tc>
      </w:tr>
      <w:tr w:rsidR="00F46A92" w:rsidRPr="006D4F58" w14:paraId="61078344" w14:textId="77777777" w:rsidTr="00425397">
        <w:tc>
          <w:tcPr>
            <w:tcW w:w="9576" w:type="dxa"/>
          </w:tcPr>
          <w:p w14:paraId="769F86E9" w14:textId="77777777"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La Merced Vieja</w:t>
            </w:r>
          </w:p>
        </w:tc>
      </w:tr>
      <w:tr w:rsidR="00F46A92" w:rsidRPr="006D4F58" w14:paraId="5856839C" w14:textId="77777777" w:rsidTr="00425397">
        <w:tc>
          <w:tcPr>
            <w:tcW w:w="9576" w:type="dxa"/>
          </w:tcPr>
          <w:p w14:paraId="7843B3D2" w14:textId="77777777"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La Paz B</w:t>
            </w:r>
          </w:p>
        </w:tc>
      </w:tr>
      <w:tr w:rsidR="00F46A92" w:rsidRPr="006D4F58" w14:paraId="54072C88" w14:textId="77777777" w:rsidTr="00425397">
        <w:tc>
          <w:tcPr>
            <w:tcW w:w="9576" w:type="dxa"/>
          </w:tcPr>
          <w:p w14:paraId="0A03EF7C" w14:textId="77777777"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La Paz Chica</w:t>
            </w:r>
          </w:p>
        </w:tc>
      </w:tr>
      <w:tr w:rsidR="00F46A92" w:rsidRPr="006D4F58" w14:paraId="7E24FC43" w14:textId="77777777" w:rsidTr="00425397">
        <w:tc>
          <w:tcPr>
            <w:tcW w:w="9576" w:type="dxa"/>
          </w:tcPr>
          <w:p w14:paraId="324437FF" w14:textId="1C163C8F"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La Puntana 1</w:t>
            </w:r>
            <w:r w:rsidR="00616AD6">
              <w:rPr>
                <w:rFonts w:ascii="Verdana" w:hAnsi="Verdana"/>
                <w:sz w:val="20"/>
                <w:szCs w:val="20"/>
              </w:rPr>
              <w:t xml:space="preserve"> (Tsetwo P’itsek)</w:t>
            </w:r>
          </w:p>
        </w:tc>
      </w:tr>
      <w:tr w:rsidR="00F46A92" w:rsidRPr="006D4F58" w14:paraId="3A93A9EF" w14:textId="77777777" w:rsidTr="00425397">
        <w:tc>
          <w:tcPr>
            <w:tcW w:w="9576" w:type="dxa"/>
          </w:tcPr>
          <w:p w14:paraId="6BEE933E" w14:textId="77777777"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La Sardina</w:t>
            </w:r>
          </w:p>
        </w:tc>
      </w:tr>
      <w:tr w:rsidR="00F46A92" w:rsidRPr="006D4F58" w14:paraId="4D2F4527" w14:textId="77777777" w:rsidTr="00425397">
        <w:tc>
          <w:tcPr>
            <w:tcW w:w="9576" w:type="dxa"/>
          </w:tcPr>
          <w:p w14:paraId="4DEB0BC4" w14:textId="4871A1C0"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Las Vertientes 1</w:t>
            </w:r>
            <w:r w:rsidR="003217B5">
              <w:rPr>
                <w:rFonts w:ascii="Verdana" w:hAnsi="Verdana"/>
                <w:sz w:val="20"/>
                <w:szCs w:val="20"/>
              </w:rPr>
              <w:t xml:space="preserve"> (Waj Ch’inha)</w:t>
            </w:r>
          </w:p>
        </w:tc>
      </w:tr>
      <w:tr w:rsidR="00F46A92" w:rsidRPr="006D4F58" w14:paraId="359F0F61" w14:textId="77777777" w:rsidTr="00425397">
        <w:tc>
          <w:tcPr>
            <w:tcW w:w="9576" w:type="dxa"/>
          </w:tcPr>
          <w:p w14:paraId="297CD90A" w14:textId="77777777"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Pr>
                <w:rFonts w:ascii="Verdana" w:hAnsi="Verdana"/>
                <w:sz w:val="20"/>
                <w:szCs w:val="20"/>
              </w:rPr>
              <w:t>L</w:t>
            </w:r>
            <w:r w:rsidRPr="00AC4722">
              <w:rPr>
                <w:rFonts w:ascii="Verdana" w:hAnsi="Verdana"/>
                <w:sz w:val="20"/>
                <w:szCs w:val="20"/>
              </w:rPr>
              <w:t xml:space="preserve">as Vertientes </w:t>
            </w:r>
            <w:r>
              <w:rPr>
                <w:rFonts w:ascii="Verdana" w:hAnsi="Verdana"/>
                <w:sz w:val="20"/>
                <w:szCs w:val="20"/>
              </w:rPr>
              <w:t>III</w:t>
            </w:r>
          </w:p>
        </w:tc>
      </w:tr>
      <w:tr w:rsidR="00F46A92" w:rsidRPr="006D4F58" w14:paraId="3A40B641" w14:textId="77777777" w:rsidTr="00425397">
        <w:tc>
          <w:tcPr>
            <w:tcW w:w="9576" w:type="dxa"/>
          </w:tcPr>
          <w:p w14:paraId="321DBF4D" w14:textId="77777777"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Larguero</w:t>
            </w:r>
          </w:p>
        </w:tc>
      </w:tr>
      <w:tr w:rsidR="00F46A92" w:rsidRPr="006D4F58" w14:paraId="17DECC5A" w14:textId="77777777" w:rsidTr="00425397">
        <w:tc>
          <w:tcPr>
            <w:tcW w:w="9576" w:type="dxa"/>
          </w:tcPr>
          <w:p w14:paraId="5F9CA7D0" w14:textId="77777777"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lang w:val="es-ES"/>
              </w:rPr>
              <w:t>Lantawos - Alto De La Sierra</w:t>
            </w:r>
          </w:p>
        </w:tc>
      </w:tr>
      <w:tr w:rsidR="00F46A92" w:rsidRPr="006D4F58" w14:paraId="485A61F6" w14:textId="77777777" w:rsidTr="00425397">
        <w:tc>
          <w:tcPr>
            <w:tcW w:w="9576" w:type="dxa"/>
          </w:tcPr>
          <w:p w14:paraId="595260DA" w14:textId="77777777"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Los 6 Hermanos (Padre Coll 3)</w:t>
            </w:r>
          </w:p>
        </w:tc>
      </w:tr>
      <w:tr w:rsidR="00F46A92" w:rsidRPr="0083307C" w14:paraId="46D5906C" w14:textId="77777777" w:rsidTr="00425397">
        <w:tc>
          <w:tcPr>
            <w:tcW w:w="9576" w:type="dxa"/>
          </w:tcPr>
          <w:p w14:paraId="4E6D013E" w14:textId="77777777"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Madre Esperanza</w:t>
            </w:r>
          </w:p>
        </w:tc>
      </w:tr>
      <w:tr w:rsidR="00F46A92" w:rsidRPr="006D4F58" w14:paraId="7EA4EBEA" w14:textId="77777777" w:rsidTr="00425397">
        <w:tc>
          <w:tcPr>
            <w:tcW w:w="9576" w:type="dxa"/>
          </w:tcPr>
          <w:p w14:paraId="0A126477" w14:textId="77777777"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Misión Algarrobal</w:t>
            </w:r>
          </w:p>
        </w:tc>
      </w:tr>
      <w:tr w:rsidR="00F46A92" w:rsidRPr="006D4F58" w14:paraId="22186FDE" w14:textId="77777777" w:rsidTr="00425397">
        <w:tc>
          <w:tcPr>
            <w:tcW w:w="9576" w:type="dxa"/>
          </w:tcPr>
          <w:p w14:paraId="17FB632D" w14:textId="77777777"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Misi</w:t>
            </w:r>
            <w:r>
              <w:rPr>
                <w:rFonts w:ascii="Verdana" w:hAnsi="Verdana"/>
                <w:sz w:val="20"/>
                <w:szCs w:val="20"/>
              </w:rPr>
              <w:t>ó</w:t>
            </w:r>
            <w:r w:rsidRPr="00AC4722">
              <w:rPr>
                <w:rFonts w:ascii="Verdana" w:hAnsi="Verdana"/>
                <w:sz w:val="20"/>
                <w:szCs w:val="20"/>
              </w:rPr>
              <w:t>n Anselmo</w:t>
            </w:r>
          </w:p>
        </w:tc>
      </w:tr>
      <w:tr w:rsidR="00F46A92" w:rsidRPr="006D4F58" w14:paraId="72AA8343" w14:textId="77777777" w:rsidTr="00425397">
        <w:tc>
          <w:tcPr>
            <w:tcW w:w="9576" w:type="dxa"/>
          </w:tcPr>
          <w:p w14:paraId="1E886C2B" w14:textId="06972733"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Misión Grande Santa Mar</w:t>
            </w:r>
            <w:r>
              <w:rPr>
                <w:rFonts w:ascii="Verdana" w:hAnsi="Verdana"/>
                <w:sz w:val="20"/>
                <w:szCs w:val="20"/>
              </w:rPr>
              <w:t>í</w:t>
            </w:r>
            <w:r w:rsidRPr="00AC4722">
              <w:rPr>
                <w:rFonts w:ascii="Verdana" w:hAnsi="Verdana"/>
                <w:sz w:val="20"/>
                <w:szCs w:val="20"/>
              </w:rPr>
              <w:t>a</w:t>
            </w:r>
            <w:r w:rsidR="003217B5">
              <w:rPr>
                <w:rFonts w:ascii="Verdana" w:hAnsi="Verdana"/>
                <w:sz w:val="20"/>
                <w:szCs w:val="20"/>
              </w:rPr>
              <w:t xml:space="preserve"> (Mola Lhat hi)</w:t>
            </w:r>
          </w:p>
        </w:tc>
      </w:tr>
      <w:tr w:rsidR="00F46A92" w:rsidRPr="006D4F58" w14:paraId="035DDCCD" w14:textId="77777777" w:rsidTr="00425397">
        <w:tc>
          <w:tcPr>
            <w:tcW w:w="9576" w:type="dxa"/>
          </w:tcPr>
          <w:p w14:paraId="127A92C9" w14:textId="7317702D"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Misi</w:t>
            </w:r>
            <w:r>
              <w:rPr>
                <w:rFonts w:ascii="Verdana" w:hAnsi="Verdana"/>
                <w:sz w:val="20"/>
                <w:szCs w:val="20"/>
              </w:rPr>
              <w:t>ó</w:t>
            </w:r>
            <w:r w:rsidRPr="00AC4722">
              <w:rPr>
                <w:rFonts w:ascii="Verdana" w:hAnsi="Verdana"/>
                <w:sz w:val="20"/>
                <w:szCs w:val="20"/>
              </w:rPr>
              <w:t xml:space="preserve">n </w:t>
            </w:r>
            <w:r>
              <w:rPr>
                <w:rFonts w:ascii="Verdana" w:hAnsi="Verdana"/>
                <w:sz w:val="20"/>
                <w:szCs w:val="20"/>
              </w:rPr>
              <w:t>l</w:t>
            </w:r>
            <w:r w:rsidRPr="00AC4722">
              <w:rPr>
                <w:rFonts w:ascii="Verdana" w:hAnsi="Verdana"/>
                <w:sz w:val="20"/>
                <w:szCs w:val="20"/>
              </w:rPr>
              <w:t>a Paz</w:t>
            </w:r>
            <w:r w:rsidR="00616AD6">
              <w:rPr>
                <w:rFonts w:ascii="Verdana" w:hAnsi="Verdana"/>
                <w:sz w:val="20"/>
                <w:szCs w:val="20"/>
              </w:rPr>
              <w:t xml:space="preserve"> (Nop’ok W’et)</w:t>
            </w:r>
          </w:p>
        </w:tc>
      </w:tr>
      <w:tr w:rsidR="00F46A92" w:rsidRPr="006D4F58" w14:paraId="7D2B1726" w14:textId="77777777" w:rsidTr="00425397">
        <w:tc>
          <w:tcPr>
            <w:tcW w:w="9576" w:type="dxa"/>
          </w:tcPr>
          <w:p w14:paraId="42EC454B" w14:textId="77777777"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Misión Las Vertientes</w:t>
            </w:r>
          </w:p>
        </w:tc>
      </w:tr>
      <w:tr w:rsidR="00F46A92" w:rsidRPr="0083307C" w14:paraId="758FC8DB" w14:textId="77777777" w:rsidTr="00425397">
        <w:tc>
          <w:tcPr>
            <w:tcW w:w="9576" w:type="dxa"/>
          </w:tcPr>
          <w:p w14:paraId="792402E3" w14:textId="13286F21"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Misión Nueva Vida</w:t>
            </w:r>
            <w:r w:rsidR="003217B5">
              <w:rPr>
                <w:rFonts w:ascii="Verdana" w:hAnsi="Verdana"/>
                <w:sz w:val="20"/>
                <w:szCs w:val="20"/>
              </w:rPr>
              <w:t xml:space="preserve"> (Tsofwa Tanu (2))</w:t>
            </w:r>
          </w:p>
        </w:tc>
      </w:tr>
      <w:tr w:rsidR="00F46A92" w:rsidRPr="006D4F58" w14:paraId="7175A135" w14:textId="77777777" w:rsidTr="00425397">
        <w:tc>
          <w:tcPr>
            <w:tcW w:w="9576" w:type="dxa"/>
          </w:tcPr>
          <w:p w14:paraId="28196648" w14:textId="77777777"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lang w:val="es-ES"/>
              </w:rPr>
              <w:t>Misi</w:t>
            </w:r>
            <w:r>
              <w:rPr>
                <w:rFonts w:ascii="Verdana" w:hAnsi="Verdana"/>
                <w:sz w:val="20"/>
                <w:szCs w:val="20"/>
                <w:lang w:val="es-ES"/>
              </w:rPr>
              <w:t>ó</w:t>
            </w:r>
            <w:r w:rsidRPr="00AC4722">
              <w:rPr>
                <w:rFonts w:ascii="Verdana" w:hAnsi="Verdana"/>
                <w:sz w:val="20"/>
                <w:szCs w:val="20"/>
                <w:lang w:val="es-ES"/>
              </w:rPr>
              <w:t>n Pozo El Tigre (Ex Barrio Pozo El Tigre)</w:t>
            </w:r>
          </w:p>
        </w:tc>
      </w:tr>
      <w:tr w:rsidR="00F46A92" w:rsidRPr="006D4F58" w14:paraId="1A4AE9BC" w14:textId="77777777" w:rsidTr="00425397">
        <w:tc>
          <w:tcPr>
            <w:tcW w:w="9576" w:type="dxa"/>
          </w:tcPr>
          <w:p w14:paraId="48B67247" w14:textId="77777777"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Misión Rancho El Ñato</w:t>
            </w:r>
          </w:p>
        </w:tc>
      </w:tr>
      <w:tr w:rsidR="00F46A92" w:rsidRPr="006D4F58" w14:paraId="53389A02" w14:textId="77777777" w:rsidTr="00425397">
        <w:tc>
          <w:tcPr>
            <w:tcW w:w="9576" w:type="dxa"/>
          </w:tcPr>
          <w:p w14:paraId="46F57FE7" w14:textId="77777777"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Pr>
                <w:rFonts w:ascii="Verdana" w:hAnsi="Verdana"/>
                <w:sz w:val="20"/>
                <w:szCs w:val="20"/>
              </w:rPr>
              <w:t>Misión San André</w:t>
            </w:r>
            <w:r w:rsidRPr="00AC4722">
              <w:rPr>
                <w:rFonts w:ascii="Verdana" w:hAnsi="Verdana"/>
                <w:sz w:val="20"/>
                <w:szCs w:val="20"/>
              </w:rPr>
              <w:t>s</w:t>
            </w:r>
          </w:p>
        </w:tc>
      </w:tr>
      <w:tr w:rsidR="00F46A92" w:rsidRPr="006D4F58" w14:paraId="69852649" w14:textId="77777777" w:rsidTr="00425397">
        <w:tc>
          <w:tcPr>
            <w:tcW w:w="9576" w:type="dxa"/>
          </w:tcPr>
          <w:p w14:paraId="3D791771" w14:textId="4F345325"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Misión San Luis</w:t>
            </w:r>
            <w:r w:rsidR="00616AD6">
              <w:rPr>
                <w:rFonts w:ascii="Verdana" w:hAnsi="Verdana"/>
                <w:sz w:val="20"/>
                <w:szCs w:val="20"/>
              </w:rPr>
              <w:t xml:space="preserve"> (Sop’antes W’et)</w:t>
            </w:r>
          </w:p>
        </w:tc>
      </w:tr>
      <w:tr w:rsidR="00F46A92" w:rsidRPr="006D4F58" w14:paraId="7EC64B63" w14:textId="77777777" w:rsidTr="00425397">
        <w:tc>
          <w:tcPr>
            <w:tcW w:w="9576" w:type="dxa"/>
          </w:tcPr>
          <w:p w14:paraId="341AAF5D" w14:textId="77777777"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Misi</w:t>
            </w:r>
            <w:r>
              <w:rPr>
                <w:rFonts w:ascii="Verdana" w:hAnsi="Verdana"/>
                <w:sz w:val="20"/>
                <w:szCs w:val="20"/>
              </w:rPr>
              <w:t>ón Vieja Sta Marí</w:t>
            </w:r>
            <w:r w:rsidRPr="00AC4722">
              <w:rPr>
                <w:rFonts w:ascii="Verdana" w:hAnsi="Verdana"/>
                <w:sz w:val="20"/>
                <w:szCs w:val="20"/>
              </w:rPr>
              <w:t>a</w:t>
            </w:r>
          </w:p>
        </w:tc>
      </w:tr>
      <w:tr w:rsidR="00F46A92" w:rsidRPr="006D4F58" w14:paraId="7A1243A5" w14:textId="77777777" w:rsidTr="00425397">
        <w:tc>
          <w:tcPr>
            <w:tcW w:w="9576" w:type="dxa"/>
          </w:tcPr>
          <w:p w14:paraId="1847158B" w14:textId="77777777"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Mistolar</w:t>
            </w:r>
          </w:p>
        </w:tc>
      </w:tr>
      <w:tr w:rsidR="00F46A92" w:rsidRPr="006D4F58" w14:paraId="5F08CE9A" w14:textId="77777777" w:rsidTr="00425397">
        <w:tc>
          <w:tcPr>
            <w:tcW w:w="9576" w:type="dxa"/>
          </w:tcPr>
          <w:p w14:paraId="29B9FC17" w14:textId="77777777"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Monte Carmelo (Toba)</w:t>
            </w:r>
          </w:p>
        </w:tc>
      </w:tr>
      <w:tr w:rsidR="00F46A92" w:rsidRPr="006D4F58" w14:paraId="1F7C4421" w14:textId="77777777" w:rsidTr="003217B5">
        <w:trPr>
          <w:trHeight w:val="264"/>
        </w:trPr>
        <w:tc>
          <w:tcPr>
            <w:tcW w:w="9576" w:type="dxa"/>
          </w:tcPr>
          <w:p w14:paraId="6FEAD863" w14:textId="77777777"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Monteverde</w:t>
            </w:r>
          </w:p>
        </w:tc>
      </w:tr>
      <w:tr w:rsidR="00F46A92" w:rsidRPr="006D4F58" w14:paraId="44601E28" w14:textId="77777777" w:rsidTr="00425397">
        <w:tc>
          <w:tcPr>
            <w:tcW w:w="9576" w:type="dxa"/>
          </w:tcPr>
          <w:p w14:paraId="7D4E6AB2" w14:textId="5668F268"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Nahak'wek (Vertientes Chica)</w:t>
            </w:r>
            <w:r w:rsidR="003217B5">
              <w:rPr>
                <w:rFonts w:ascii="Verdana" w:hAnsi="Verdana"/>
                <w:sz w:val="20"/>
                <w:szCs w:val="20"/>
              </w:rPr>
              <w:t xml:space="preserve"> (Nahak’ wek)</w:t>
            </w:r>
          </w:p>
        </w:tc>
      </w:tr>
      <w:tr w:rsidR="00F46A92" w:rsidRPr="006D4F58" w14:paraId="463F0190" w14:textId="77777777" w:rsidTr="00425397">
        <w:tc>
          <w:tcPr>
            <w:tcW w:w="9576" w:type="dxa"/>
          </w:tcPr>
          <w:p w14:paraId="3671C929" w14:textId="77777777"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Nueva Esperanza</w:t>
            </w:r>
          </w:p>
        </w:tc>
      </w:tr>
      <w:tr w:rsidR="00F46A92" w:rsidRPr="006D4F58" w14:paraId="7A5A48A7" w14:textId="77777777" w:rsidTr="00425397">
        <w:tc>
          <w:tcPr>
            <w:tcW w:w="9576" w:type="dxa"/>
          </w:tcPr>
          <w:p w14:paraId="7A2BB8B7" w14:textId="75D35BAA"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Padre Coll 1</w:t>
            </w:r>
            <w:r w:rsidR="00616AD6">
              <w:rPr>
                <w:rFonts w:ascii="Verdana" w:hAnsi="Verdana"/>
                <w:sz w:val="20"/>
                <w:szCs w:val="20"/>
              </w:rPr>
              <w:t xml:space="preserve"> (Mola Lhat hi)</w:t>
            </w:r>
          </w:p>
        </w:tc>
      </w:tr>
      <w:tr w:rsidR="00F46A92" w:rsidRPr="006D4F58" w14:paraId="098E998F" w14:textId="77777777" w:rsidTr="00425397">
        <w:tc>
          <w:tcPr>
            <w:tcW w:w="9576" w:type="dxa"/>
          </w:tcPr>
          <w:p w14:paraId="74A21864" w14:textId="77777777"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Padre Coll 2</w:t>
            </w:r>
          </w:p>
        </w:tc>
      </w:tr>
      <w:tr w:rsidR="00F46A92" w:rsidRPr="006D4F58" w14:paraId="789EAAE2" w14:textId="77777777" w:rsidTr="00425397">
        <w:tc>
          <w:tcPr>
            <w:tcW w:w="9576" w:type="dxa"/>
          </w:tcPr>
          <w:p w14:paraId="3EA5C5B6" w14:textId="77777777"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Palmar</w:t>
            </w:r>
          </w:p>
        </w:tc>
      </w:tr>
      <w:tr w:rsidR="00F46A92" w:rsidRPr="006D4F58" w14:paraId="1E95DD2C" w14:textId="77777777" w:rsidTr="00425397">
        <w:tc>
          <w:tcPr>
            <w:tcW w:w="9576" w:type="dxa"/>
          </w:tcPr>
          <w:p w14:paraId="7A0EA326" w14:textId="61ACAB78" w:rsidR="00F46A92" w:rsidRPr="00AC4722" w:rsidRDefault="00543ED6" w:rsidP="00425397">
            <w:pPr>
              <w:pStyle w:val="Prrafodelista"/>
              <w:numPr>
                <w:ilvl w:val="0"/>
                <w:numId w:val="17"/>
              </w:numPr>
              <w:spacing w:after="0" w:line="240" w:lineRule="auto"/>
              <w:jc w:val="both"/>
              <w:rPr>
                <w:rFonts w:ascii="Verdana" w:hAnsi="Verdana"/>
                <w:sz w:val="20"/>
                <w:szCs w:val="20"/>
                <w:lang w:val="es-ES"/>
              </w:rPr>
            </w:pPr>
            <w:r>
              <w:rPr>
                <w:rFonts w:ascii="Verdana" w:hAnsi="Verdana"/>
                <w:sz w:val="20"/>
                <w:szCs w:val="20"/>
              </w:rPr>
              <w:t>Peli</w:t>
            </w:r>
            <w:r w:rsidR="00F46A92" w:rsidRPr="00AC4722">
              <w:rPr>
                <w:rFonts w:ascii="Verdana" w:hAnsi="Verdana"/>
                <w:sz w:val="20"/>
                <w:szCs w:val="20"/>
              </w:rPr>
              <w:t>cano</w:t>
            </w:r>
          </w:p>
        </w:tc>
      </w:tr>
      <w:tr w:rsidR="00F46A92" w:rsidRPr="006D4F58" w14:paraId="599A7E97" w14:textId="77777777" w:rsidTr="00425397">
        <w:tc>
          <w:tcPr>
            <w:tcW w:w="9576" w:type="dxa"/>
          </w:tcPr>
          <w:p w14:paraId="765297E7" w14:textId="77777777"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Pomis Jiwet</w:t>
            </w:r>
          </w:p>
        </w:tc>
      </w:tr>
      <w:tr w:rsidR="00F46A92" w:rsidRPr="0083307C" w14:paraId="26BEBB3C" w14:textId="77777777" w:rsidTr="00425397">
        <w:tc>
          <w:tcPr>
            <w:tcW w:w="9576" w:type="dxa"/>
          </w:tcPr>
          <w:p w14:paraId="16F7427F" w14:textId="3170C5CB"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lastRenderedPageBreak/>
              <w:t>Pozo El Bravo</w:t>
            </w:r>
            <w:r w:rsidR="003217B5">
              <w:rPr>
                <w:rFonts w:ascii="Verdana" w:hAnsi="Verdana"/>
                <w:sz w:val="20"/>
                <w:szCs w:val="20"/>
              </w:rPr>
              <w:t xml:space="preserve"> (Kacha)</w:t>
            </w:r>
          </w:p>
        </w:tc>
      </w:tr>
      <w:tr w:rsidR="00F46A92" w:rsidRPr="006D4F58" w14:paraId="6D6A13F1" w14:textId="77777777" w:rsidTr="00425397">
        <w:tc>
          <w:tcPr>
            <w:tcW w:w="9576" w:type="dxa"/>
          </w:tcPr>
          <w:p w14:paraId="7E21B001" w14:textId="190F1AC4"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Pozo El Mulato</w:t>
            </w:r>
            <w:r w:rsidR="00616AD6">
              <w:rPr>
                <w:rFonts w:ascii="Verdana" w:hAnsi="Verdana"/>
                <w:sz w:val="20"/>
                <w:szCs w:val="20"/>
              </w:rPr>
              <w:t xml:space="preserve"> (Nowej Lhile)</w:t>
            </w:r>
          </w:p>
        </w:tc>
      </w:tr>
      <w:tr w:rsidR="00F46A92" w:rsidRPr="006D4F58" w14:paraId="2857D7A0" w14:textId="77777777" w:rsidTr="00425397">
        <w:tc>
          <w:tcPr>
            <w:tcW w:w="9576" w:type="dxa"/>
          </w:tcPr>
          <w:p w14:paraId="198BEEE0" w14:textId="32AB27D9"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Pozo El Tigre</w:t>
            </w:r>
            <w:r w:rsidR="00616AD6">
              <w:rPr>
                <w:rFonts w:ascii="Verdana" w:hAnsi="Verdana"/>
                <w:sz w:val="20"/>
                <w:szCs w:val="20"/>
              </w:rPr>
              <w:t xml:space="preserve"> (Hayäj Lhokwe)</w:t>
            </w:r>
          </w:p>
        </w:tc>
      </w:tr>
      <w:tr w:rsidR="00F46A92" w:rsidRPr="006D4F58" w14:paraId="5BEE0A0D" w14:textId="77777777" w:rsidTr="00425397">
        <w:tc>
          <w:tcPr>
            <w:tcW w:w="9576" w:type="dxa"/>
          </w:tcPr>
          <w:p w14:paraId="4CF7DD35" w14:textId="77777777"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Pozo El Tigre I</w:t>
            </w:r>
            <w:r>
              <w:rPr>
                <w:rFonts w:ascii="Verdana" w:hAnsi="Verdana"/>
                <w:sz w:val="20"/>
                <w:szCs w:val="20"/>
              </w:rPr>
              <w:t>II</w:t>
            </w:r>
          </w:p>
        </w:tc>
      </w:tr>
      <w:tr w:rsidR="00F46A92" w:rsidRPr="006D4F58" w14:paraId="05A49E5F" w14:textId="77777777" w:rsidTr="00425397">
        <w:tc>
          <w:tcPr>
            <w:tcW w:w="9576" w:type="dxa"/>
          </w:tcPr>
          <w:p w14:paraId="56047FB8" w14:textId="02076013"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Pozo El Toro</w:t>
            </w:r>
            <w:r w:rsidR="00AF488B">
              <w:rPr>
                <w:rFonts w:ascii="Verdana" w:hAnsi="Verdana"/>
                <w:sz w:val="20"/>
                <w:szCs w:val="20"/>
              </w:rPr>
              <w:t xml:space="preserve"> (Sich’et t’i)</w:t>
            </w:r>
          </w:p>
        </w:tc>
      </w:tr>
      <w:tr w:rsidR="00F46A92" w:rsidRPr="006D4F58" w14:paraId="4E97A2D8" w14:textId="77777777" w:rsidTr="00425397">
        <w:tc>
          <w:tcPr>
            <w:tcW w:w="9576" w:type="dxa"/>
          </w:tcPr>
          <w:p w14:paraId="175C64E7" w14:textId="0052D313"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Pozo La China</w:t>
            </w:r>
            <w:r w:rsidR="00616AD6">
              <w:rPr>
                <w:rFonts w:ascii="Verdana" w:hAnsi="Verdana"/>
                <w:sz w:val="20"/>
                <w:szCs w:val="20"/>
              </w:rPr>
              <w:t xml:space="preserve"> (Pa’i his)</w:t>
            </w:r>
          </w:p>
        </w:tc>
      </w:tr>
      <w:tr w:rsidR="00F46A92" w:rsidRPr="006D4F58" w14:paraId="3A01E9E5" w14:textId="77777777" w:rsidTr="00425397">
        <w:tc>
          <w:tcPr>
            <w:tcW w:w="9576" w:type="dxa"/>
          </w:tcPr>
          <w:p w14:paraId="2A4F29C3" w14:textId="77777777"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Pozo La China I</w:t>
            </w:r>
          </w:p>
        </w:tc>
      </w:tr>
      <w:tr w:rsidR="00F46A92" w:rsidRPr="006D4F58" w14:paraId="43715E9C" w14:textId="77777777" w:rsidTr="00425397">
        <w:tc>
          <w:tcPr>
            <w:tcW w:w="9576" w:type="dxa"/>
          </w:tcPr>
          <w:p w14:paraId="7676B7AD" w14:textId="77777777"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Pozo La China II</w:t>
            </w:r>
          </w:p>
        </w:tc>
      </w:tr>
      <w:tr w:rsidR="00F46A92" w:rsidRPr="006D4F58" w14:paraId="1FBE99BB" w14:textId="77777777" w:rsidTr="00425397">
        <w:tc>
          <w:tcPr>
            <w:tcW w:w="9576" w:type="dxa"/>
          </w:tcPr>
          <w:p w14:paraId="6F475CC3" w14:textId="77777777"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Pozo La Yegua (Molalhaty)</w:t>
            </w:r>
          </w:p>
        </w:tc>
      </w:tr>
      <w:tr w:rsidR="00F46A92" w:rsidRPr="006D4F58" w14:paraId="5109CC05" w14:textId="77777777" w:rsidTr="00425397">
        <w:tc>
          <w:tcPr>
            <w:tcW w:w="9576" w:type="dxa"/>
          </w:tcPr>
          <w:p w14:paraId="6E1C5C32" w14:textId="77777777"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Puesto Nuevo</w:t>
            </w:r>
          </w:p>
        </w:tc>
      </w:tr>
      <w:tr w:rsidR="00F46A92" w:rsidRPr="006D4F58" w14:paraId="056730B5" w14:textId="77777777" w:rsidTr="00425397">
        <w:tc>
          <w:tcPr>
            <w:tcW w:w="9576" w:type="dxa"/>
          </w:tcPr>
          <w:p w14:paraId="7FE4BE58" w14:textId="77777777"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Puesto Nuevo 1 - San Luis</w:t>
            </w:r>
          </w:p>
        </w:tc>
      </w:tr>
      <w:tr w:rsidR="00F46A92" w:rsidRPr="006D4F58" w14:paraId="1BA21F25" w14:textId="77777777" w:rsidTr="00425397">
        <w:tc>
          <w:tcPr>
            <w:tcW w:w="9576" w:type="dxa"/>
          </w:tcPr>
          <w:p w14:paraId="62C4313F" w14:textId="77777777"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Puntana Central</w:t>
            </w:r>
          </w:p>
        </w:tc>
      </w:tr>
      <w:tr w:rsidR="00F46A92" w:rsidRPr="006D4F58" w14:paraId="2E9E7317" w14:textId="77777777" w:rsidTr="00425397">
        <w:tc>
          <w:tcPr>
            <w:tcW w:w="9576" w:type="dxa"/>
          </w:tcPr>
          <w:p w14:paraId="35919F71" w14:textId="3D843AE2"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Puntana Chica</w:t>
            </w:r>
            <w:r w:rsidR="003217B5">
              <w:rPr>
                <w:rFonts w:ascii="Verdana" w:hAnsi="Verdana"/>
                <w:sz w:val="20"/>
                <w:szCs w:val="20"/>
              </w:rPr>
              <w:t xml:space="preserve"> (Wichí w’et wumek)</w:t>
            </w:r>
          </w:p>
        </w:tc>
      </w:tr>
      <w:tr w:rsidR="00F46A92" w:rsidRPr="006D4F58" w14:paraId="3BA8CD15" w14:textId="77777777" w:rsidTr="00425397">
        <w:tc>
          <w:tcPr>
            <w:tcW w:w="9576" w:type="dxa"/>
          </w:tcPr>
          <w:p w14:paraId="0FB2064F" w14:textId="77777777" w:rsidR="00F46A92" w:rsidRPr="00AC4722" w:rsidRDefault="00F46A92" w:rsidP="00425397">
            <w:pPr>
              <w:pStyle w:val="Prrafodelista"/>
              <w:numPr>
                <w:ilvl w:val="0"/>
                <w:numId w:val="17"/>
              </w:numPr>
              <w:spacing w:after="0" w:line="240" w:lineRule="auto"/>
              <w:ind w:left="851" w:hanging="567"/>
              <w:jc w:val="both"/>
              <w:rPr>
                <w:rFonts w:ascii="Verdana" w:hAnsi="Verdana"/>
                <w:sz w:val="20"/>
                <w:szCs w:val="20"/>
                <w:lang w:val="es-ES"/>
              </w:rPr>
            </w:pPr>
            <w:r w:rsidRPr="00AC4722">
              <w:rPr>
                <w:rFonts w:ascii="Verdana" w:hAnsi="Verdana"/>
                <w:sz w:val="20"/>
                <w:szCs w:val="20"/>
              </w:rPr>
              <w:t>Puntana Nueva</w:t>
            </w:r>
          </w:p>
        </w:tc>
      </w:tr>
      <w:tr w:rsidR="00F46A92" w:rsidRPr="006D4F58" w14:paraId="3696C8B4" w14:textId="77777777" w:rsidTr="00425397">
        <w:tc>
          <w:tcPr>
            <w:tcW w:w="9576" w:type="dxa"/>
          </w:tcPr>
          <w:p w14:paraId="55D063F0" w14:textId="77777777" w:rsidR="00F46A92" w:rsidRPr="00AC4722" w:rsidRDefault="00F46A92" w:rsidP="00425397">
            <w:pPr>
              <w:pStyle w:val="Prrafodelista"/>
              <w:numPr>
                <w:ilvl w:val="0"/>
                <w:numId w:val="17"/>
              </w:numPr>
              <w:spacing w:after="0" w:line="240" w:lineRule="auto"/>
              <w:ind w:left="851" w:hanging="567"/>
              <w:jc w:val="both"/>
              <w:rPr>
                <w:rFonts w:ascii="Verdana" w:hAnsi="Verdana"/>
                <w:sz w:val="20"/>
                <w:szCs w:val="20"/>
                <w:lang w:val="es-ES"/>
              </w:rPr>
            </w:pPr>
            <w:r w:rsidRPr="00AC4722">
              <w:rPr>
                <w:rFonts w:ascii="Verdana" w:hAnsi="Verdana"/>
                <w:sz w:val="20"/>
                <w:szCs w:val="20"/>
              </w:rPr>
              <w:t>Puntana II</w:t>
            </w:r>
          </w:p>
        </w:tc>
      </w:tr>
      <w:tr w:rsidR="00F46A92" w:rsidRPr="006D4F58" w14:paraId="44977E63" w14:textId="77777777" w:rsidTr="003217B5">
        <w:trPr>
          <w:trHeight w:val="264"/>
        </w:trPr>
        <w:tc>
          <w:tcPr>
            <w:tcW w:w="9576" w:type="dxa"/>
          </w:tcPr>
          <w:p w14:paraId="519E650D" w14:textId="75067F4C" w:rsidR="00F46A92" w:rsidRPr="00AC4722" w:rsidRDefault="00F46A92" w:rsidP="00425397">
            <w:pPr>
              <w:pStyle w:val="Prrafodelista"/>
              <w:numPr>
                <w:ilvl w:val="0"/>
                <w:numId w:val="17"/>
              </w:numPr>
              <w:spacing w:after="0" w:line="240" w:lineRule="auto"/>
              <w:ind w:left="851" w:hanging="567"/>
              <w:jc w:val="both"/>
              <w:rPr>
                <w:rFonts w:ascii="Verdana" w:hAnsi="Verdana"/>
                <w:sz w:val="20"/>
                <w:szCs w:val="20"/>
                <w:lang w:val="es-ES"/>
              </w:rPr>
            </w:pPr>
            <w:r w:rsidRPr="00AC4722">
              <w:rPr>
                <w:rFonts w:ascii="Verdana" w:hAnsi="Verdana"/>
                <w:sz w:val="20"/>
                <w:szCs w:val="20"/>
              </w:rPr>
              <w:t>Quebrachal 1</w:t>
            </w:r>
            <w:r w:rsidR="003217B5">
              <w:rPr>
                <w:rFonts w:ascii="Verdana" w:hAnsi="Verdana"/>
                <w:sz w:val="20"/>
                <w:szCs w:val="20"/>
              </w:rPr>
              <w:t xml:space="preserve"> (Awutsojakas)</w:t>
            </w:r>
          </w:p>
        </w:tc>
      </w:tr>
      <w:tr w:rsidR="00F46A92" w:rsidRPr="006D4F58" w14:paraId="43EFFFBC" w14:textId="77777777" w:rsidTr="00425397">
        <w:tc>
          <w:tcPr>
            <w:tcW w:w="9576" w:type="dxa"/>
          </w:tcPr>
          <w:p w14:paraId="02D86D91" w14:textId="154E8577" w:rsidR="00F46A92" w:rsidRPr="00AC4722" w:rsidRDefault="00F46A92" w:rsidP="00425397">
            <w:pPr>
              <w:pStyle w:val="Prrafodelista"/>
              <w:numPr>
                <w:ilvl w:val="0"/>
                <w:numId w:val="17"/>
              </w:numPr>
              <w:spacing w:after="0" w:line="240" w:lineRule="auto"/>
              <w:ind w:left="851" w:hanging="567"/>
              <w:jc w:val="both"/>
              <w:rPr>
                <w:rFonts w:ascii="Verdana" w:hAnsi="Verdana"/>
                <w:sz w:val="20"/>
                <w:szCs w:val="20"/>
                <w:lang w:val="es-ES"/>
              </w:rPr>
            </w:pPr>
            <w:r w:rsidRPr="00AC4722">
              <w:rPr>
                <w:rFonts w:ascii="Verdana" w:hAnsi="Verdana"/>
                <w:sz w:val="20"/>
                <w:szCs w:val="20"/>
              </w:rPr>
              <w:t>Quebrachal 2</w:t>
            </w:r>
            <w:r w:rsidR="003217B5">
              <w:rPr>
                <w:rFonts w:ascii="Verdana" w:hAnsi="Verdana"/>
                <w:sz w:val="20"/>
                <w:szCs w:val="20"/>
              </w:rPr>
              <w:t xml:space="preserve"> (Chelhchat)</w:t>
            </w:r>
          </w:p>
        </w:tc>
      </w:tr>
      <w:tr w:rsidR="00F46A92" w:rsidRPr="006D4F58" w14:paraId="56701952" w14:textId="77777777" w:rsidTr="00425397">
        <w:tc>
          <w:tcPr>
            <w:tcW w:w="9576" w:type="dxa"/>
          </w:tcPr>
          <w:p w14:paraId="6932A1A5" w14:textId="77777777" w:rsidR="00F46A92" w:rsidRPr="00AC4722" w:rsidRDefault="00F46A92" w:rsidP="00425397">
            <w:pPr>
              <w:pStyle w:val="Prrafodelista"/>
              <w:numPr>
                <w:ilvl w:val="0"/>
                <w:numId w:val="17"/>
              </w:numPr>
              <w:spacing w:after="0" w:line="240" w:lineRule="auto"/>
              <w:ind w:left="851" w:hanging="567"/>
              <w:jc w:val="both"/>
              <w:rPr>
                <w:rFonts w:ascii="Verdana" w:hAnsi="Verdana"/>
                <w:sz w:val="20"/>
                <w:szCs w:val="20"/>
                <w:lang w:val="es-ES"/>
              </w:rPr>
            </w:pPr>
            <w:r w:rsidRPr="00AC4722">
              <w:rPr>
                <w:rFonts w:ascii="Verdana" w:hAnsi="Verdana"/>
                <w:sz w:val="20"/>
                <w:szCs w:val="20"/>
              </w:rPr>
              <w:t>Quebrachal III</w:t>
            </w:r>
          </w:p>
        </w:tc>
      </w:tr>
      <w:tr w:rsidR="00F46A92" w:rsidRPr="006D4F58" w14:paraId="78C88970" w14:textId="77777777" w:rsidTr="00425397">
        <w:tc>
          <w:tcPr>
            <w:tcW w:w="9576" w:type="dxa"/>
          </w:tcPr>
          <w:p w14:paraId="25884B96" w14:textId="33D3C166" w:rsidR="00F46A92" w:rsidRPr="00AC4722" w:rsidRDefault="00F46A92" w:rsidP="00425397">
            <w:pPr>
              <w:pStyle w:val="Prrafodelista"/>
              <w:numPr>
                <w:ilvl w:val="0"/>
                <w:numId w:val="17"/>
              </w:numPr>
              <w:spacing w:after="0" w:line="240" w:lineRule="auto"/>
              <w:ind w:left="851" w:hanging="567"/>
              <w:jc w:val="both"/>
              <w:rPr>
                <w:rFonts w:ascii="Verdana" w:hAnsi="Verdana"/>
                <w:sz w:val="20"/>
                <w:szCs w:val="20"/>
                <w:lang w:val="es-ES"/>
              </w:rPr>
            </w:pPr>
            <w:r w:rsidRPr="00AC4722">
              <w:rPr>
                <w:rFonts w:ascii="Verdana" w:hAnsi="Verdana"/>
                <w:sz w:val="20"/>
                <w:szCs w:val="20"/>
              </w:rPr>
              <w:t>Rancho El Ñato</w:t>
            </w:r>
            <w:r w:rsidR="00616AD6">
              <w:rPr>
                <w:rFonts w:ascii="Verdana" w:hAnsi="Verdana"/>
                <w:sz w:val="20"/>
                <w:szCs w:val="20"/>
              </w:rPr>
              <w:t xml:space="preserve"> (Ho’o Cha’a)</w:t>
            </w:r>
          </w:p>
        </w:tc>
      </w:tr>
      <w:tr w:rsidR="00F46A92" w:rsidRPr="006D4F58" w14:paraId="79326231" w14:textId="77777777" w:rsidTr="00425397">
        <w:tc>
          <w:tcPr>
            <w:tcW w:w="9576" w:type="dxa"/>
          </w:tcPr>
          <w:p w14:paraId="404D869F" w14:textId="77777777" w:rsidR="00F46A92" w:rsidRPr="00AC4722" w:rsidRDefault="00F46A92" w:rsidP="00425397">
            <w:pPr>
              <w:pStyle w:val="Prrafodelista"/>
              <w:numPr>
                <w:ilvl w:val="0"/>
                <w:numId w:val="17"/>
              </w:numPr>
              <w:spacing w:after="0" w:line="240" w:lineRule="auto"/>
              <w:ind w:left="851" w:hanging="567"/>
              <w:jc w:val="both"/>
              <w:rPr>
                <w:rFonts w:ascii="Verdana" w:hAnsi="Verdana"/>
                <w:sz w:val="20"/>
                <w:szCs w:val="20"/>
                <w:lang w:val="es-ES"/>
              </w:rPr>
            </w:pPr>
            <w:r w:rsidRPr="00AC4722">
              <w:rPr>
                <w:rFonts w:ascii="Verdana" w:hAnsi="Verdana"/>
                <w:sz w:val="20"/>
                <w:szCs w:val="20"/>
              </w:rPr>
              <w:t>Retiro</w:t>
            </w:r>
          </w:p>
        </w:tc>
      </w:tr>
      <w:tr w:rsidR="00F46A92" w:rsidRPr="006D4F58" w14:paraId="6E199150" w14:textId="77777777" w:rsidTr="00425397">
        <w:tc>
          <w:tcPr>
            <w:tcW w:w="9576" w:type="dxa"/>
          </w:tcPr>
          <w:p w14:paraId="1CEDE93D" w14:textId="77777777" w:rsidR="00F46A92" w:rsidRPr="00AC4722" w:rsidRDefault="00F46A92" w:rsidP="00425397">
            <w:pPr>
              <w:pStyle w:val="Prrafodelista"/>
              <w:numPr>
                <w:ilvl w:val="0"/>
                <w:numId w:val="17"/>
              </w:numPr>
              <w:spacing w:after="0" w:line="240" w:lineRule="auto"/>
              <w:ind w:left="851" w:hanging="567"/>
              <w:jc w:val="both"/>
              <w:rPr>
                <w:rFonts w:ascii="Verdana" w:hAnsi="Verdana"/>
                <w:sz w:val="20"/>
                <w:szCs w:val="20"/>
                <w:lang w:val="es-ES"/>
              </w:rPr>
            </w:pPr>
            <w:r w:rsidRPr="00AC4722">
              <w:rPr>
                <w:rFonts w:ascii="Verdana" w:hAnsi="Verdana"/>
                <w:sz w:val="20"/>
                <w:szCs w:val="20"/>
              </w:rPr>
              <w:t>Roberto Romero</w:t>
            </w:r>
          </w:p>
        </w:tc>
      </w:tr>
      <w:tr w:rsidR="00F46A92" w:rsidRPr="006D4F58" w14:paraId="2962E9D4" w14:textId="77777777" w:rsidTr="00425397">
        <w:tc>
          <w:tcPr>
            <w:tcW w:w="9576" w:type="dxa"/>
          </w:tcPr>
          <w:p w14:paraId="65E8A731" w14:textId="54B81FE9" w:rsidR="00F46A92" w:rsidRPr="00AC4722" w:rsidRDefault="00F46A92" w:rsidP="00425397">
            <w:pPr>
              <w:pStyle w:val="Prrafodelista"/>
              <w:numPr>
                <w:ilvl w:val="0"/>
                <w:numId w:val="17"/>
              </w:numPr>
              <w:spacing w:after="0" w:line="240" w:lineRule="auto"/>
              <w:ind w:left="851" w:hanging="567"/>
              <w:jc w:val="both"/>
              <w:rPr>
                <w:rFonts w:ascii="Verdana" w:hAnsi="Verdana"/>
                <w:sz w:val="20"/>
                <w:szCs w:val="20"/>
                <w:lang w:val="es-ES"/>
              </w:rPr>
            </w:pPr>
            <w:r w:rsidRPr="00AC4722">
              <w:rPr>
                <w:rFonts w:ascii="Verdana" w:hAnsi="Verdana"/>
                <w:sz w:val="20"/>
                <w:szCs w:val="20"/>
              </w:rPr>
              <w:t>Sauce</w:t>
            </w:r>
            <w:r w:rsidR="003217B5">
              <w:rPr>
                <w:rFonts w:ascii="Verdana" w:hAnsi="Verdana"/>
                <w:sz w:val="20"/>
                <w:szCs w:val="20"/>
              </w:rPr>
              <w:t xml:space="preserve"> (Sichuyukat)</w:t>
            </w:r>
          </w:p>
        </w:tc>
      </w:tr>
      <w:tr w:rsidR="00F46A92" w:rsidRPr="006D4F58" w14:paraId="741DAA65" w14:textId="77777777" w:rsidTr="00425397">
        <w:tc>
          <w:tcPr>
            <w:tcW w:w="9576" w:type="dxa"/>
          </w:tcPr>
          <w:p w14:paraId="52B13A7D" w14:textId="77777777" w:rsidR="00F46A92" w:rsidRPr="00AC4722" w:rsidRDefault="00F46A92" w:rsidP="00425397">
            <w:pPr>
              <w:pStyle w:val="Prrafodelista"/>
              <w:numPr>
                <w:ilvl w:val="0"/>
                <w:numId w:val="17"/>
              </w:numPr>
              <w:spacing w:after="0" w:line="240" w:lineRule="auto"/>
              <w:ind w:left="851" w:hanging="567"/>
              <w:jc w:val="both"/>
              <w:rPr>
                <w:rFonts w:ascii="Verdana" w:hAnsi="Verdana"/>
                <w:sz w:val="20"/>
                <w:szCs w:val="20"/>
                <w:lang w:val="es-ES"/>
              </w:rPr>
            </w:pPr>
            <w:r w:rsidRPr="00AC4722">
              <w:rPr>
                <w:rFonts w:ascii="Verdana" w:hAnsi="Verdana"/>
                <w:sz w:val="20"/>
                <w:szCs w:val="20"/>
              </w:rPr>
              <w:t>San Bernardo</w:t>
            </w:r>
          </w:p>
        </w:tc>
      </w:tr>
      <w:tr w:rsidR="00F46A92" w:rsidRPr="006D4F58" w14:paraId="05E47D89" w14:textId="77777777" w:rsidTr="00425397">
        <w:tc>
          <w:tcPr>
            <w:tcW w:w="9576" w:type="dxa"/>
          </w:tcPr>
          <w:p w14:paraId="311ECE7E" w14:textId="77777777" w:rsidR="00F46A92" w:rsidRPr="00AC4722" w:rsidRDefault="00F46A92" w:rsidP="00425397">
            <w:pPr>
              <w:pStyle w:val="Prrafodelista"/>
              <w:numPr>
                <w:ilvl w:val="0"/>
                <w:numId w:val="17"/>
              </w:numPr>
              <w:spacing w:after="0" w:line="240" w:lineRule="auto"/>
              <w:ind w:left="851" w:hanging="567"/>
              <w:jc w:val="both"/>
              <w:rPr>
                <w:rFonts w:ascii="Verdana" w:hAnsi="Verdana"/>
                <w:sz w:val="20"/>
                <w:szCs w:val="20"/>
                <w:lang w:val="es-ES"/>
              </w:rPr>
            </w:pPr>
            <w:r w:rsidRPr="00AC4722">
              <w:rPr>
                <w:rFonts w:ascii="Verdana" w:hAnsi="Verdana"/>
                <w:sz w:val="20"/>
                <w:szCs w:val="20"/>
              </w:rPr>
              <w:t>San Emilio</w:t>
            </w:r>
          </w:p>
        </w:tc>
      </w:tr>
      <w:tr w:rsidR="00F46A92" w:rsidRPr="006D4F58" w14:paraId="7937EF71" w14:textId="77777777" w:rsidTr="00425397">
        <w:tc>
          <w:tcPr>
            <w:tcW w:w="9576" w:type="dxa"/>
          </w:tcPr>
          <w:p w14:paraId="29B0A85E" w14:textId="77777777" w:rsidR="00F46A92" w:rsidRPr="00AC4722" w:rsidRDefault="00F46A92" w:rsidP="00425397">
            <w:pPr>
              <w:pStyle w:val="Prrafodelista"/>
              <w:numPr>
                <w:ilvl w:val="0"/>
                <w:numId w:val="17"/>
              </w:numPr>
              <w:spacing w:after="0" w:line="240" w:lineRule="auto"/>
              <w:ind w:left="851" w:hanging="567"/>
              <w:jc w:val="both"/>
              <w:rPr>
                <w:rFonts w:ascii="Verdana" w:hAnsi="Verdana"/>
                <w:sz w:val="20"/>
                <w:szCs w:val="20"/>
                <w:lang w:val="es-ES"/>
              </w:rPr>
            </w:pPr>
            <w:r w:rsidRPr="00AC4722">
              <w:rPr>
                <w:rFonts w:ascii="Verdana" w:hAnsi="Verdana"/>
                <w:sz w:val="20"/>
                <w:szCs w:val="20"/>
              </w:rPr>
              <w:t>San Ignacio</w:t>
            </w:r>
          </w:p>
        </w:tc>
      </w:tr>
      <w:tr w:rsidR="00F46A92" w:rsidRPr="006D4F58" w14:paraId="3043E3FC" w14:textId="77777777" w:rsidTr="00425397">
        <w:tc>
          <w:tcPr>
            <w:tcW w:w="9576" w:type="dxa"/>
          </w:tcPr>
          <w:p w14:paraId="71E9C553" w14:textId="77777777" w:rsidR="00F46A92" w:rsidRPr="00AC4722" w:rsidRDefault="00F46A92" w:rsidP="00425397">
            <w:pPr>
              <w:pStyle w:val="Prrafodelista"/>
              <w:numPr>
                <w:ilvl w:val="0"/>
                <w:numId w:val="17"/>
              </w:numPr>
              <w:spacing w:after="0" w:line="240" w:lineRule="auto"/>
              <w:ind w:left="851" w:hanging="567"/>
              <w:jc w:val="both"/>
              <w:rPr>
                <w:rFonts w:ascii="Verdana" w:hAnsi="Verdana"/>
                <w:sz w:val="20"/>
                <w:szCs w:val="20"/>
                <w:lang w:val="es-ES"/>
              </w:rPr>
            </w:pPr>
            <w:r w:rsidRPr="00AC4722">
              <w:rPr>
                <w:rFonts w:ascii="Verdana" w:hAnsi="Verdana"/>
                <w:sz w:val="20"/>
                <w:szCs w:val="20"/>
              </w:rPr>
              <w:t>San Ignacio 2</w:t>
            </w:r>
          </w:p>
        </w:tc>
      </w:tr>
      <w:tr w:rsidR="00F46A92" w:rsidRPr="006D4F58" w14:paraId="5E4F870D" w14:textId="77777777" w:rsidTr="00425397">
        <w:tc>
          <w:tcPr>
            <w:tcW w:w="9576" w:type="dxa"/>
          </w:tcPr>
          <w:p w14:paraId="378E0480" w14:textId="77777777" w:rsidR="00F46A92" w:rsidRPr="00AC4722" w:rsidRDefault="00F46A92" w:rsidP="00425397">
            <w:pPr>
              <w:pStyle w:val="Prrafodelista"/>
              <w:numPr>
                <w:ilvl w:val="0"/>
                <w:numId w:val="17"/>
              </w:numPr>
              <w:spacing w:after="0" w:line="240" w:lineRule="auto"/>
              <w:ind w:left="851" w:hanging="567"/>
              <w:jc w:val="both"/>
              <w:rPr>
                <w:rFonts w:ascii="Verdana" w:hAnsi="Verdana"/>
                <w:sz w:val="20"/>
                <w:szCs w:val="20"/>
                <w:lang w:val="es-ES"/>
              </w:rPr>
            </w:pPr>
            <w:r w:rsidRPr="00AC4722">
              <w:rPr>
                <w:rFonts w:ascii="Verdana" w:hAnsi="Verdana"/>
                <w:sz w:val="20"/>
                <w:szCs w:val="20"/>
              </w:rPr>
              <w:t>San Lorenzo</w:t>
            </w:r>
          </w:p>
        </w:tc>
      </w:tr>
      <w:tr w:rsidR="00F46A92" w:rsidRPr="006D4F58" w14:paraId="22478E8D" w14:textId="77777777" w:rsidTr="00425397">
        <w:tc>
          <w:tcPr>
            <w:tcW w:w="9576" w:type="dxa"/>
          </w:tcPr>
          <w:p w14:paraId="2BFCF4C9" w14:textId="77777777" w:rsidR="00F46A92" w:rsidRPr="00AC4722" w:rsidRDefault="00F46A92" w:rsidP="00425397">
            <w:pPr>
              <w:pStyle w:val="Prrafodelista"/>
              <w:numPr>
                <w:ilvl w:val="0"/>
                <w:numId w:val="17"/>
              </w:numPr>
              <w:spacing w:after="0" w:line="240" w:lineRule="auto"/>
              <w:ind w:left="851" w:hanging="567"/>
              <w:jc w:val="both"/>
              <w:rPr>
                <w:rFonts w:ascii="Verdana" w:hAnsi="Verdana"/>
                <w:sz w:val="20"/>
                <w:szCs w:val="20"/>
                <w:lang w:val="es-ES"/>
              </w:rPr>
            </w:pPr>
            <w:r w:rsidRPr="00AC4722">
              <w:rPr>
                <w:rFonts w:ascii="Verdana" w:hAnsi="Verdana"/>
                <w:sz w:val="20"/>
                <w:szCs w:val="20"/>
              </w:rPr>
              <w:t>San Luis Central</w:t>
            </w:r>
          </w:p>
        </w:tc>
      </w:tr>
      <w:tr w:rsidR="00F46A92" w:rsidRPr="006D4F58" w14:paraId="2C78207E" w14:textId="77777777" w:rsidTr="00425397">
        <w:tc>
          <w:tcPr>
            <w:tcW w:w="9576" w:type="dxa"/>
          </w:tcPr>
          <w:p w14:paraId="2E346E4C" w14:textId="77777777" w:rsidR="00F46A92" w:rsidRPr="00AC4722" w:rsidRDefault="00F46A92" w:rsidP="00425397">
            <w:pPr>
              <w:pStyle w:val="Prrafodelista"/>
              <w:numPr>
                <w:ilvl w:val="0"/>
                <w:numId w:val="17"/>
              </w:numPr>
              <w:spacing w:after="0" w:line="240" w:lineRule="auto"/>
              <w:ind w:left="851" w:hanging="567"/>
              <w:jc w:val="both"/>
              <w:rPr>
                <w:rFonts w:ascii="Verdana" w:hAnsi="Verdana"/>
                <w:sz w:val="20"/>
                <w:szCs w:val="20"/>
                <w:lang w:val="es-ES"/>
              </w:rPr>
            </w:pPr>
            <w:r w:rsidRPr="00AC4722">
              <w:rPr>
                <w:rFonts w:ascii="Verdana" w:hAnsi="Verdana"/>
                <w:sz w:val="20"/>
                <w:szCs w:val="20"/>
              </w:rPr>
              <w:t>San Martin (La Invernada)</w:t>
            </w:r>
          </w:p>
        </w:tc>
      </w:tr>
      <w:tr w:rsidR="00F46A92" w:rsidRPr="006D4F58" w14:paraId="246732D5" w14:textId="77777777" w:rsidTr="00425397">
        <w:tc>
          <w:tcPr>
            <w:tcW w:w="9576" w:type="dxa"/>
          </w:tcPr>
          <w:p w14:paraId="1783552C" w14:textId="0B1E9C76" w:rsidR="00F46A92" w:rsidRPr="00AC4722" w:rsidRDefault="00F46A92" w:rsidP="00425397">
            <w:pPr>
              <w:pStyle w:val="Prrafodelista"/>
              <w:numPr>
                <w:ilvl w:val="0"/>
                <w:numId w:val="17"/>
              </w:numPr>
              <w:spacing w:after="0" w:line="240" w:lineRule="auto"/>
              <w:ind w:left="851" w:hanging="567"/>
              <w:jc w:val="both"/>
              <w:rPr>
                <w:rFonts w:ascii="Verdana" w:hAnsi="Verdana"/>
                <w:sz w:val="20"/>
                <w:szCs w:val="20"/>
                <w:lang w:val="es-ES"/>
              </w:rPr>
            </w:pPr>
            <w:r w:rsidRPr="00AC4722">
              <w:rPr>
                <w:rFonts w:ascii="Verdana" w:hAnsi="Verdana"/>
                <w:sz w:val="20"/>
                <w:szCs w:val="20"/>
              </w:rPr>
              <w:t>San Miguel</w:t>
            </w:r>
            <w:r w:rsidR="003217B5">
              <w:rPr>
                <w:rFonts w:ascii="Verdana" w:hAnsi="Verdana"/>
                <w:sz w:val="20"/>
                <w:szCs w:val="20"/>
              </w:rPr>
              <w:t xml:space="preserve"> (Waj Lhokwe)</w:t>
            </w:r>
          </w:p>
        </w:tc>
      </w:tr>
      <w:tr w:rsidR="00F46A92" w:rsidRPr="006D4F58" w14:paraId="2E14BC3B" w14:textId="77777777" w:rsidTr="00425397">
        <w:tc>
          <w:tcPr>
            <w:tcW w:w="9576" w:type="dxa"/>
          </w:tcPr>
          <w:p w14:paraId="2615D18C" w14:textId="77777777" w:rsidR="00F46A92" w:rsidRPr="00AC4722" w:rsidRDefault="00F46A92" w:rsidP="00425397">
            <w:pPr>
              <w:pStyle w:val="Prrafodelista"/>
              <w:numPr>
                <w:ilvl w:val="0"/>
                <w:numId w:val="17"/>
              </w:numPr>
              <w:spacing w:after="0" w:line="240" w:lineRule="auto"/>
              <w:ind w:left="851" w:hanging="567"/>
              <w:jc w:val="both"/>
              <w:rPr>
                <w:rFonts w:ascii="Verdana" w:hAnsi="Verdana"/>
                <w:sz w:val="20"/>
                <w:szCs w:val="20"/>
                <w:lang w:val="es-ES"/>
              </w:rPr>
            </w:pPr>
            <w:r w:rsidRPr="00AC4722">
              <w:rPr>
                <w:rFonts w:ascii="Verdana" w:hAnsi="Verdana"/>
                <w:sz w:val="20"/>
                <w:szCs w:val="20"/>
              </w:rPr>
              <w:t>San Miguel Chico</w:t>
            </w:r>
          </w:p>
        </w:tc>
      </w:tr>
      <w:tr w:rsidR="00F46A92" w:rsidRPr="006D4F58" w14:paraId="689A9765" w14:textId="77777777" w:rsidTr="00425397">
        <w:tc>
          <w:tcPr>
            <w:tcW w:w="9576" w:type="dxa"/>
          </w:tcPr>
          <w:p w14:paraId="6C85EB23" w14:textId="77777777" w:rsidR="00F46A92" w:rsidRPr="00AC4722" w:rsidRDefault="00F46A92" w:rsidP="00425397">
            <w:pPr>
              <w:pStyle w:val="Prrafodelista"/>
              <w:numPr>
                <w:ilvl w:val="0"/>
                <w:numId w:val="17"/>
              </w:numPr>
              <w:spacing w:after="0" w:line="240" w:lineRule="auto"/>
              <w:ind w:left="851" w:hanging="567"/>
              <w:jc w:val="both"/>
              <w:rPr>
                <w:rFonts w:ascii="Verdana" w:hAnsi="Verdana"/>
                <w:sz w:val="20"/>
                <w:szCs w:val="20"/>
                <w:lang w:val="es-ES"/>
              </w:rPr>
            </w:pPr>
            <w:r w:rsidRPr="00AC4722">
              <w:rPr>
                <w:rFonts w:ascii="Verdana" w:hAnsi="Verdana"/>
                <w:sz w:val="20"/>
                <w:szCs w:val="20"/>
              </w:rPr>
              <w:t>San Rafael</w:t>
            </w:r>
          </w:p>
        </w:tc>
      </w:tr>
      <w:tr w:rsidR="00F46A92" w:rsidRPr="006D4F58" w14:paraId="0D380CE7" w14:textId="77777777" w:rsidTr="00425397">
        <w:tc>
          <w:tcPr>
            <w:tcW w:w="9576" w:type="dxa"/>
          </w:tcPr>
          <w:p w14:paraId="0DAEFD4C" w14:textId="77777777" w:rsidR="00F46A92" w:rsidRPr="00AC4722" w:rsidRDefault="00F46A92" w:rsidP="00425397">
            <w:pPr>
              <w:pStyle w:val="Prrafodelista"/>
              <w:numPr>
                <w:ilvl w:val="0"/>
                <w:numId w:val="17"/>
              </w:numPr>
              <w:spacing w:after="0" w:line="240" w:lineRule="auto"/>
              <w:ind w:left="851" w:hanging="567"/>
              <w:jc w:val="both"/>
              <w:rPr>
                <w:rFonts w:ascii="Verdana" w:hAnsi="Verdana"/>
                <w:sz w:val="20"/>
                <w:szCs w:val="20"/>
                <w:lang w:val="es-ES"/>
              </w:rPr>
            </w:pPr>
            <w:r>
              <w:rPr>
                <w:rFonts w:ascii="Verdana" w:hAnsi="Verdana"/>
                <w:sz w:val="20"/>
                <w:szCs w:val="20"/>
              </w:rPr>
              <w:t>Santa Marí</w:t>
            </w:r>
            <w:r w:rsidRPr="00AC4722">
              <w:rPr>
                <w:rFonts w:ascii="Verdana" w:hAnsi="Verdana"/>
                <w:sz w:val="20"/>
                <w:szCs w:val="20"/>
              </w:rPr>
              <w:t>a Chica</w:t>
            </w:r>
          </w:p>
        </w:tc>
      </w:tr>
      <w:tr w:rsidR="00F46A92" w:rsidRPr="006D4F58" w14:paraId="364F9774" w14:textId="77777777" w:rsidTr="00425397">
        <w:tc>
          <w:tcPr>
            <w:tcW w:w="9576" w:type="dxa"/>
          </w:tcPr>
          <w:p w14:paraId="3A53A78D" w14:textId="71F951B7" w:rsidR="00F46A92" w:rsidRPr="00AC4722" w:rsidRDefault="00F46A92" w:rsidP="00425397">
            <w:pPr>
              <w:pStyle w:val="Prrafodelista"/>
              <w:numPr>
                <w:ilvl w:val="0"/>
                <w:numId w:val="17"/>
              </w:numPr>
              <w:spacing w:after="0" w:line="240" w:lineRule="auto"/>
              <w:ind w:left="851" w:hanging="567"/>
              <w:jc w:val="both"/>
              <w:rPr>
                <w:rFonts w:ascii="Verdana" w:hAnsi="Verdana"/>
                <w:sz w:val="20"/>
                <w:szCs w:val="20"/>
                <w:lang w:val="es-ES"/>
              </w:rPr>
            </w:pPr>
            <w:r w:rsidRPr="00AC4722">
              <w:rPr>
                <w:rFonts w:ascii="Verdana" w:hAnsi="Verdana"/>
                <w:sz w:val="20"/>
                <w:szCs w:val="20"/>
              </w:rPr>
              <w:t>Santa Victoria Este I</w:t>
            </w:r>
            <w:r w:rsidR="00616AD6">
              <w:rPr>
                <w:rFonts w:ascii="Verdana" w:hAnsi="Verdana"/>
                <w:sz w:val="20"/>
                <w:szCs w:val="20"/>
              </w:rPr>
              <w:t xml:space="preserve"> (Notsoj)</w:t>
            </w:r>
          </w:p>
        </w:tc>
      </w:tr>
      <w:tr w:rsidR="00F46A92" w14:paraId="7E4516C1" w14:textId="77777777" w:rsidTr="00425397">
        <w:tc>
          <w:tcPr>
            <w:tcW w:w="9576" w:type="dxa"/>
          </w:tcPr>
          <w:p w14:paraId="2671FEB4" w14:textId="77777777" w:rsidR="00F46A92" w:rsidRPr="00AC4722" w:rsidRDefault="00F46A92" w:rsidP="00425397">
            <w:pPr>
              <w:pStyle w:val="Prrafodelista"/>
              <w:numPr>
                <w:ilvl w:val="0"/>
                <w:numId w:val="17"/>
              </w:numPr>
              <w:spacing w:after="0" w:line="240" w:lineRule="auto"/>
              <w:ind w:left="851" w:hanging="567"/>
              <w:jc w:val="both"/>
              <w:rPr>
                <w:rFonts w:ascii="Verdana" w:hAnsi="Verdana"/>
                <w:sz w:val="20"/>
                <w:szCs w:val="20"/>
              </w:rPr>
            </w:pPr>
            <w:r w:rsidRPr="00AC4722">
              <w:rPr>
                <w:rFonts w:ascii="Verdana" w:hAnsi="Verdana"/>
                <w:sz w:val="20"/>
                <w:szCs w:val="20"/>
              </w:rPr>
              <w:t>Santa Victoria I</w:t>
            </w:r>
            <w:r>
              <w:rPr>
                <w:rFonts w:ascii="Verdana" w:hAnsi="Verdana"/>
                <w:sz w:val="20"/>
                <w:szCs w:val="20"/>
              </w:rPr>
              <w:t>I</w:t>
            </w:r>
          </w:p>
        </w:tc>
      </w:tr>
      <w:tr w:rsidR="00F46A92" w14:paraId="40A744E2" w14:textId="77777777" w:rsidTr="00425397">
        <w:tc>
          <w:tcPr>
            <w:tcW w:w="9576" w:type="dxa"/>
          </w:tcPr>
          <w:p w14:paraId="3B86E260" w14:textId="77777777" w:rsidR="00F46A92" w:rsidRPr="00AC4722" w:rsidRDefault="00F46A92" w:rsidP="00425397">
            <w:pPr>
              <w:pStyle w:val="Prrafodelista"/>
              <w:numPr>
                <w:ilvl w:val="0"/>
                <w:numId w:val="17"/>
              </w:numPr>
              <w:spacing w:after="0" w:line="240" w:lineRule="auto"/>
              <w:ind w:left="851" w:hanging="567"/>
              <w:jc w:val="both"/>
              <w:rPr>
                <w:rFonts w:ascii="Verdana" w:hAnsi="Verdana"/>
                <w:sz w:val="20"/>
                <w:szCs w:val="20"/>
              </w:rPr>
            </w:pPr>
            <w:r w:rsidRPr="00AC4722">
              <w:rPr>
                <w:rFonts w:ascii="Verdana" w:hAnsi="Verdana"/>
                <w:sz w:val="20"/>
                <w:szCs w:val="20"/>
              </w:rPr>
              <w:t>Sepak</w:t>
            </w:r>
          </w:p>
        </w:tc>
      </w:tr>
      <w:tr w:rsidR="00F46A92" w14:paraId="644F4B94" w14:textId="77777777" w:rsidTr="00425397">
        <w:tc>
          <w:tcPr>
            <w:tcW w:w="9576" w:type="dxa"/>
          </w:tcPr>
          <w:p w14:paraId="6C0A5AEE" w14:textId="77777777" w:rsidR="00F46A92" w:rsidRPr="00AC4722" w:rsidRDefault="00F46A92" w:rsidP="00425397">
            <w:pPr>
              <w:pStyle w:val="Prrafodelista"/>
              <w:numPr>
                <w:ilvl w:val="0"/>
                <w:numId w:val="17"/>
              </w:numPr>
              <w:spacing w:after="0" w:line="240" w:lineRule="auto"/>
              <w:ind w:left="851" w:hanging="567"/>
              <w:jc w:val="both"/>
              <w:rPr>
                <w:rFonts w:ascii="Verdana" w:hAnsi="Verdana"/>
                <w:sz w:val="20"/>
                <w:szCs w:val="20"/>
              </w:rPr>
            </w:pPr>
            <w:r w:rsidRPr="00AC4722">
              <w:rPr>
                <w:rFonts w:ascii="Verdana" w:hAnsi="Verdana"/>
                <w:sz w:val="20"/>
                <w:szCs w:val="20"/>
              </w:rPr>
              <w:t>Tewok Wichí</w:t>
            </w:r>
          </w:p>
        </w:tc>
      </w:tr>
      <w:tr w:rsidR="00F46A92" w14:paraId="6DB06126" w14:textId="77777777" w:rsidTr="00425397">
        <w:tc>
          <w:tcPr>
            <w:tcW w:w="9576" w:type="dxa"/>
          </w:tcPr>
          <w:p w14:paraId="511354FD" w14:textId="77777777" w:rsidR="00F46A92" w:rsidRPr="00AC4722" w:rsidRDefault="00F46A92" w:rsidP="00425397">
            <w:pPr>
              <w:pStyle w:val="Prrafodelista"/>
              <w:numPr>
                <w:ilvl w:val="0"/>
                <w:numId w:val="17"/>
              </w:numPr>
              <w:spacing w:after="0" w:line="240" w:lineRule="auto"/>
              <w:ind w:left="851" w:hanging="567"/>
              <w:jc w:val="both"/>
              <w:rPr>
                <w:rFonts w:ascii="Verdana" w:hAnsi="Verdana"/>
                <w:sz w:val="20"/>
                <w:szCs w:val="20"/>
              </w:rPr>
            </w:pPr>
            <w:r w:rsidRPr="00AC4722">
              <w:rPr>
                <w:rFonts w:ascii="Verdana" w:hAnsi="Verdana"/>
                <w:sz w:val="20"/>
                <w:szCs w:val="20"/>
              </w:rPr>
              <w:t>Vertientes IV</w:t>
            </w:r>
          </w:p>
        </w:tc>
      </w:tr>
      <w:tr w:rsidR="00F46A92" w14:paraId="69B3DBA2" w14:textId="77777777" w:rsidTr="00425397">
        <w:tc>
          <w:tcPr>
            <w:tcW w:w="9576" w:type="dxa"/>
          </w:tcPr>
          <w:p w14:paraId="228BD695" w14:textId="77777777" w:rsidR="00F46A92" w:rsidRPr="00AC4722" w:rsidRDefault="00F46A92" w:rsidP="00425397">
            <w:pPr>
              <w:pStyle w:val="Prrafodelista"/>
              <w:numPr>
                <w:ilvl w:val="0"/>
                <w:numId w:val="17"/>
              </w:numPr>
              <w:spacing w:after="0" w:line="240" w:lineRule="auto"/>
              <w:ind w:left="851" w:hanging="567"/>
              <w:jc w:val="both"/>
              <w:rPr>
                <w:rFonts w:ascii="Verdana" w:hAnsi="Verdana"/>
                <w:sz w:val="20"/>
                <w:szCs w:val="20"/>
              </w:rPr>
            </w:pPr>
            <w:r w:rsidRPr="00AC4722">
              <w:rPr>
                <w:rFonts w:ascii="Verdana" w:hAnsi="Verdana"/>
                <w:sz w:val="20"/>
                <w:szCs w:val="20"/>
              </w:rPr>
              <w:t>Yuchan</w:t>
            </w:r>
          </w:p>
        </w:tc>
      </w:tr>
      <w:tr w:rsidR="00F46A92" w14:paraId="2760BE6E" w14:textId="77777777" w:rsidTr="00425397">
        <w:tc>
          <w:tcPr>
            <w:tcW w:w="9576" w:type="dxa"/>
          </w:tcPr>
          <w:p w14:paraId="33FDB6F6" w14:textId="77777777" w:rsidR="00F46A92" w:rsidRPr="00AC4722" w:rsidRDefault="00F46A92" w:rsidP="00425397">
            <w:pPr>
              <w:pStyle w:val="Prrafodelista"/>
              <w:numPr>
                <w:ilvl w:val="0"/>
                <w:numId w:val="17"/>
              </w:numPr>
              <w:spacing w:after="0" w:line="240" w:lineRule="auto"/>
              <w:ind w:left="851" w:hanging="567"/>
              <w:jc w:val="both"/>
              <w:rPr>
                <w:rFonts w:ascii="Verdana" w:hAnsi="Verdana"/>
                <w:sz w:val="20"/>
                <w:szCs w:val="20"/>
              </w:rPr>
            </w:pPr>
            <w:r w:rsidRPr="00AC4722">
              <w:rPr>
                <w:rFonts w:ascii="Verdana" w:hAnsi="Verdana"/>
                <w:sz w:val="20"/>
                <w:szCs w:val="20"/>
              </w:rPr>
              <w:t>2 De Agosto Ruta 54</w:t>
            </w:r>
          </w:p>
        </w:tc>
      </w:tr>
      <w:tr w:rsidR="00F46A92" w14:paraId="663155B9" w14:textId="77777777" w:rsidTr="00425397">
        <w:tc>
          <w:tcPr>
            <w:tcW w:w="9576" w:type="dxa"/>
          </w:tcPr>
          <w:p w14:paraId="45764B3E" w14:textId="77777777" w:rsidR="00F46A92" w:rsidRPr="00AC4722" w:rsidRDefault="00F46A92" w:rsidP="00425397">
            <w:pPr>
              <w:pStyle w:val="Prrafodelista"/>
              <w:numPr>
                <w:ilvl w:val="0"/>
                <w:numId w:val="17"/>
              </w:numPr>
              <w:spacing w:after="0" w:line="240" w:lineRule="auto"/>
              <w:ind w:left="851" w:hanging="567"/>
              <w:jc w:val="both"/>
              <w:rPr>
                <w:rFonts w:ascii="Verdana" w:hAnsi="Verdana"/>
                <w:sz w:val="20"/>
                <w:szCs w:val="20"/>
              </w:rPr>
            </w:pPr>
            <w:r w:rsidRPr="00AC4722">
              <w:rPr>
                <w:rFonts w:ascii="Verdana" w:hAnsi="Verdana"/>
                <w:sz w:val="20"/>
                <w:szCs w:val="20"/>
              </w:rPr>
              <w:t>3 De Febrero</w:t>
            </w:r>
          </w:p>
        </w:tc>
      </w:tr>
      <w:tr w:rsidR="00F46A92" w14:paraId="164AF1CC" w14:textId="77777777" w:rsidTr="00425397">
        <w:tc>
          <w:tcPr>
            <w:tcW w:w="9576" w:type="dxa"/>
          </w:tcPr>
          <w:p w14:paraId="0DB28FFF" w14:textId="77777777" w:rsidR="00F46A92" w:rsidRPr="00AC4722" w:rsidRDefault="00F46A92" w:rsidP="00425397">
            <w:pPr>
              <w:pStyle w:val="Prrafodelista"/>
              <w:numPr>
                <w:ilvl w:val="0"/>
                <w:numId w:val="17"/>
              </w:numPr>
              <w:spacing w:after="0" w:line="240" w:lineRule="auto"/>
              <w:ind w:left="851" w:hanging="567"/>
              <w:jc w:val="both"/>
              <w:rPr>
                <w:rFonts w:ascii="Verdana" w:hAnsi="Verdana"/>
                <w:sz w:val="20"/>
                <w:szCs w:val="20"/>
              </w:rPr>
            </w:pPr>
            <w:r w:rsidRPr="00AC4722">
              <w:rPr>
                <w:rFonts w:ascii="Verdana" w:hAnsi="Verdana"/>
                <w:sz w:val="20"/>
                <w:szCs w:val="20"/>
              </w:rPr>
              <w:t>3 De Septiembre</w:t>
            </w:r>
          </w:p>
        </w:tc>
      </w:tr>
      <w:tr w:rsidR="00F46A92" w14:paraId="0967BB78" w14:textId="77777777" w:rsidTr="00425397">
        <w:tc>
          <w:tcPr>
            <w:tcW w:w="9576" w:type="dxa"/>
          </w:tcPr>
          <w:p w14:paraId="542ACF83" w14:textId="77777777" w:rsidR="00F46A92" w:rsidRPr="00AC4722" w:rsidRDefault="00F46A92" w:rsidP="00425397">
            <w:pPr>
              <w:pStyle w:val="Prrafodelista"/>
              <w:numPr>
                <w:ilvl w:val="0"/>
                <w:numId w:val="17"/>
              </w:numPr>
              <w:spacing w:after="0" w:line="240" w:lineRule="auto"/>
              <w:ind w:left="851" w:hanging="567"/>
              <w:jc w:val="both"/>
              <w:rPr>
                <w:rFonts w:ascii="Verdana" w:hAnsi="Verdana"/>
                <w:sz w:val="20"/>
                <w:szCs w:val="20"/>
              </w:rPr>
            </w:pPr>
            <w:r w:rsidRPr="00AC4722">
              <w:rPr>
                <w:rFonts w:ascii="Verdana" w:hAnsi="Verdana"/>
                <w:sz w:val="20"/>
                <w:szCs w:val="20"/>
              </w:rPr>
              <w:t>12 De Agosto</w:t>
            </w:r>
          </w:p>
        </w:tc>
      </w:tr>
      <w:tr w:rsidR="00F46A92" w14:paraId="01F1B038" w14:textId="77777777" w:rsidTr="00425397">
        <w:tc>
          <w:tcPr>
            <w:tcW w:w="9576" w:type="dxa"/>
          </w:tcPr>
          <w:p w14:paraId="6B8FAD21" w14:textId="77777777" w:rsidR="00F46A92" w:rsidRPr="00AC4722" w:rsidRDefault="00F46A92" w:rsidP="00425397">
            <w:pPr>
              <w:pStyle w:val="Prrafodelista"/>
              <w:numPr>
                <w:ilvl w:val="0"/>
                <w:numId w:val="17"/>
              </w:numPr>
              <w:spacing w:after="0" w:line="240" w:lineRule="auto"/>
              <w:ind w:left="851" w:hanging="567"/>
              <w:jc w:val="both"/>
              <w:rPr>
                <w:rFonts w:ascii="Verdana" w:hAnsi="Verdana"/>
                <w:sz w:val="20"/>
                <w:szCs w:val="20"/>
              </w:rPr>
            </w:pPr>
            <w:r w:rsidRPr="00AC4722">
              <w:rPr>
                <w:rFonts w:ascii="Verdana" w:hAnsi="Verdana"/>
                <w:sz w:val="20"/>
                <w:szCs w:val="20"/>
              </w:rPr>
              <w:t>13 De Enero "Mecle"</w:t>
            </w:r>
          </w:p>
        </w:tc>
      </w:tr>
      <w:tr w:rsidR="00F46A92" w14:paraId="5B3D3A94" w14:textId="77777777" w:rsidTr="00425397">
        <w:tc>
          <w:tcPr>
            <w:tcW w:w="9576" w:type="dxa"/>
          </w:tcPr>
          <w:p w14:paraId="3002171B" w14:textId="77777777" w:rsidR="00F46A92" w:rsidRPr="00AC4722" w:rsidRDefault="00F46A92" w:rsidP="00425397">
            <w:pPr>
              <w:pStyle w:val="Prrafodelista"/>
              <w:numPr>
                <w:ilvl w:val="0"/>
                <w:numId w:val="17"/>
              </w:numPr>
              <w:spacing w:after="0" w:line="240" w:lineRule="auto"/>
              <w:ind w:left="851" w:hanging="567"/>
              <w:jc w:val="both"/>
              <w:rPr>
                <w:rFonts w:ascii="Verdana" w:hAnsi="Verdana"/>
                <w:sz w:val="20"/>
                <w:szCs w:val="20"/>
              </w:rPr>
            </w:pPr>
            <w:r w:rsidRPr="00AC4722">
              <w:rPr>
                <w:rFonts w:ascii="Verdana" w:hAnsi="Verdana"/>
                <w:sz w:val="20"/>
                <w:szCs w:val="20"/>
              </w:rPr>
              <w:t>23 De Junio</w:t>
            </w:r>
          </w:p>
        </w:tc>
      </w:tr>
      <w:tr w:rsidR="00F46A92" w14:paraId="4AABD45D" w14:textId="77777777" w:rsidTr="00425397">
        <w:tc>
          <w:tcPr>
            <w:tcW w:w="9576" w:type="dxa"/>
          </w:tcPr>
          <w:p w14:paraId="56FD3374" w14:textId="77777777" w:rsidR="00F46A92" w:rsidRPr="00AC4722" w:rsidRDefault="00F46A92" w:rsidP="00425397">
            <w:pPr>
              <w:pStyle w:val="Prrafodelista"/>
              <w:numPr>
                <w:ilvl w:val="0"/>
                <w:numId w:val="17"/>
              </w:numPr>
              <w:spacing w:after="0" w:line="240" w:lineRule="auto"/>
              <w:ind w:left="851" w:hanging="567"/>
              <w:jc w:val="both"/>
              <w:rPr>
                <w:rFonts w:ascii="Verdana" w:hAnsi="Verdana"/>
                <w:sz w:val="20"/>
                <w:szCs w:val="20"/>
              </w:rPr>
            </w:pPr>
            <w:r w:rsidRPr="00AC4722">
              <w:rPr>
                <w:rFonts w:ascii="Verdana" w:hAnsi="Verdana"/>
                <w:sz w:val="20"/>
                <w:szCs w:val="20"/>
              </w:rPr>
              <w:t>27 De Junio</w:t>
            </w:r>
          </w:p>
        </w:tc>
      </w:tr>
    </w:tbl>
    <w:p w14:paraId="18A4A83A" w14:textId="77777777" w:rsidR="007C7E7C" w:rsidRDefault="007C7E7C" w:rsidP="007C7E7C">
      <w:pPr>
        <w:spacing w:after="0"/>
        <w:rPr>
          <w:lang w:val="es-CR"/>
        </w:rPr>
      </w:pPr>
    </w:p>
    <w:p w14:paraId="3258DE9E" w14:textId="77777777" w:rsidR="003D17A0" w:rsidRDefault="003D17A0" w:rsidP="007C7E7C">
      <w:pPr>
        <w:spacing w:after="0"/>
        <w:rPr>
          <w:lang w:val="es-CR"/>
        </w:rPr>
      </w:pPr>
    </w:p>
    <w:p w14:paraId="16611CAE" w14:textId="77777777" w:rsidR="003D17A0" w:rsidRDefault="003D17A0" w:rsidP="007C7E7C">
      <w:pPr>
        <w:spacing w:after="0"/>
        <w:rPr>
          <w:lang w:val="es-CR"/>
        </w:rPr>
      </w:pPr>
    </w:p>
    <w:p w14:paraId="26960B6A" w14:textId="77777777" w:rsidR="003D17A0" w:rsidRPr="009805F2" w:rsidRDefault="003D17A0" w:rsidP="007C7E7C">
      <w:pPr>
        <w:spacing w:after="0"/>
        <w:rPr>
          <w:lang w:val="es-CR"/>
        </w:rPr>
      </w:pPr>
    </w:p>
    <w:sectPr w:rsidR="003D17A0" w:rsidRPr="009805F2">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3C5E07" w14:textId="77777777" w:rsidR="007C0830" w:rsidRDefault="007C0830" w:rsidP="009805F2">
      <w:pPr>
        <w:spacing w:after="0" w:line="240" w:lineRule="auto"/>
      </w:pPr>
      <w:r>
        <w:separator/>
      </w:r>
    </w:p>
  </w:endnote>
  <w:endnote w:type="continuationSeparator" w:id="0">
    <w:p w14:paraId="68B9018A" w14:textId="77777777" w:rsidR="007C0830" w:rsidRDefault="007C0830" w:rsidP="00980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auto"/>
    <w:pitch w:val="variable"/>
    <w:sig w:usb0="00000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Palatino-Italic">
    <w:altName w:val="Segoe UI Historic"/>
    <w:charset w:val="00"/>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Bold">
    <w:charset w:val="00"/>
    <w:family w:val="auto"/>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Narrow,Bold">
    <w:charset w:val="00"/>
    <w:family w:val="auto"/>
    <w:pitch w:val="variable"/>
    <w:sig w:usb0="E0002AFF" w:usb1="C0007843" w:usb2="00000009" w:usb3="00000000" w:csb0="000001FF" w:csb1="00000000"/>
  </w:font>
  <w:font w:name="ArialNarrow">
    <w:charset w:val="00"/>
    <w:family w:val="auto"/>
    <w:pitch w:val="variable"/>
    <w:sig w:usb0="00000287" w:usb1="00000800" w:usb2="00000000" w:usb3="00000000" w:csb0="0000009F" w:csb1="00000000"/>
  </w:font>
  <w:font w:name="ArialNarrow-Bold">
    <w:charset w:val="00"/>
    <w:family w:val="auto"/>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Liberation Serif">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Italic">
    <w:charset w:val="00"/>
    <w:family w:val="auto"/>
    <w:pitch w:val="variable"/>
    <w:sig w:usb0="E00002FF" w:usb1="4000045F" w:usb2="00000000" w:usb3="00000000" w:csb0="0000019F" w:csb1="00000000"/>
  </w:font>
  <w:font w:name="CIDFont+F2">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2033795"/>
      <w:docPartObj>
        <w:docPartGallery w:val="Page Numbers (Bottom of Page)"/>
        <w:docPartUnique/>
      </w:docPartObj>
    </w:sdtPr>
    <w:sdtEndPr/>
    <w:sdtContent>
      <w:p w14:paraId="48B7D6E9" w14:textId="77777777" w:rsidR="0023585A" w:rsidRDefault="0023585A">
        <w:pPr>
          <w:pStyle w:val="Piedepgina"/>
          <w:jc w:val="center"/>
        </w:pPr>
        <w:r>
          <w:fldChar w:fldCharType="begin"/>
        </w:r>
        <w:r>
          <w:instrText>PAGE   \* MERGEFORMAT</w:instrText>
        </w:r>
        <w:r>
          <w:fldChar w:fldCharType="separate"/>
        </w:r>
        <w:r w:rsidR="008B4D18" w:rsidRPr="008B4D18">
          <w:rPr>
            <w:noProof/>
            <w:lang w:val="es-ES"/>
          </w:rPr>
          <w:t>125</w:t>
        </w:r>
        <w:r>
          <w:fldChar w:fldCharType="end"/>
        </w:r>
      </w:p>
    </w:sdtContent>
  </w:sdt>
  <w:p w14:paraId="4FBC80E9" w14:textId="77777777" w:rsidR="0023585A" w:rsidRDefault="002358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8D7F2E" w14:textId="77777777" w:rsidR="007C0830" w:rsidRDefault="007C0830" w:rsidP="009805F2">
      <w:pPr>
        <w:spacing w:after="0" w:line="240" w:lineRule="auto"/>
      </w:pPr>
      <w:r>
        <w:separator/>
      </w:r>
    </w:p>
  </w:footnote>
  <w:footnote w:type="continuationSeparator" w:id="0">
    <w:p w14:paraId="454939C8" w14:textId="77777777" w:rsidR="007C0830" w:rsidRDefault="007C0830" w:rsidP="009805F2">
      <w:pPr>
        <w:spacing w:after="0" w:line="240" w:lineRule="auto"/>
      </w:pPr>
      <w:r>
        <w:continuationSeparator/>
      </w:r>
    </w:p>
  </w:footnote>
  <w:footnote w:id="1">
    <w:p w14:paraId="41BE13C4" w14:textId="139CFB76" w:rsidR="0023585A" w:rsidRPr="00BC57A2" w:rsidRDefault="0023585A" w:rsidP="009805F2">
      <w:pPr>
        <w:pStyle w:val="Textonotapie"/>
        <w:rPr>
          <w:sz w:val="16"/>
          <w:szCs w:val="16"/>
          <w:lang w:val="es-CR"/>
        </w:rPr>
      </w:pPr>
      <w:r w:rsidRPr="00BC57A2">
        <w:rPr>
          <w:rStyle w:val="Refdenotaalpie"/>
          <w:sz w:val="16"/>
          <w:szCs w:val="16"/>
          <w:lang w:val="es-CR"/>
        </w:rPr>
        <w:t>*</w:t>
      </w:r>
      <w:r>
        <w:rPr>
          <w:rStyle w:val="Refdenotaalpie"/>
          <w:sz w:val="16"/>
          <w:szCs w:val="16"/>
          <w:lang w:val="es-CR"/>
        </w:rPr>
        <w:t xml:space="preserve"> </w:t>
      </w:r>
      <w:r>
        <w:rPr>
          <w:rStyle w:val="Refdenotaalpie"/>
          <w:sz w:val="16"/>
          <w:szCs w:val="16"/>
          <w:lang w:val="es-CR"/>
        </w:rPr>
        <w:tab/>
      </w:r>
      <w:r w:rsidRPr="00BC57A2">
        <w:rPr>
          <w:sz w:val="16"/>
          <w:szCs w:val="16"/>
          <w:lang w:val="es-CR"/>
        </w:rPr>
        <w:t>El Juez Eugenio Raúl Zaffaroni, de nacionalidad argentina, no participó en la tramitación del presente caso ni en la deliberación y firma de esta Sentencia, de conformidad con lo dispuesto en los artículos 19.1 y 19.2 del Reglamento de la Corte.</w:t>
      </w:r>
    </w:p>
    <w:p w14:paraId="34090F2F" w14:textId="77777777" w:rsidR="0023585A" w:rsidRPr="00BC57A2" w:rsidRDefault="0023585A" w:rsidP="009805F2">
      <w:pPr>
        <w:pStyle w:val="Textonotapie"/>
        <w:spacing w:line="216" w:lineRule="auto"/>
        <w:rPr>
          <w:sz w:val="16"/>
          <w:szCs w:val="16"/>
          <w:lang w:val="es-CR"/>
        </w:rPr>
      </w:pPr>
    </w:p>
  </w:footnote>
  <w:footnote w:id="2">
    <w:p w14:paraId="5A9854C4" w14:textId="634F7919"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Argentina es un Estado federal. En el caso hubo actuaciones tanto de autoridades nacionales como de uno de los Estados que conforman la federación, la Provincia de Salta. La referencia en esta Sentencia al “Estado” o a “Argentina”, salvo cuando expresamente se distingue, es alusiva al Estado como un conjunto unificado, que comprende a todas sus autoridades, tanto nacionales como de las entidades federativas, inclusive de</w:t>
      </w:r>
      <w:r>
        <w:rPr>
          <w:sz w:val="16"/>
          <w:szCs w:val="16"/>
          <w:lang w:val="es-CR"/>
        </w:rPr>
        <w:t xml:space="preserve"> la Provincia de</w:t>
      </w:r>
      <w:r w:rsidRPr="00BC57A2">
        <w:rPr>
          <w:sz w:val="16"/>
          <w:szCs w:val="16"/>
          <w:lang w:val="es-CR"/>
        </w:rPr>
        <w:t xml:space="preserve"> Salta.</w:t>
      </w:r>
    </w:p>
    <w:p w14:paraId="20F8C31D" w14:textId="77777777" w:rsidR="0023585A" w:rsidRPr="00BC57A2" w:rsidRDefault="0023585A" w:rsidP="009805F2">
      <w:pPr>
        <w:pStyle w:val="Textonotapie"/>
        <w:rPr>
          <w:sz w:val="16"/>
          <w:szCs w:val="16"/>
          <w:lang w:val="es-CR"/>
        </w:rPr>
      </w:pPr>
    </w:p>
  </w:footnote>
  <w:footnote w:id="3">
    <w:p w14:paraId="0261F632" w14:textId="6F3CDBC8" w:rsidR="0023585A" w:rsidRPr="00BC57A2" w:rsidRDefault="0023585A" w:rsidP="009805F2">
      <w:pPr>
        <w:spacing w:after="0" w:line="240" w:lineRule="auto"/>
        <w:jc w:val="both"/>
        <w:rPr>
          <w:rFonts w:ascii="Verdana" w:hAnsi="Verdana"/>
          <w:sz w:val="16"/>
          <w:szCs w:val="16"/>
        </w:rPr>
      </w:pPr>
      <w:r w:rsidRPr="00BC57A2">
        <w:rPr>
          <w:rStyle w:val="Refdenotaalpie"/>
          <w:rFonts w:ascii="Verdana" w:hAnsi="Verdana"/>
          <w:sz w:val="16"/>
          <w:szCs w:val="16"/>
        </w:rPr>
        <w:footnoteRef/>
      </w:r>
      <w:r w:rsidRPr="00BC57A2">
        <w:rPr>
          <w:rFonts w:ascii="Verdana" w:hAnsi="Verdana"/>
          <w:sz w:val="16"/>
          <w:szCs w:val="16"/>
        </w:rPr>
        <w:t xml:space="preserve"> </w:t>
      </w:r>
      <w:r w:rsidRPr="00BC57A2">
        <w:rPr>
          <w:rFonts w:ascii="Verdana" w:hAnsi="Verdana"/>
          <w:sz w:val="16"/>
          <w:szCs w:val="16"/>
        </w:rPr>
        <w:tab/>
        <w:t>La Comisión Interamericana concluyó que el Estado violó, en perjuicio de las comunidades indígenas que forman parte de la Asociación Lhaka Honhat, los siguientes derechos y disposiciones de la Convención, en relación con las obligaciones de respetar y garantizar los derechos y adoptar disposiciones de derecho interno establecidas en los artículos 1.1 y 2 de la Convención: el derecho a la propiedad, la libertad de pensamiento y expresión y los derechos políticos, reconocidos</w:t>
      </w:r>
      <w:r>
        <w:rPr>
          <w:rFonts w:ascii="Verdana" w:hAnsi="Verdana"/>
          <w:sz w:val="16"/>
          <w:szCs w:val="16"/>
        </w:rPr>
        <w:t>, respectivamente,</w:t>
      </w:r>
      <w:r w:rsidRPr="00BC57A2">
        <w:rPr>
          <w:rFonts w:ascii="Verdana" w:hAnsi="Verdana"/>
          <w:sz w:val="16"/>
          <w:szCs w:val="16"/>
        </w:rPr>
        <w:t xml:space="preserve"> en los artículos 21, 13 y 23; también que Argentina violó, en perjuicio de las mismas comunidades, los derechos a las garantías judiciales y a la protección judicial, contemplados</w:t>
      </w:r>
      <w:r>
        <w:rPr>
          <w:rFonts w:ascii="Verdana" w:hAnsi="Verdana"/>
          <w:sz w:val="16"/>
          <w:szCs w:val="16"/>
        </w:rPr>
        <w:t>, respectivamente,</w:t>
      </w:r>
      <w:r w:rsidRPr="00BC57A2">
        <w:rPr>
          <w:rFonts w:ascii="Verdana" w:hAnsi="Verdana"/>
          <w:sz w:val="16"/>
          <w:szCs w:val="16"/>
        </w:rPr>
        <w:t xml:space="preserve"> en los artículos 8 y 25 de la Convención Americana, en conexión con </w:t>
      </w:r>
      <w:r>
        <w:rPr>
          <w:rFonts w:ascii="Verdana" w:hAnsi="Verdana"/>
          <w:sz w:val="16"/>
          <w:szCs w:val="16"/>
        </w:rPr>
        <w:t>sus</w:t>
      </w:r>
      <w:r w:rsidRPr="00BC57A2">
        <w:rPr>
          <w:rFonts w:ascii="Verdana" w:hAnsi="Verdana"/>
          <w:sz w:val="16"/>
          <w:szCs w:val="16"/>
        </w:rPr>
        <w:t xml:space="preserve"> artículos 21 y 1.1</w:t>
      </w:r>
      <w:r>
        <w:rPr>
          <w:rFonts w:ascii="Verdana" w:hAnsi="Verdana"/>
          <w:sz w:val="16"/>
          <w:szCs w:val="16"/>
        </w:rPr>
        <w:t xml:space="preserve"> y, conforme luego aclaro (</w:t>
      </w:r>
      <w:r>
        <w:rPr>
          <w:rFonts w:ascii="Verdana" w:hAnsi="Verdana"/>
          <w:i/>
          <w:sz w:val="16"/>
          <w:szCs w:val="16"/>
        </w:rPr>
        <w:t xml:space="preserve">infra </w:t>
      </w:r>
      <w:r>
        <w:rPr>
          <w:rFonts w:ascii="Verdana" w:hAnsi="Verdana"/>
          <w:sz w:val="16"/>
          <w:szCs w:val="16"/>
        </w:rPr>
        <w:t>nota a pie de página 113) también con el artículo 2 del tratado</w:t>
      </w:r>
      <w:r w:rsidRPr="00BC57A2">
        <w:rPr>
          <w:rFonts w:ascii="Verdana" w:hAnsi="Verdana"/>
          <w:sz w:val="16"/>
          <w:szCs w:val="16"/>
        </w:rPr>
        <w:t>.</w:t>
      </w:r>
    </w:p>
    <w:p w14:paraId="032E9AA9" w14:textId="77777777" w:rsidR="0023585A" w:rsidRPr="00BC57A2" w:rsidRDefault="0023585A" w:rsidP="009805F2">
      <w:pPr>
        <w:spacing w:after="0" w:line="240" w:lineRule="auto"/>
        <w:jc w:val="both"/>
        <w:rPr>
          <w:rFonts w:ascii="Verdana" w:hAnsi="Verdana"/>
          <w:sz w:val="16"/>
          <w:szCs w:val="16"/>
        </w:rPr>
      </w:pPr>
    </w:p>
  </w:footnote>
  <w:footnote w:id="4">
    <w:p w14:paraId="2DEFE53E"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La Comisión recomendó al Estado: “1. […] concluir prontamente la formalización del proceso llevado a cabo respeto de los [l]otes […] 14 y 55, teniendo en cuenta, además de los estándares interamericanos señalados en el […I]nforme [de Fondo], los siguientes lineamientos: - [L]os peticionarios tienen el derecho a un territorio indiviso que les permita desarrollar su modo de vida nómada; las 400.000 hectáreas que el gobierno ha prometido adjudicarles debe[n] ser continu[as], sin obstáculos, subdivisiones ni fragmentaciones, sin perjuicio de los derechos de otras comunidades. – [R]emover las cercas que han sido puestas dentro del territorio indígena.- [C]ontrolar la deforestación. 2. Otorgar reparaciones por las violaciones al derecho a la propiedad territorial y al acceso a la información derivadas del desarrollo de obras públicas sin llevar a cabo consultas previas ni estudios de impacto ambiental, y sin otorgar a las comunidades los beneficios derivados de las mismas. 3. Asegurar que en la demarcación del territorio y la aprobación de cualquier futura obra pública o concesión que se realice en tierras ancestrales, el Estado lleve a cabo consultas previas, informadas, estudios de impacto ambiental y otorgue los beneficios derivados, de conformidad con los estándares interamericanos”.</w:t>
      </w:r>
    </w:p>
    <w:p w14:paraId="673A4D90" w14:textId="77777777" w:rsidR="0023585A" w:rsidRPr="00BC57A2" w:rsidRDefault="0023585A" w:rsidP="009805F2">
      <w:pPr>
        <w:pStyle w:val="Textonotapie"/>
        <w:rPr>
          <w:sz w:val="16"/>
          <w:szCs w:val="16"/>
          <w:lang w:val="es-CR"/>
        </w:rPr>
      </w:pPr>
    </w:p>
  </w:footnote>
  <w:footnote w:id="5">
    <w:p w14:paraId="42BE81E7"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 xml:space="preserve">En la fecha indicada el Juez Eduardo Ferrer Mac-Gregor Poisot era Presidente de la Corte. </w:t>
      </w:r>
    </w:p>
    <w:p w14:paraId="218A46AC" w14:textId="77777777" w:rsidR="0023585A" w:rsidRPr="00BC57A2" w:rsidRDefault="0023585A" w:rsidP="009805F2">
      <w:pPr>
        <w:pStyle w:val="Textonotapie"/>
        <w:rPr>
          <w:sz w:val="16"/>
          <w:szCs w:val="16"/>
          <w:lang w:val="es-CR"/>
        </w:rPr>
      </w:pPr>
    </w:p>
  </w:footnote>
  <w:footnote w:id="6">
    <w:p w14:paraId="50C60076" w14:textId="6ED5DB3D" w:rsidR="0023585A" w:rsidRPr="00BC57A2" w:rsidRDefault="0023585A" w:rsidP="009805F2">
      <w:pPr>
        <w:pStyle w:val="Textonotapie"/>
        <w:rPr>
          <w:rFonts w:eastAsia="Verdana" w:cs="Verdana"/>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 xml:space="preserve">A dicha audiencia concurrieron: a) por la Comisión Interamericana: </w:t>
      </w:r>
      <w:r w:rsidRPr="00BC57A2">
        <w:rPr>
          <w:rFonts w:eastAsia="Verdana" w:cs="Verdana"/>
          <w:sz w:val="16"/>
          <w:szCs w:val="16"/>
          <w:lang w:val="es-CR"/>
        </w:rPr>
        <w:t>Luis Ernesto Vargas, Comisionado; Silvia Serrano Guzmán y Paulina Corominas, abogadas de la Secretaría Ejecutiva; b) por las presuntas víctimas: Francisco Pérez y Rogelio Segundo, miembros de Lhaka Honhat, y Diego Morales, Matías Duarte y</w:t>
      </w:r>
      <w:r w:rsidRPr="00BC57A2">
        <w:rPr>
          <w:sz w:val="16"/>
          <w:szCs w:val="16"/>
          <w:lang w:val="es-CR"/>
        </w:rPr>
        <w:t xml:space="preserve"> </w:t>
      </w:r>
      <w:r w:rsidRPr="00BC57A2">
        <w:rPr>
          <w:rFonts w:eastAsia="Verdana" w:cs="Verdana"/>
          <w:sz w:val="16"/>
          <w:szCs w:val="16"/>
          <w:lang w:val="es-CR"/>
        </w:rPr>
        <w:t>Erika Schmidhuber Peña, del CELS</w:t>
      </w:r>
      <w:r w:rsidRPr="00BC57A2">
        <w:rPr>
          <w:sz w:val="16"/>
          <w:szCs w:val="16"/>
          <w:lang w:val="es-CR" w:eastAsia="es-ES"/>
        </w:rPr>
        <w:t xml:space="preserve">, y c) por el Estado: </w:t>
      </w:r>
      <w:r w:rsidRPr="00BC57A2">
        <w:rPr>
          <w:rFonts w:eastAsia="Verdana" w:cs="Verdana"/>
          <w:sz w:val="16"/>
          <w:szCs w:val="16"/>
          <w:lang w:val="es-CR"/>
        </w:rPr>
        <w:t xml:space="preserve">Javier Salgado, Agente Titular, </w:t>
      </w:r>
      <w:r w:rsidRPr="00BC57A2">
        <w:rPr>
          <w:sz w:val="16"/>
          <w:szCs w:val="16"/>
          <w:lang w:val="es-CR"/>
        </w:rPr>
        <w:t>Director del Contencioso Internacional en Materia de Derechos Humanos del Ministerio de Relaciones Exteriores y Culto</w:t>
      </w:r>
      <w:r w:rsidRPr="00BC57A2">
        <w:rPr>
          <w:rFonts w:eastAsia="Verdana" w:cs="Verdana"/>
          <w:sz w:val="16"/>
          <w:szCs w:val="16"/>
          <w:lang w:val="es-CR"/>
        </w:rPr>
        <w:t>;</w:t>
      </w:r>
      <w:r w:rsidRPr="00BC57A2">
        <w:rPr>
          <w:sz w:val="16"/>
          <w:szCs w:val="16"/>
          <w:lang w:val="es-CR"/>
        </w:rPr>
        <w:t xml:space="preserve"> </w:t>
      </w:r>
      <w:r w:rsidRPr="00BC57A2">
        <w:rPr>
          <w:rFonts w:eastAsia="Verdana" w:cs="Verdana"/>
          <w:sz w:val="16"/>
          <w:szCs w:val="16"/>
          <w:lang w:val="es-CR"/>
        </w:rPr>
        <w:t>Ramiro Badía, Agente Alterno y Director Nacional de Asuntos Jurídicos de la Secretaría de Derechos Humanos y Pluralismo Cultural de la Nación;</w:t>
      </w:r>
      <w:r w:rsidRPr="00BC57A2">
        <w:rPr>
          <w:sz w:val="16"/>
          <w:szCs w:val="16"/>
          <w:lang w:val="es-CR"/>
        </w:rPr>
        <w:t xml:space="preserve"> </w:t>
      </w:r>
      <w:r w:rsidRPr="00BC57A2">
        <w:rPr>
          <w:rFonts w:eastAsia="Verdana" w:cs="Verdana"/>
          <w:sz w:val="16"/>
          <w:szCs w:val="16"/>
          <w:lang w:val="es-CR"/>
        </w:rPr>
        <w:t>Siro de Martini, Asesor del Ministerio de Justicia y Derechos Humanos de la Nación;</w:t>
      </w:r>
      <w:r w:rsidRPr="00BC57A2">
        <w:rPr>
          <w:sz w:val="16"/>
          <w:szCs w:val="16"/>
          <w:lang w:val="es-CR"/>
        </w:rPr>
        <w:t xml:space="preserve"> </w:t>
      </w:r>
      <w:r w:rsidRPr="00BC57A2">
        <w:rPr>
          <w:rFonts w:eastAsia="Verdana" w:cs="Verdana"/>
          <w:sz w:val="16"/>
          <w:szCs w:val="16"/>
          <w:lang w:val="es-CR"/>
        </w:rPr>
        <w:t>Pamela Caletti, Fiscal de Estado de la Provincia de Salta, y</w:t>
      </w:r>
      <w:r w:rsidRPr="00BC57A2">
        <w:rPr>
          <w:sz w:val="16"/>
          <w:szCs w:val="16"/>
          <w:lang w:val="es-CR"/>
        </w:rPr>
        <w:t xml:space="preserve"> </w:t>
      </w:r>
      <w:r>
        <w:rPr>
          <w:sz w:val="16"/>
          <w:szCs w:val="16"/>
          <w:lang w:val="es-CR"/>
        </w:rPr>
        <w:t xml:space="preserve">Ana </w:t>
      </w:r>
      <w:r w:rsidRPr="00BC57A2">
        <w:rPr>
          <w:rFonts w:eastAsia="Verdana" w:cs="Verdana"/>
          <w:sz w:val="16"/>
          <w:szCs w:val="16"/>
          <w:lang w:val="es-CR"/>
        </w:rPr>
        <w:t xml:space="preserve">Carolina Heiz, </w:t>
      </w:r>
      <w:r>
        <w:rPr>
          <w:rFonts w:eastAsia="Verdana" w:cs="Verdana"/>
          <w:sz w:val="16"/>
          <w:szCs w:val="16"/>
          <w:lang w:val="es-CR"/>
        </w:rPr>
        <w:t xml:space="preserve">Coordinadora General </w:t>
      </w:r>
      <w:r w:rsidRPr="00BC57A2">
        <w:rPr>
          <w:rFonts w:eastAsia="Verdana" w:cs="Verdana"/>
          <w:sz w:val="16"/>
          <w:szCs w:val="16"/>
          <w:lang w:val="es-CR"/>
        </w:rPr>
        <w:t>de la Fiscalía del Estado de la Provincia de Salta.</w:t>
      </w:r>
    </w:p>
    <w:p w14:paraId="570C8FC0" w14:textId="77777777" w:rsidR="0023585A" w:rsidRPr="00BC57A2" w:rsidRDefault="0023585A" w:rsidP="009805F2">
      <w:pPr>
        <w:pStyle w:val="Textonotapie"/>
        <w:rPr>
          <w:sz w:val="16"/>
          <w:szCs w:val="16"/>
          <w:lang w:val="es-CR"/>
        </w:rPr>
      </w:pPr>
    </w:p>
  </w:footnote>
  <w:footnote w:id="7">
    <w:p w14:paraId="17F38D46"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El documento fue firmado, en representación de la AADI, por Darío Rodriguez Duch, Presidente, y por parte de SERPAJ, por Adolfo Pérez Esquivel, Presidente y Premio Nobel de la Paz, Ana Almada, Luis Romero Batallano y Angelica Mendoza, Coordinadores, y Mariana Katz, abogada. Versa sobre el derecho “al reconocimiento de los territorios comunitarios a través de una figura legal adecuada”.</w:t>
      </w:r>
    </w:p>
    <w:p w14:paraId="757F65B5" w14:textId="77777777" w:rsidR="0023585A" w:rsidRPr="00BC57A2" w:rsidRDefault="0023585A" w:rsidP="009805F2">
      <w:pPr>
        <w:pStyle w:val="Textonotapie"/>
        <w:rPr>
          <w:sz w:val="16"/>
          <w:szCs w:val="16"/>
          <w:lang w:val="es-CR"/>
        </w:rPr>
      </w:pPr>
    </w:p>
  </w:footnote>
  <w:footnote w:id="8">
    <w:p w14:paraId="336DC232"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 xml:space="preserve">El escrito, firmado por Mario Melo Cevallos (Coordinador), José Valenzuela y Estefanía Gómez, se refiere al derecho de territorio ancestral de los pueblos indígenas en casos de ocupación parcial por parte de colonos. </w:t>
      </w:r>
    </w:p>
    <w:p w14:paraId="14BFD24E" w14:textId="77777777" w:rsidR="0023585A" w:rsidRPr="00BC57A2" w:rsidRDefault="0023585A" w:rsidP="009805F2">
      <w:pPr>
        <w:pStyle w:val="Textonotapie"/>
        <w:rPr>
          <w:sz w:val="16"/>
          <w:szCs w:val="16"/>
          <w:lang w:val="es-CR"/>
        </w:rPr>
      </w:pPr>
    </w:p>
  </w:footnote>
  <w:footnote w:id="9">
    <w:p w14:paraId="1DF3C185"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El texto fue firmado por Andrés Nápoli, Director Ejecutivo. Trata sobre “aspectos relacionados con cuestiones de consulta, consentimiento, y evaluaciones de impacto ambiental en relación a la garantía del derecho al ambiente sano”.</w:t>
      </w:r>
    </w:p>
    <w:p w14:paraId="2B53D439" w14:textId="77777777" w:rsidR="0023585A" w:rsidRPr="00BC57A2" w:rsidRDefault="0023585A" w:rsidP="009805F2">
      <w:pPr>
        <w:pStyle w:val="Textonotapie"/>
        <w:rPr>
          <w:sz w:val="16"/>
          <w:szCs w:val="16"/>
          <w:lang w:val="es-CR"/>
        </w:rPr>
      </w:pPr>
    </w:p>
  </w:footnote>
  <w:footnote w:id="10">
    <w:p w14:paraId="4A015E6E"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La presentación fue firmada, en representación de cada una de las entidades señaladas, respectivamente por: Katya Salazar y Daniel Cerqueira, Directora Ejecutiva y Oficial de Programa Senior; Salvador Herencia Carrasco, Director; Elizabeth Salmon y Cristina Blanco, Directora e Investigadora Principal; Melina Girardi Fachin, Coordinadora; Ángel Cabrera, Coordinador, y Andrés Constantini, Asociado. Se indicó que participaron “en la investigación, elaboración y revisión” del documento las personas nombradas, a excepción de Katya Salazar y Elizabeth Salmón, y también Quetzal Prado, Miguel Alcaraz, Verónica Luna, Lucero Salazar, Askur Palencia y Sergio Villa (estudiantes de la Universidad de Guadalajara); Marina Bonatto, Francisco Foltran, Fabio Rezende Braga y Kauan Cangussú (estudiantes de la Universidad Federal de Paraná), y Jordi Feo Valero y Shona Moreau (estudiantes de la Universidad de Ottawa). El escrito trata sobre “[e]stándares internacionales y jurisprudencia comparada sobre demarcación de territorios indígenas y [d]erechos [e]conómicos, [s]ociales, [c]ulturales y [a]mbientales”.</w:t>
      </w:r>
    </w:p>
    <w:p w14:paraId="319085FE" w14:textId="77777777" w:rsidR="0023585A" w:rsidRPr="00BC57A2" w:rsidRDefault="0023585A" w:rsidP="009805F2">
      <w:pPr>
        <w:pStyle w:val="Textonotapie"/>
        <w:rPr>
          <w:sz w:val="16"/>
          <w:szCs w:val="16"/>
          <w:lang w:val="es-CR"/>
        </w:rPr>
      </w:pPr>
    </w:p>
  </w:footnote>
  <w:footnote w:id="11">
    <w:p w14:paraId="1071278F" w14:textId="0AFF914E"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 xml:space="preserve">Tales organizaciones son: Asociación Civil por la Igualdad y la Justicia (ACIJ); </w:t>
      </w:r>
      <w:r w:rsidRPr="00BC57A2">
        <w:rPr>
          <w:i/>
          <w:sz w:val="16"/>
          <w:szCs w:val="16"/>
          <w:lang w:val="es-CR"/>
        </w:rPr>
        <w:t>Amnesty Internacional</w:t>
      </w:r>
      <w:r w:rsidRPr="00BC57A2">
        <w:rPr>
          <w:sz w:val="16"/>
          <w:szCs w:val="16"/>
          <w:lang w:val="es-CR"/>
        </w:rPr>
        <w:t xml:space="preserve">; Asociación Interamericana para la Defensa del Ambiente; Comisión Colombiana de Juristas; Dejusticia; </w:t>
      </w:r>
      <w:r w:rsidRPr="00BC57A2">
        <w:rPr>
          <w:i/>
          <w:sz w:val="16"/>
          <w:szCs w:val="16"/>
          <w:lang w:val="es-CR"/>
        </w:rPr>
        <w:t>FIAN International</w:t>
      </w:r>
      <w:r w:rsidRPr="00BC57A2">
        <w:rPr>
          <w:sz w:val="16"/>
          <w:szCs w:val="16"/>
          <w:lang w:val="es-CR"/>
        </w:rPr>
        <w:t xml:space="preserve">; </w:t>
      </w:r>
      <w:r w:rsidRPr="00BC57A2">
        <w:rPr>
          <w:i/>
          <w:sz w:val="16"/>
          <w:szCs w:val="16"/>
          <w:lang w:val="es-CR"/>
        </w:rPr>
        <w:t>International Women´s Rights Action Watch-Asia Pacific</w:t>
      </w:r>
      <w:r w:rsidRPr="00BC57A2">
        <w:rPr>
          <w:sz w:val="16"/>
          <w:szCs w:val="16"/>
          <w:lang w:val="es-CR"/>
        </w:rPr>
        <w:t xml:space="preserve">, y </w:t>
      </w:r>
      <w:r w:rsidRPr="00BC57A2">
        <w:rPr>
          <w:i/>
          <w:sz w:val="16"/>
          <w:szCs w:val="16"/>
          <w:lang w:val="es-CR"/>
        </w:rPr>
        <w:t>Minority Rights Group International</w:t>
      </w:r>
      <w:r w:rsidRPr="00BC57A2">
        <w:rPr>
          <w:sz w:val="16"/>
          <w:szCs w:val="16"/>
          <w:lang w:val="es-CR"/>
        </w:rPr>
        <w:t>. Además de Fernando Ribeiro Delgado, Coordinador del Grupo de Trabajo sobre Litigio Estratégico de la Red-DESC, firmaron el documento, respectivamente: Dalile Antúnez, Co-Directora; Lucy Claridge, Directora de Litigio Estratégico; Liliana Ávila, Abogada Senior; Gustavo Gallón Giraldo, Director; Diana Guarnizo, Directora de Investigaciones en Justicia Económica; Felipe Bley Folly, Abogado; Fernando</w:t>
      </w:r>
      <w:r>
        <w:rPr>
          <w:sz w:val="16"/>
          <w:szCs w:val="16"/>
          <w:lang w:val="es-CR"/>
        </w:rPr>
        <w:t xml:space="preserve"> </w:t>
      </w:r>
      <w:r w:rsidRPr="00BC57A2">
        <w:rPr>
          <w:sz w:val="16"/>
          <w:szCs w:val="16"/>
          <w:lang w:val="es-CR"/>
        </w:rPr>
        <w:t xml:space="preserve">Priyanthi, Director Ejecutivo; y Jennifer Castelo, Jefa Jurídica Interina. El documento trata sobre la “competencia y facultad” de la Corte para pronunciarse sobre “violaciones de los derechos garantizados por el [a]rtículo 26 de la Convención […] incluyendo los derechos a un medio ambiente sano, identidad cultural, alimentación y agua”. </w:t>
      </w:r>
    </w:p>
    <w:p w14:paraId="60075AF6" w14:textId="77777777" w:rsidR="0023585A" w:rsidRPr="00BC57A2" w:rsidRDefault="0023585A" w:rsidP="009805F2">
      <w:pPr>
        <w:pStyle w:val="Textonotapie"/>
        <w:rPr>
          <w:sz w:val="16"/>
          <w:szCs w:val="16"/>
          <w:lang w:val="es-CR"/>
        </w:rPr>
      </w:pPr>
    </w:p>
  </w:footnote>
  <w:footnote w:id="12">
    <w:p w14:paraId="15396A2F" w14:textId="0976013B"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La misiva, firmada por Rodrigo Villagra Carrón, Julia Cabello Alonso y Oscar Ayala Amarilla trata sobre temas que fueron identificados del siguiente modo: “[e]l sentido de la tierra para los [p]ueblos indígenas en relación al reclamo de tierra de los criollos [y el r]ol de los criollos en el caso concreto”; “[e]l tiempo como factor determinante en la concreción de derechos humanos”; “[a]cuerdos arribados entre las partes involucradas”; “[l]os compromisos internacionales y el presupuesto nacional”; “Estado provincial y Estado nacional”, y “[s]ujeto de derecho”.</w:t>
      </w:r>
    </w:p>
    <w:p w14:paraId="56AB463E" w14:textId="77777777" w:rsidR="0023585A" w:rsidRPr="00BC57A2" w:rsidRDefault="0023585A" w:rsidP="009805F2">
      <w:pPr>
        <w:pStyle w:val="Textonotapie"/>
        <w:rPr>
          <w:sz w:val="16"/>
          <w:szCs w:val="16"/>
          <w:lang w:val="es-CR"/>
        </w:rPr>
      </w:pPr>
    </w:p>
  </w:footnote>
  <w:footnote w:id="13">
    <w:p w14:paraId="03B2A912"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 xml:space="preserve">Martín Sigal (Director) y María Noel Leoni Zardo (Docente) suscribieron la carta, cuyos argumentos se refieren a la “inadecuación de la normativa federal [argentina] respecto de los estándares internacionales” en cuanto a “los derechos de las comunidades indígenas a obtener un reconocimiento de su personería jurídica y de acceder a sus tierras”. </w:t>
      </w:r>
    </w:p>
    <w:p w14:paraId="780CC445" w14:textId="77777777" w:rsidR="0023585A" w:rsidRPr="00BC57A2" w:rsidRDefault="0023585A" w:rsidP="009805F2">
      <w:pPr>
        <w:pStyle w:val="Textonotapie"/>
        <w:rPr>
          <w:sz w:val="16"/>
          <w:szCs w:val="16"/>
          <w:lang w:val="es-CR"/>
        </w:rPr>
      </w:pPr>
    </w:p>
  </w:footnote>
  <w:footnote w:id="14">
    <w:p w14:paraId="1CD275C4"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 xml:space="preserve">El escrito trata sobre el derecho a la alimentación en el caso. </w:t>
      </w:r>
    </w:p>
    <w:p w14:paraId="50FCACDB" w14:textId="77777777" w:rsidR="0023585A" w:rsidRPr="00BC57A2" w:rsidRDefault="0023585A" w:rsidP="009805F2">
      <w:pPr>
        <w:pStyle w:val="Textonotapie"/>
        <w:rPr>
          <w:sz w:val="16"/>
          <w:szCs w:val="16"/>
          <w:lang w:val="es-CR"/>
        </w:rPr>
      </w:pPr>
    </w:p>
  </w:footnote>
  <w:footnote w:id="15">
    <w:p w14:paraId="0880206F" w14:textId="6CB1EE90"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La delegación del Tribunal que efectuó la visita estuvo integrada por los jueces Humberto Antonio Sierra Porto y L. Patricio Pazmiño Freire; el Coordinador del Área Legal, Alexei Julio Estrada, y Agustín Enrique Martin, abogado de la Secretaría</w:t>
      </w:r>
      <w:r>
        <w:rPr>
          <w:sz w:val="16"/>
          <w:szCs w:val="16"/>
          <w:lang w:val="es-CR"/>
        </w:rPr>
        <w:t xml:space="preserve"> de la Corte</w:t>
      </w:r>
      <w:r w:rsidRPr="00BC57A2">
        <w:rPr>
          <w:sz w:val="16"/>
          <w:szCs w:val="16"/>
          <w:lang w:val="es-CR"/>
        </w:rPr>
        <w:t>. Por parte del Estado, estuvieron presentes Edith Azucena, Ministra de Asuntos Indígenas y Desarrollo Social de la Provincia; Ariel Francisco Sánchez, Subsecretario de Regulación Territorial y Registro de Comunidades Indígenas; Florencia Luñis Zavaleta, Directora de Regularización de Tierras con Conflictos Comunitarios; Pamela Caletti, Fiscal de Estado</w:t>
      </w:r>
      <w:r>
        <w:rPr>
          <w:sz w:val="16"/>
          <w:szCs w:val="16"/>
          <w:lang w:val="es-CR"/>
        </w:rPr>
        <w:t xml:space="preserve"> de Salta</w:t>
      </w:r>
      <w:r w:rsidRPr="00BC57A2">
        <w:rPr>
          <w:sz w:val="16"/>
          <w:szCs w:val="16"/>
          <w:lang w:val="es-CR"/>
        </w:rPr>
        <w:t xml:space="preserve">; Ana Coralina Geist, Coordinadora General de esa Fiscalía; Graciela María Galindez, Escribana de Gobierno de la Provincia; Jimena Psathakis, Presidenta del Instituto Nacional de Asuntos Indígenas (INAI), Ana Bourse y Juan Cruz Testa (también del INAI) y Javier Salgado, Director del Contencioso Internacional en Materia de Derechos Humanos del Ministerio de Relaciones Exteriores y Culto. Por la Comisión Interamericana asistió Paulina Corominas Etchegaray, Asesora Legal de la Comisión. Participaron por los representantes Francisco Pérez y Rogelio Segundo, de Lhaka Honhat; Diego Morales y Matías Duarte, del CELS, y Ezequiel María y Julián Reynoso, quienes tomaron registro audiovisual. </w:t>
      </w:r>
    </w:p>
    <w:p w14:paraId="3668F1C1" w14:textId="77777777" w:rsidR="0023585A" w:rsidRPr="00BC57A2" w:rsidRDefault="0023585A" w:rsidP="009805F2">
      <w:pPr>
        <w:pStyle w:val="Textonotapie"/>
        <w:rPr>
          <w:sz w:val="16"/>
          <w:szCs w:val="16"/>
          <w:lang w:val="es-CR"/>
        </w:rPr>
      </w:pPr>
    </w:p>
  </w:footnote>
  <w:footnote w:id="16">
    <w:p w14:paraId="730F5220"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En la audiencia pública la Corte informó que, dado que se haría la visita a terreno, había decidido posponer el plazo fijado en la Resolución de 8 de febrero de 2019 para la presentación de alegatos y observaciones finales escritos. El 19 de marzo de 2019 se comunicó que dicho plazo vencería el 3 de junio de 2019.</w:t>
      </w:r>
    </w:p>
    <w:p w14:paraId="2DCE8DBD" w14:textId="77777777" w:rsidR="0023585A" w:rsidRPr="00BC57A2" w:rsidRDefault="0023585A" w:rsidP="009805F2">
      <w:pPr>
        <w:pStyle w:val="Textonotapie"/>
        <w:rPr>
          <w:sz w:val="16"/>
          <w:szCs w:val="16"/>
          <w:lang w:val="es-CR"/>
        </w:rPr>
      </w:pPr>
    </w:p>
  </w:footnote>
  <w:footnote w:id="17">
    <w:p w14:paraId="682045BA" w14:textId="77777777" w:rsidR="0023585A" w:rsidRPr="00BC57A2" w:rsidRDefault="0023585A" w:rsidP="009805F2">
      <w:pPr>
        <w:pStyle w:val="Textonotapie"/>
        <w:rPr>
          <w:rFonts w:eastAsia="Calibri" w:cs="Times New Roman"/>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rFonts w:eastAsia="Calibri" w:cs="Times New Roman"/>
          <w:bCs/>
          <w:i/>
          <w:color w:val="000000"/>
          <w:sz w:val="16"/>
          <w:szCs w:val="16"/>
          <w:shd w:val="clear" w:color="auto" w:fill="FFFFFF"/>
          <w:lang w:val="es-AR"/>
        </w:rPr>
        <w:t>Caso de la "Masacre de Mapiripán" Vs. Colombia</w:t>
      </w:r>
      <w:r w:rsidRPr="00BC57A2">
        <w:rPr>
          <w:rFonts w:eastAsia="Calibri" w:cs="Times New Roman"/>
          <w:bCs/>
          <w:color w:val="000000"/>
          <w:sz w:val="16"/>
          <w:szCs w:val="16"/>
          <w:shd w:val="clear" w:color="auto" w:fill="FFFFFF"/>
          <w:lang w:val="es-AR"/>
        </w:rPr>
        <w:t>. Sentencia de 15 de septiembre de 2005. Serie C No. 134, párr. 59,</w:t>
      </w:r>
      <w:r w:rsidRPr="00BC57A2">
        <w:rPr>
          <w:rFonts w:eastAsia="Calibri" w:cs="Times New Roman"/>
          <w:sz w:val="16"/>
          <w:szCs w:val="16"/>
          <w:lang w:val="es-CR"/>
        </w:rPr>
        <w:t xml:space="preserve"> y </w:t>
      </w:r>
      <w:r w:rsidRPr="00BC57A2">
        <w:rPr>
          <w:rFonts w:eastAsia="Calibri" w:cs="Times New Roman"/>
          <w:i/>
          <w:sz w:val="16"/>
          <w:szCs w:val="16"/>
          <w:lang w:val="es-CR"/>
        </w:rPr>
        <w:t>Caso Mujeres Víctimas de Tortura Sexual en Atenco Vs. México</w:t>
      </w:r>
      <w:r w:rsidRPr="00BC57A2">
        <w:rPr>
          <w:rFonts w:eastAsia="Calibri" w:cs="Times New Roman"/>
          <w:sz w:val="16"/>
          <w:szCs w:val="16"/>
          <w:lang w:val="es-CR"/>
        </w:rPr>
        <w:t xml:space="preserve">. </w:t>
      </w:r>
      <w:r w:rsidRPr="002569B3">
        <w:rPr>
          <w:rFonts w:eastAsia="Calibri" w:cs="Times New Roman"/>
          <w:i/>
          <w:sz w:val="16"/>
          <w:szCs w:val="16"/>
          <w:lang w:val="es-CR"/>
        </w:rPr>
        <w:t>Excepciones preliminares, Fondo, Reparaciones y Costas.</w:t>
      </w:r>
      <w:r w:rsidRPr="00BC57A2">
        <w:rPr>
          <w:rFonts w:eastAsia="Calibri" w:cs="Times New Roman"/>
          <w:sz w:val="16"/>
          <w:szCs w:val="16"/>
          <w:lang w:val="es-CR"/>
        </w:rPr>
        <w:t xml:space="preserve"> Sentencia de 28 de noviembre de 2018. Serie C No. 37, párr. 45.</w:t>
      </w:r>
    </w:p>
    <w:p w14:paraId="391FE802" w14:textId="77777777" w:rsidR="0023585A" w:rsidRPr="00BC57A2" w:rsidRDefault="0023585A" w:rsidP="009805F2">
      <w:pPr>
        <w:pStyle w:val="Textonotapie"/>
        <w:rPr>
          <w:sz w:val="16"/>
          <w:szCs w:val="16"/>
          <w:lang w:val="es-CR"/>
        </w:rPr>
      </w:pPr>
    </w:p>
  </w:footnote>
  <w:footnote w:id="18">
    <w:p w14:paraId="18145CBC" w14:textId="6EDB8E9E" w:rsidR="0023585A" w:rsidRPr="00BC57A2" w:rsidRDefault="0023585A" w:rsidP="009805F2">
      <w:pPr>
        <w:pStyle w:val="Textonotapie"/>
        <w:rPr>
          <w:sz w:val="16"/>
          <w:szCs w:val="16"/>
          <w:lang w:val="es-CR"/>
        </w:rPr>
      </w:pPr>
      <w:r w:rsidRPr="00BC57A2">
        <w:rPr>
          <w:rStyle w:val="Refdenotaalpie"/>
          <w:sz w:val="16"/>
          <w:szCs w:val="16"/>
        </w:rPr>
        <w:footnoteRef/>
      </w:r>
      <w:r w:rsidRPr="00BC57A2">
        <w:rPr>
          <w:rStyle w:val="Refdenotaalpie"/>
          <w:sz w:val="16"/>
          <w:szCs w:val="16"/>
          <w:lang w:val="es-CR"/>
        </w:rPr>
        <w:t xml:space="preserve"> </w:t>
      </w:r>
      <w:r w:rsidRPr="00BC57A2">
        <w:rPr>
          <w:rStyle w:val="Refdenotaalpie"/>
          <w:sz w:val="16"/>
          <w:szCs w:val="16"/>
          <w:lang w:val="es-CR"/>
        </w:rPr>
        <w:tab/>
      </w:r>
      <w:r w:rsidRPr="00BC57A2">
        <w:rPr>
          <w:sz w:val="16"/>
          <w:szCs w:val="16"/>
          <w:lang w:val="es-CR"/>
        </w:rPr>
        <w:t>Explicó que “la petición inicial de 1998 aludía a 35 comunidades indígenas, mientras que en octubre de 2007 los peticionarios indicaron un total de 45 comunidades [, y que] el Estado, en febrero de 2009, se refirió a 50 comunidades y en mayo de 2011 informó sobre 47 comunidades”. Pese a ello, la Corte constató que la petición inicial aludió a “aproximadamente” 35 comunidades, sin detallarlas. Luego, en el Informe de Fondo, al aludir a las comunidades indicadas en la petición inicial, la Comisión se limitó a enumerar 21, explicando que de las mismas se había proveído “una ubicación geográfica precisa de las zonas de recorrido”. Las 21 comunidades listadas en el Informe de Fondo que la Comisión entendió incluidas en la petición inicial y las 27 que la Comisión</w:t>
      </w:r>
      <w:r>
        <w:rPr>
          <w:sz w:val="16"/>
          <w:szCs w:val="16"/>
          <w:lang w:val="es-CR"/>
        </w:rPr>
        <w:t>,</w:t>
      </w:r>
      <w:r w:rsidRPr="00BC57A2">
        <w:rPr>
          <w:sz w:val="16"/>
          <w:szCs w:val="16"/>
          <w:lang w:val="es-CR"/>
        </w:rPr>
        <w:t xml:space="preserve"> en el Informe de Fondo</w:t>
      </w:r>
      <w:r>
        <w:rPr>
          <w:sz w:val="16"/>
          <w:szCs w:val="16"/>
          <w:lang w:val="es-CR"/>
        </w:rPr>
        <w:t>,</w:t>
      </w:r>
      <w:r w:rsidRPr="00BC57A2">
        <w:rPr>
          <w:sz w:val="16"/>
          <w:szCs w:val="16"/>
          <w:lang w:val="es-CR"/>
        </w:rPr>
        <w:t xml:space="preserve"> tuvo como víctimas se indican, respectivamente, en los Anexos I y II a esta Sentencia.</w:t>
      </w:r>
    </w:p>
    <w:p w14:paraId="60366120" w14:textId="77777777" w:rsidR="0023585A" w:rsidRPr="00BC57A2" w:rsidRDefault="0023585A" w:rsidP="009805F2">
      <w:pPr>
        <w:pStyle w:val="Textonotapie"/>
        <w:rPr>
          <w:sz w:val="16"/>
          <w:szCs w:val="16"/>
          <w:lang w:val="es-CR"/>
        </w:rPr>
      </w:pPr>
    </w:p>
  </w:footnote>
  <w:footnote w:id="19">
    <w:p w14:paraId="2138F7BF"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 xml:space="preserve">Las 71 comunidades indicadas en el Decreto 1498/14 y las 92 referidas en el escrito de solicitudes y argumentos se listan, respectivamente, en los Anexos III y IV a esta Sentencia. </w:t>
      </w:r>
    </w:p>
    <w:p w14:paraId="21851C2D" w14:textId="77777777" w:rsidR="0023585A" w:rsidRPr="00BC57A2" w:rsidRDefault="0023585A" w:rsidP="009805F2">
      <w:pPr>
        <w:pStyle w:val="Textonotapie"/>
        <w:rPr>
          <w:sz w:val="16"/>
          <w:szCs w:val="16"/>
          <w:lang w:val="es-CR"/>
        </w:rPr>
      </w:pPr>
    </w:p>
  </w:footnote>
  <w:footnote w:id="20">
    <w:p w14:paraId="0A96B042"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Las 132 comunidades señaladas por los representantes se listan en el Anexo V a esta Sentencia.</w:t>
      </w:r>
    </w:p>
    <w:p w14:paraId="51F49982" w14:textId="77777777" w:rsidR="0023585A" w:rsidRPr="00BC57A2" w:rsidRDefault="0023585A" w:rsidP="009805F2">
      <w:pPr>
        <w:pStyle w:val="Textonotapie"/>
        <w:rPr>
          <w:sz w:val="16"/>
          <w:szCs w:val="16"/>
          <w:lang w:val="es-CR"/>
        </w:rPr>
      </w:pPr>
    </w:p>
  </w:footnote>
  <w:footnote w:id="21">
    <w:p w14:paraId="2FB1FFA5" w14:textId="7432264E" w:rsidR="0023585A" w:rsidRPr="00BC57A2" w:rsidRDefault="0023585A" w:rsidP="009805F2">
      <w:pPr>
        <w:pStyle w:val="Default"/>
        <w:jc w:val="both"/>
        <w:rPr>
          <w:sz w:val="16"/>
          <w:szCs w:val="16"/>
        </w:rPr>
      </w:pPr>
      <w:r w:rsidRPr="00BC57A2">
        <w:rPr>
          <w:rStyle w:val="Refdenotaalpie"/>
          <w:sz w:val="16"/>
          <w:szCs w:val="16"/>
        </w:rPr>
        <w:footnoteRef/>
      </w:r>
      <w:r w:rsidRPr="00BC57A2">
        <w:rPr>
          <w:sz w:val="16"/>
          <w:szCs w:val="16"/>
        </w:rPr>
        <w:t xml:space="preserve"> </w:t>
      </w:r>
      <w:r w:rsidRPr="00BC57A2">
        <w:rPr>
          <w:sz w:val="16"/>
          <w:szCs w:val="16"/>
        </w:rPr>
        <w:tab/>
        <w:t>Así, la Corte, de acuerdo su “reitera[da] jurisprudencia”, ha indicado que “las comunidades indígenas son titulares de derechos protegidos por el sistema interamericano y pueden presentarse ante éste en defensa de sus derechos y los de sus miembros” (</w:t>
      </w:r>
      <w:r w:rsidRPr="00BC57A2">
        <w:rPr>
          <w:i/>
          <w:sz w:val="16"/>
          <w:szCs w:val="16"/>
        </w:rPr>
        <w:t xml:space="preserve">cfr. Titularidad de derechos de las personas jurídicas en el Sistema Interamericano de Derechos Humanos (Interpretación y alcance del artículo 1.2, en relación con los artículos 1.1, 8, 11.2, 13, 16, 21, 24, 25, 29, 30, 44, 46, y 62.3 de la Convención Americana sobre Derechos Humanos, así como del artículo 8.1 A y B del Protocolo de San Salvador). </w:t>
      </w:r>
      <w:r w:rsidRPr="002569B3">
        <w:rPr>
          <w:i/>
          <w:sz w:val="16"/>
          <w:szCs w:val="16"/>
        </w:rPr>
        <w:t>Opinión Consultiva OC-22/16</w:t>
      </w:r>
      <w:r w:rsidRPr="00BC57A2">
        <w:rPr>
          <w:sz w:val="16"/>
          <w:szCs w:val="16"/>
        </w:rPr>
        <w:t xml:space="preserve"> de 26 de febrero de 2016. Serie A No. 22, párr. 72). La Corte advierte que se ha indicado que las “comunidades” indígenas presuntas víctimas en este caso pertenecen a distintos “pueblos” </w:t>
      </w:r>
      <w:r w:rsidRPr="00BC57A2">
        <w:rPr>
          <w:i/>
          <w:sz w:val="16"/>
          <w:szCs w:val="16"/>
        </w:rPr>
        <w:t xml:space="preserve">(infra </w:t>
      </w:r>
      <w:r w:rsidRPr="00BC57A2">
        <w:rPr>
          <w:sz w:val="16"/>
          <w:szCs w:val="16"/>
        </w:rPr>
        <w:t>párr. 47). Es útil aclarar que, aunque el Estado señaló que “pueblo indígena” y “comunidades indígenas” se usan en forma indistinta en la legislación argentina, hay legislación interna de la que parecería inferirse que se ha entendido la voz “pueblo” como abarca</w:t>
      </w:r>
      <w:r>
        <w:rPr>
          <w:sz w:val="16"/>
          <w:szCs w:val="16"/>
        </w:rPr>
        <w:t>dora de un conjunto mayor que el</w:t>
      </w:r>
      <w:r w:rsidRPr="00BC57A2">
        <w:rPr>
          <w:sz w:val="16"/>
          <w:szCs w:val="16"/>
        </w:rPr>
        <w:t xml:space="preserve"> que indica la palabra “comunidad” (</w:t>
      </w:r>
      <w:r w:rsidRPr="00BC57A2">
        <w:rPr>
          <w:rFonts w:cs="Tahoma"/>
          <w:sz w:val="16"/>
          <w:szCs w:val="16"/>
        </w:rPr>
        <w:t xml:space="preserve">así surge de la </w:t>
      </w:r>
      <w:r w:rsidRPr="002569B3">
        <w:rPr>
          <w:rFonts w:cs="Tahoma"/>
          <w:sz w:val="16"/>
          <w:szCs w:val="16"/>
        </w:rPr>
        <w:t>Resolución 328/2010</w:t>
      </w:r>
      <w:r w:rsidRPr="00BC57A2">
        <w:rPr>
          <w:rFonts w:cs="Tahoma"/>
          <w:sz w:val="16"/>
          <w:szCs w:val="16"/>
        </w:rPr>
        <w:t xml:space="preserve"> del Instituto Nacional de Asuntos Indígenas, que habla de “comunidades” como integrantes de “pueblos” (</w:t>
      </w:r>
      <w:r w:rsidRPr="00BC57A2">
        <w:rPr>
          <w:rFonts w:cs="Tahoma"/>
          <w:i/>
          <w:sz w:val="16"/>
          <w:szCs w:val="16"/>
        </w:rPr>
        <w:t>infra</w:t>
      </w:r>
      <w:r w:rsidRPr="00BC57A2">
        <w:rPr>
          <w:rFonts w:cs="Tahoma"/>
          <w:sz w:val="16"/>
          <w:szCs w:val="16"/>
        </w:rPr>
        <w:t xml:space="preserve"> párr. 54). En similar sentido, la Declaración Americana sobre los Derechos de los Pueblos Indígenas (aprobada el 14 de junio de 2016 - AG/RES. 2888 (XLVI-O/16)), en su artículo VIII dice que “[l]</w:t>
      </w:r>
      <w:r w:rsidRPr="00BC57A2">
        <w:rPr>
          <w:sz w:val="16"/>
          <w:szCs w:val="16"/>
        </w:rPr>
        <w:t xml:space="preserve">as personas y comunidades indígenas tienen el derecho de pertenecer a uno o varios pueblos indígenas, de acuerdo con la identidad, tradiciones, costumbres y sistemas de pertenencia de cada pueblo. Del ejercicio de ese derecho no puede resultar discriminación de ningún tipo”. De este modo, a efectos de este caso, la Corte entiende la palabra “comunidad” como voz que designa una unidad, en cuya integración hay personas o familias identificadas como indígenas, que pertenece a un “pueblo” indígena, o a varios. </w:t>
      </w:r>
    </w:p>
    <w:p w14:paraId="5AA93A9A" w14:textId="77777777" w:rsidR="0023585A" w:rsidRPr="00BC57A2" w:rsidRDefault="0023585A" w:rsidP="009805F2">
      <w:pPr>
        <w:pStyle w:val="Default"/>
        <w:jc w:val="both"/>
        <w:rPr>
          <w:sz w:val="16"/>
          <w:szCs w:val="16"/>
        </w:rPr>
      </w:pPr>
    </w:p>
  </w:footnote>
  <w:footnote w:id="22">
    <w:p w14:paraId="293A01BC"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Caso Masacres de Río Negro Vs. Guatemala. Excepción Preliminar, Fondo, Reparaciones y Costas.</w:t>
      </w:r>
      <w:r w:rsidRPr="00BC57A2">
        <w:rPr>
          <w:sz w:val="16"/>
          <w:szCs w:val="16"/>
          <w:lang w:val="es-CR"/>
        </w:rPr>
        <w:t xml:space="preserve"> Sentencia de 4 septiembre de 2012. Serie C No. 250, párr. 48, y </w:t>
      </w:r>
      <w:r w:rsidRPr="00BC57A2">
        <w:rPr>
          <w:i/>
          <w:sz w:val="16"/>
          <w:szCs w:val="16"/>
          <w:lang w:val="es-CR"/>
        </w:rPr>
        <w:t>Caso Coc Max y otros (Masacre de Xamán) Vs. Guatemala. Fondo, Reparaciones y Costas.</w:t>
      </w:r>
      <w:r w:rsidRPr="00BC57A2">
        <w:rPr>
          <w:sz w:val="16"/>
          <w:szCs w:val="16"/>
          <w:lang w:val="es-CR"/>
        </w:rPr>
        <w:t xml:space="preserve"> Sentencia de 22 de agosto de 2018. Serie C No. 356, párr. 16.</w:t>
      </w:r>
    </w:p>
    <w:p w14:paraId="31615055" w14:textId="77777777" w:rsidR="0023585A" w:rsidRPr="00BC57A2" w:rsidRDefault="0023585A" w:rsidP="009805F2">
      <w:pPr>
        <w:pStyle w:val="Textonotapie"/>
        <w:rPr>
          <w:sz w:val="16"/>
          <w:szCs w:val="16"/>
          <w:lang w:val="es-CR"/>
        </w:rPr>
      </w:pPr>
    </w:p>
  </w:footnote>
  <w:footnote w:id="23">
    <w:p w14:paraId="7D5387D8" w14:textId="4EBECCDF"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 xml:space="preserve">La fisión-fusión consiste en que las comunidades indígenas se fusionan en nuevas comunidades y se separan para crear otras, por lo que la cantidad de comunidades </w:t>
      </w:r>
      <w:r>
        <w:rPr>
          <w:sz w:val="16"/>
          <w:szCs w:val="16"/>
          <w:lang w:val="es-CR"/>
        </w:rPr>
        <w:t xml:space="preserve">puede </w:t>
      </w:r>
      <w:r w:rsidRPr="00BC57A2">
        <w:rPr>
          <w:sz w:val="16"/>
          <w:szCs w:val="16"/>
          <w:lang w:val="es-CR"/>
        </w:rPr>
        <w:t>cambia</w:t>
      </w:r>
      <w:r>
        <w:rPr>
          <w:sz w:val="16"/>
          <w:szCs w:val="16"/>
          <w:lang w:val="es-CR"/>
        </w:rPr>
        <w:t>r</w:t>
      </w:r>
      <w:r w:rsidRPr="00BC57A2">
        <w:rPr>
          <w:sz w:val="16"/>
          <w:szCs w:val="16"/>
          <w:lang w:val="es-CR"/>
        </w:rPr>
        <w:t xml:space="preserve"> con el paso del tiempo. Esta dinámica de los pueblos indígenas ha sido reconocida en el Informe de Fondo 2/12 y no ha sido controvertida.</w:t>
      </w:r>
    </w:p>
    <w:p w14:paraId="088F67CD" w14:textId="77777777" w:rsidR="0023585A" w:rsidRPr="00BC57A2" w:rsidRDefault="0023585A" w:rsidP="009805F2">
      <w:pPr>
        <w:pStyle w:val="Textonotapie"/>
        <w:rPr>
          <w:sz w:val="16"/>
          <w:szCs w:val="16"/>
          <w:lang w:val="es-CR"/>
        </w:rPr>
      </w:pPr>
    </w:p>
  </w:footnote>
  <w:footnote w:id="24">
    <w:p w14:paraId="008DE08B"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Se aclara que, de conformidad al principio de auto-adscripción o auto-reconocimiento de la identidad indígena y al derecho a participar en su propia vida cultural y a su identidad cultural, que abarca sus propias formas de organización, llegado el caso, la definición de qué comunidades se desprendan de las 132 referidas mediante el proceso de “fisión-fusión” no corresponde a las autoridades estatales ni a esta Corte, sino al conjunto de las comunidades indígenas. Sin perjuicio de ello, las presuntas víctimas del caso no abarcan a cualquier comunidad o persona indígena que pudiere habitar el territorio en cuestión, sino solo a las 132 comunidades indicadas y, en su caso, a aquellas que deriven de esas 132 por el proceso de “fisión-fusión”.</w:t>
      </w:r>
    </w:p>
    <w:p w14:paraId="5DEBE965" w14:textId="77777777" w:rsidR="0023585A" w:rsidRPr="00BC57A2" w:rsidRDefault="0023585A" w:rsidP="009805F2">
      <w:pPr>
        <w:pStyle w:val="Textonotapie"/>
        <w:rPr>
          <w:sz w:val="16"/>
          <w:szCs w:val="16"/>
          <w:lang w:val="es-CR"/>
        </w:rPr>
      </w:pPr>
    </w:p>
  </w:footnote>
  <w:footnote w:id="25">
    <w:p w14:paraId="3E65AAAC" w14:textId="77777777" w:rsidR="0023585A" w:rsidRPr="00BC57A2" w:rsidRDefault="0023585A" w:rsidP="009805F2">
      <w:pPr>
        <w:pStyle w:val="Textonotapie"/>
        <w:rPr>
          <w:rStyle w:val="Textoennegrita"/>
          <w:b w:val="0"/>
          <w:color w:val="000000"/>
          <w:sz w:val="16"/>
          <w:szCs w:val="16"/>
          <w:shd w:val="clear" w:color="auto" w:fill="FFFFFF"/>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 xml:space="preserve">Cfr. </w:t>
      </w:r>
      <w:r w:rsidRPr="00BC57A2">
        <w:rPr>
          <w:sz w:val="16"/>
          <w:szCs w:val="16"/>
          <w:lang w:val="es-CR"/>
        </w:rPr>
        <w:t xml:space="preserve">artículo 57 del Reglamento; también </w:t>
      </w:r>
      <w:r w:rsidRPr="00BC57A2">
        <w:rPr>
          <w:i/>
          <w:sz w:val="16"/>
          <w:szCs w:val="16"/>
          <w:lang w:val="es-CR"/>
        </w:rPr>
        <w:t>Caso Velásquez Rodríguez Vs. Honduras. Fondo</w:t>
      </w:r>
      <w:r w:rsidRPr="00BC57A2">
        <w:rPr>
          <w:sz w:val="16"/>
          <w:szCs w:val="16"/>
          <w:lang w:val="es-CR"/>
        </w:rPr>
        <w:t xml:space="preserve">. Sentencia de 29 de julio de 1988. Serie C No. 4, párr. 140 y </w:t>
      </w:r>
      <w:r w:rsidRPr="00BC57A2">
        <w:rPr>
          <w:i/>
          <w:sz w:val="16"/>
          <w:szCs w:val="16"/>
          <w:lang w:val="es-CR"/>
        </w:rPr>
        <w:t>Caso Gorigoitía Vs. Argentina. Excepción Preliminar, Fondo, Reparaciones y Costas.</w:t>
      </w:r>
      <w:r w:rsidRPr="00BC57A2">
        <w:rPr>
          <w:sz w:val="16"/>
          <w:szCs w:val="16"/>
          <w:lang w:val="es-CR"/>
        </w:rPr>
        <w:t xml:space="preserve"> Sentencia de 2 de septiembre de 2019. Serie C No. 382, párr. 27. Ver también, en el mismo sentido, </w:t>
      </w:r>
      <w:r w:rsidRPr="00BC57A2">
        <w:rPr>
          <w:rStyle w:val="Textoennegrita"/>
          <w:b w:val="0"/>
          <w:i/>
          <w:color w:val="000000"/>
          <w:sz w:val="16"/>
          <w:szCs w:val="16"/>
          <w:shd w:val="clear" w:color="auto" w:fill="FFFFFF"/>
          <w:lang w:val="es-CR"/>
        </w:rPr>
        <w:t>Caso Jenkins Vs. Argentina. Excepciones Preliminares, Fondo, Reparaciones y Costas.</w:t>
      </w:r>
      <w:r w:rsidRPr="00BC57A2">
        <w:rPr>
          <w:rStyle w:val="Textoennegrita"/>
          <w:b w:val="0"/>
          <w:color w:val="000000"/>
          <w:sz w:val="16"/>
          <w:szCs w:val="16"/>
          <w:shd w:val="clear" w:color="auto" w:fill="FFFFFF"/>
          <w:lang w:val="es-CR"/>
        </w:rPr>
        <w:t xml:space="preserve"> Sentencia de 26 de noviembre de 2019. Serie C No. 397, párr. 38.</w:t>
      </w:r>
    </w:p>
    <w:p w14:paraId="5D516BC3" w14:textId="77777777" w:rsidR="0023585A" w:rsidRPr="00BC57A2" w:rsidRDefault="0023585A" w:rsidP="009805F2">
      <w:pPr>
        <w:pStyle w:val="Textonotapie"/>
        <w:rPr>
          <w:sz w:val="16"/>
          <w:szCs w:val="16"/>
          <w:lang w:val="es-CR"/>
        </w:rPr>
      </w:pPr>
    </w:p>
  </w:footnote>
  <w:footnote w:id="26">
    <w:p w14:paraId="17A00B88" w14:textId="100D4058"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C</w:t>
      </w:r>
      <w:r w:rsidRPr="00BC57A2">
        <w:rPr>
          <w:rFonts w:eastAsia="Calibri" w:cs="Times New Roman"/>
          <w:sz w:val="16"/>
          <w:szCs w:val="16"/>
          <w:lang w:val="es-CR"/>
        </w:rPr>
        <w:t xml:space="preserve">omo prueba de oficio, han quedado incorporados los siguientes documentos: A) Jurisprudencia interna: </w:t>
      </w:r>
      <w:r w:rsidRPr="00BC57A2">
        <w:rPr>
          <w:rFonts w:eastAsia="Calibri" w:cs="Times New Roman"/>
          <w:sz w:val="16"/>
          <w:szCs w:val="16"/>
          <w:lang w:val="es-ES"/>
        </w:rPr>
        <w:t xml:space="preserve">Cámara Contencioso Administrativo Federal, Sala III, Comunidad Mapuche Trypayantu c/ EN – INAI s/ Proceso de conocimiento. Sentencia de 22 de noviembre de 2018; CSJN, Neuquén, Provincia del c/ Estado Nacional (Ministerio de Desarrollo Social - Instituto Nacional de Asuntos Indígenas) s/ impugnación de actos administrativos y acción declarativa de certeza, sentencia del 11 de septiembre de 2018, punto I; Comunidad Aborigen de Aguas Blancas vs. Provincia de Salta – Amparo. Sentencia de 19 de septiembre de 2016. Expte. N° CJS 37.010/14. Tomo 207:289/306; “Confederación Indígena del Neuquén c. Provincia del Neuquén s/acción de inconstitucionalidad”, 10-12-2013. B) Normativa nacional: ley 24.071; Código Civil, ley nacional 17.711; Código Civil y de Comercio, ley 26.994; ley 25.799, </w:t>
      </w:r>
      <w:r w:rsidRPr="00BC57A2">
        <w:rPr>
          <w:rFonts w:eastAsia="Calibri" w:cs="Times New Roman"/>
          <w:sz w:val="16"/>
          <w:szCs w:val="16"/>
          <w:lang w:val="es-CR"/>
        </w:rPr>
        <w:t>ley 26.160; ley 23.302</w:t>
      </w:r>
      <w:r w:rsidRPr="00BC57A2">
        <w:rPr>
          <w:rFonts w:eastAsia="Calibri" w:cs="Times New Roman"/>
          <w:sz w:val="16"/>
          <w:szCs w:val="16"/>
          <w:lang w:val="es-ES"/>
        </w:rPr>
        <w:t>; Decreto del Poder Ejecutivo Nacional (PEN) 155/89</w:t>
      </w:r>
      <w:r>
        <w:rPr>
          <w:rFonts w:eastAsia="Calibri" w:cs="Times New Roman"/>
          <w:sz w:val="16"/>
          <w:szCs w:val="16"/>
          <w:lang w:val="es-ES"/>
        </w:rPr>
        <w:t xml:space="preserve">, Decreto del PEN </w:t>
      </w:r>
      <w:r w:rsidRPr="00BC57A2">
        <w:rPr>
          <w:rFonts w:eastAsia="Calibri" w:cs="Times New Roman"/>
          <w:sz w:val="16"/>
          <w:szCs w:val="16"/>
          <w:lang w:val="es-ES"/>
        </w:rPr>
        <w:t>1122/07; Decreto del PEN 791/12; Decreto del PEN</w:t>
      </w:r>
      <w:r>
        <w:rPr>
          <w:rFonts w:eastAsia="Calibri" w:cs="Times New Roman"/>
          <w:sz w:val="16"/>
          <w:szCs w:val="16"/>
          <w:lang w:val="es-ES"/>
        </w:rPr>
        <w:t xml:space="preserve"> 672/2016</w:t>
      </w:r>
      <w:r w:rsidRPr="00BC57A2">
        <w:rPr>
          <w:rFonts w:eastAsia="Calibri" w:cs="Times New Roman"/>
          <w:sz w:val="16"/>
          <w:szCs w:val="16"/>
          <w:lang w:val="es-ES"/>
        </w:rPr>
        <w:t xml:space="preserve">; </w:t>
      </w:r>
      <w:r w:rsidRPr="00BC57A2">
        <w:rPr>
          <w:rFonts w:eastAsia="Calibri" w:cs="Times New Roman"/>
          <w:bCs/>
          <w:sz w:val="16"/>
          <w:szCs w:val="16"/>
          <w:lang w:val="es-ES"/>
        </w:rPr>
        <w:t xml:space="preserve">Resolución del INAI 587/2007; </w:t>
      </w:r>
      <w:r w:rsidRPr="00BC57A2">
        <w:rPr>
          <w:rFonts w:eastAsia="Calibri" w:cs="Times New Roman"/>
          <w:sz w:val="16"/>
          <w:szCs w:val="16"/>
          <w:lang w:val="es-ES"/>
        </w:rPr>
        <w:t xml:space="preserve">Resolución del INAI 70 - E/2016; Resolución del INAI 478/2018; Resolución del INAI 477/2018; Resolución del INAI 328/2010. C) </w:t>
      </w:r>
      <w:r w:rsidRPr="00BC57A2">
        <w:rPr>
          <w:rFonts w:eastAsia="Calibri" w:cs="Times New Roman"/>
          <w:sz w:val="16"/>
          <w:szCs w:val="16"/>
          <w:lang w:val="es-CR"/>
        </w:rPr>
        <w:t xml:space="preserve">Normativa de Salta: </w:t>
      </w:r>
      <w:r w:rsidRPr="00BC57A2">
        <w:rPr>
          <w:rFonts w:eastAsia="Calibri" w:cs="Times New Roman"/>
          <w:sz w:val="16"/>
          <w:szCs w:val="16"/>
          <w:lang w:val="es-ES"/>
        </w:rPr>
        <w:t xml:space="preserve">ley 7.070 y Decreto 3505/14. Por otra parte, a solicitud de la Corte, el 5 de septiembre de 2019 el Estado remitió la Resolución Ministerial de Salta 449/1992 de </w:t>
      </w:r>
      <w:r w:rsidRPr="00BC57A2">
        <w:rPr>
          <w:rFonts w:eastAsia="Calibri" w:cs="Times New Roman"/>
          <w:sz w:val="16"/>
          <w:szCs w:val="16"/>
          <w:lang w:val="es-CR"/>
        </w:rPr>
        <w:t>9 de diciembre de 1992 y el Decreto de Salta 3097/95.</w:t>
      </w:r>
    </w:p>
    <w:p w14:paraId="4B8D78C5" w14:textId="15D9CCCF" w:rsidR="0023585A" w:rsidRPr="00BC57A2" w:rsidRDefault="0023585A" w:rsidP="009805F2">
      <w:pPr>
        <w:pStyle w:val="Textonotapie"/>
        <w:tabs>
          <w:tab w:val="left" w:pos="6964"/>
        </w:tabs>
        <w:rPr>
          <w:sz w:val="16"/>
          <w:szCs w:val="16"/>
          <w:lang w:val="es-CR"/>
        </w:rPr>
      </w:pPr>
    </w:p>
  </w:footnote>
  <w:footnote w:id="27">
    <w:p w14:paraId="0D5EFA1B"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 xml:space="preserve">El 26 de junio de 2019 este Tribunal transmitió a los representantes y la Comisión los enlaces electrónicos de los vídeos remitidos por el Estado el 24 de ese mes. Además se señaló al Estado que no fue posible abrir un enlace. El 28 de junio siguiente Argentina presentó los videos, que fueron transmitidos a la Comisión y los representantes. Estos señalaron, el 5 de julio de 2019, problemas para entender los diálogos recogidos en los videos. El 15 del mismo mes la Comisión expresó que “no había sido posible obtener los vídeos remitidos mediante enlaces electrónicos” y solicitó una prórroga de tres días para hacer observaciones, a partir de la fecha en que pudieran disponer de los vídeos. El mismo día los representantes indicaron que no tenían observaciones a los vídeos presentados por el Estado, aunque y reiteraron los problemas antes referidos. El 5 de agosto de 2019 la Secretaría remitió a la Comisión nuevamente los vídeos y, respecto a las apreciaciones de los representantes, aclaró que se trataba de defectos originales de los videos que no dependían de la Secretaría. El 8 de agosto de 2019 la Comisión expresó que no tenía observaciones respecto a los vídeos. </w:t>
      </w:r>
    </w:p>
    <w:p w14:paraId="0FAD9DCD" w14:textId="77777777" w:rsidR="0023585A" w:rsidRPr="00BC57A2" w:rsidRDefault="0023585A" w:rsidP="009805F2">
      <w:pPr>
        <w:pStyle w:val="Textonotapie"/>
        <w:rPr>
          <w:sz w:val="16"/>
          <w:szCs w:val="16"/>
          <w:lang w:val="es-CR"/>
        </w:rPr>
      </w:pPr>
    </w:p>
  </w:footnote>
  <w:footnote w:id="28">
    <w:p w14:paraId="128B7999"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Los documentos presentados son: nota de 15 de mayo de 2019, suscrita por Víctor González, Cacique de la Comunidad Misión La Paz y nota de 16 de mayo de 2019, suscrita por representantes y miembros de asociaciones criollas (</w:t>
      </w:r>
      <w:r w:rsidRPr="00BC57A2">
        <w:rPr>
          <w:i/>
          <w:sz w:val="16"/>
          <w:szCs w:val="16"/>
          <w:lang w:val="es-CR"/>
        </w:rPr>
        <w:t xml:space="preserve">cfr. </w:t>
      </w:r>
      <w:r w:rsidRPr="00BC57A2">
        <w:rPr>
          <w:sz w:val="16"/>
          <w:szCs w:val="16"/>
          <w:lang w:val="es-CR"/>
        </w:rPr>
        <w:t xml:space="preserve">expediente de fondo, fs. 1634 a 1637 y 1638 a 1639). Fueron transmitidos a las partes y a la Comisión, quienes no objetaron su admisibilidad. </w:t>
      </w:r>
    </w:p>
    <w:p w14:paraId="0BC497EF" w14:textId="77777777" w:rsidR="0023585A" w:rsidRPr="00BC57A2" w:rsidRDefault="0023585A" w:rsidP="009805F2">
      <w:pPr>
        <w:pStyle w:val="Textonotapie"/>
        <w:rPr>
          <w:sz w:val="16"/>
          <w:szCs w:val="16"/>
          <w:lang w:val="es-CR"/>
        </w:rPr>
      </w:pPr>
    </w:p>
  </w:footnote>
  <w:footnote w:id="29">
    <w:p w14:paraId="10056BE4" w14:textId="68C879E5"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El artículo 58 Reglamento dice: “En cualquier estado de la causa la Corte podrá: a. Procurar de oficio toda prueba que considere útil y necesaria. En particular, podrá oír en calidad de presunta víctima, testigo, perito o por otro título, a cualquier persona cuya declaración, testimonio, u opinión estime pertinente”.</w:t>
      </w:r>
    </w:p>
    <w:p w14:paraId="3B08C8EB" w14:textId="77777777" w:rsidR="0023585A" w:rsidRPr="00BC57A2" w:rsidRDefault="0023585A" w:rsidP="009805F2">
      <w:pPr>
        <w:pStyle w:val="Textonotapie"/>
        <w:rPr>
          <w:sz w:val="16"/>
          <w:szCs w:val="16"/>
          <w:lang w:val="es-CR"/>
        </w:rPr>
      </w:pPr>
    </w:p>
  </w:footnote>
  <w:footnote w:id="30">
    <w:p w14:paraId="5B10B6F6" w14:textId="0EB155BB" w:rsidR="0023585A" w:rsidRPr="00BC57A2" w:rsidRDefault="0023585A" w:rsidP="009805F2">
      <w:pPr>
        <w:pStyle w:val="Prrafodelista"/>
        <w:spacing w:after="0" w:line="240" w:lineRule="auto"/>
        <w:ind w:left="0" w:right="6"/>
        <w:jc w:val="both"/>
        <w:rPr>
          <w:rFonts w:ascii="Verdana" w:hAnsi="Verdana" w:cs="Arial"/>
          <w:sz w:val="16"/>
          <w:szCs w:val="16"/>
        </w:rPr>
      </w:pPr>
      <w:r w:rsidRPr="00BC57A2">
        <w:rPr>
          <w:rStyle w:val="Refdenotaalpie"/>
          <w:rFonts w:ascii="Verdana" w:hAnsi="Verdana"/>
          <w:sz w:val="16"/>
          <w:szCs w:val="16"/>
        </w:rPr>
        <w:footnoteRef/>
      </w:r>
      <w:r w:rsidRPr="00BC57A2">
        <w:rPr>
          <w:rFonts w:ascii="Verdana" w:hAnsi="Verdana"/>
          <w:sz w:val="16"/>
          <w:szCs w:val="16"/>
          <w:lang w:val="es-CR"/>
        </w:rPr>
        <w:t xml:space="preserve"> </w:t>
      </w:r>
      <w:r w:rsidRPr="00BC57A2">
        <w:rPr>
          <w:rFonts w:ascii="Verdana" w:hAnsi="Verdana"/>
          <w:sz w:val="16"/>
          <w:szCs w:val="16"/>
          <w:lang w:val="es-CR"/>
        </w:rPr>
        <w:tab/>
        <w:t>Sobre</w:t>
      </w:r>
      <w:r w:rsidRPr="00BC57A2">
        <w:rPr>
          <w:rFonts w:ascii="Verdana" w:eastAsia="Batang" w:hAnsi="Verdana" w:cs="Times"/>
          <w:sz w:val="16"/>
          <w:szCs w:val="16"/>
          <w:lang w:val="es-CR" w:eastAsia="es-CR"/>
        </w:rPr>
        <w:t xml:space="preserve"> las peritas Yáñez Fuenzalida y Buliubasich debe dejarse sentado lo que sigue. La Comisión informó que la primera no podría acudir a la audiencia pública. El 4 de marzo de 2019, siguiendo instrucciones del Presidente, se hizo saber a la Comisión que la perita Yáñez Fuenzalida podría dar su declaración por escrito. Por otra parte, </w:t>
      </w:r>
      <w:r w:rsidRPr="00BC57A2">
        <w:rPr>
          <w:rFonts w:ascii="Verdana" w:hAnsi="Verdana" w:cs="Arial"/>
          <w:sz w:val="16"/>
          <w:szCs w:val="16"/>
        </w:rPr>
        <w:t>los representantes ofrecieron la declaración testimonial “vía affidavit” de la señora Buliubasich y el Estado su declaración pericial en audiencia pública. En la Resolución de 8 de febrero de 2019 (</w:t>
      </w:r>
      <w:r w:rsidRPr="00BC57A2">
        <w:rPr>
          <w:rFonts w:ascii="Verdana" w:hAnsi="Verdana" w:cs="Arial"/>
          <w:i/>
          <w:sz w:val="16"/>
          <w:szCs w:val="16"/>
        </w:rPr>
        <w:t xml:space="preserve">supra </w:t>
      </w:r>
      <w:r w:rsidRPr="00BC57A2">
        <w:rPr>
          <w:rFonts w:ascii="Verdana" w:hAnsi="Verdana" w:cs="Arial"/>
          <w:sz w:val="16"/>
          <w:szCs w:val="16"/>
        </w:rPr>
        <w:t xml:space="preserve">párr. 8) se admitió la declaración de la señora Buliubasich como perita, para ser dada en la audiencia pública. El 6 de marzo de 2019 el Estado desistió de esta pericia. Siguiendo instrucciones del Presidente, se consultó a los representantes si mantenían interés en la declaración, a lo que el 11 de marzo de 2019 respondieron que sí, que acordaban con que fuera en carácter pericial y que no podían “tramitar” </w:t>
      </w:r>
      <w:r>
        <w:rPr>
          <w:rFonts w:ascii="Verdana" w:hAnsi="Verdana" w:cs="Arial"/>
          <w:sz w:val="16"/>
          <w:szCs w:val="16"/>
        </w:rPr>
        <w:t xml:space="preserve">el viaje de la señora Buliubasich </w:t>
      </w:r>
      <w:r w:rsidRPr="00BC57A2">
        <w:rPr>
          <w:rFonts w:ascii="Verdana" w:hAnsi="Verdana" w:cs="Arial"/>
          <w:sz w:val="16"/>
          <w:szCs w:val="16"/>
        </w:rPr>
        <w:t xml:space="preserve">a Costa Rica para la audiencia. Siguiendo instrucciones del Presidente, se indicó a los representantes que podían remitir la pericia por escrito, lo que hicieron el 1 de abril de 2019. Dada la inasistencia de ambas peritas a la audiencia, la misma se realizó solo en un día, el 14 de marzo de 2019. </w:t>
      </w:r>
    </w:p>
    <w:p w14:paraId="2B47E22C" w14:textId="77777777" w:rsidR="0023585A" w:rsidRPr="00BC57A2" w:rsidRDefault="0023585A" w:rsidP="009805F2">
      <w:pPr>
        <w:pStyle w:val="Prrafodelista"/>
        <w:spacing w:after="0" w:line="240" w:lineRule="auto"/>
        <w:ind w:left="0" w:right="6"/>
        <w:jc w:val="both"/>
        <w:rPr>
          <w:rFonts w:ascii="Verdana" w:hAnsi="Verdana"/>
          <w:sz w:val="16"/>
          <w:szCs w:val="16"/>
          <w:lang w:val="es-CR"/>
        </w:rPr>
      </w:pPr>
    </w:p>
  </w:footnote>
  <w:footnote w:id="31">
    <w:p w14:paraId="7FBC6D8C"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La extensión indicada no es exacta sino aproximada, de acuerdo a lo establecido por el Decreto 1498/14 de Salta (</w:t>
      </w:r>
      <w:r w:rsidRPr="00BC57A2">
        <w:rPr>
          <w:i/>
          <w:sz w:val="16"/>
          <w:szCs w:val="16"/>
          <w:lang w:val="es-CR"/>
        </w:rPr>
        <w:t>infra</w:t>
      </w:r>
      <w:r w:rsidRPr="00BC57A2">
        <w:rPr>
          <w:sz w:val="16"/>
          <w:szCs w:val="16"/>
          <w:lang w:val="es-CR"/>
        </w:rPr>
        <w:t xml:space="preserve"> párr. 80). Se aclara que toda referencia en esta Sentencia, inclusive en el Capítulo VIII sobre reparaciones, a cantidades de hectáreas correspondientes a los lotes 14 y 55, debe entenderse como alusiva a una cantidad de superficie no exacta, sino aproximada. </w:t>
      </w:r>
    </w:p>
    <w:p w14:paraId="7AC3A392" w14:textId="77777777" w:rsidR="0023585A" w:rsidRPr="00BC57A2" w:rsidRDefault="0023585A" w:rsidP="009805F2">
      <w:pPr>
        <w:pStyle w:val="Textonotapie"/>
        <w:rPr>
          <w:sz w:val="16"/>
          <w:szCs w:val="16"/>
          <w:lang w:val="es-CR"/>
        </w:rPr>
      </w:pPr>
    </w:p>
  </w:footnote>
  <w:footnote w:id="32">
    <w:p w14:paraId="3E6700DD" w14:textId="5749572B" w:rsidR="0023585A" w:rsidRPr="00BC57A2" w:rsidRDefault="0023585A" w:rsidP="009805F2">
      <w:pPr>
        <w:pStyle w:val="Textonotapie"/>
        <w:rPr>
          <w:sz w:val="16"/>
          <w:szCs w:val="16"/>
          <w:lang w:val="es-CR"/>
        </w:rPr>
      </w:pPr>
      <w:r w:rsidRPr="00B47EB8">
        <w:rPr>
          <w:rStyle w:val="Refdenotaalpie"/>
          <w:sz w:val="16"/>
          <w:szCs w:val="16"/>
        </w:rPr>
        <w:footnoteRef/>
      </w:r>
      <w:r w:rsidRPr="00B47EB8">
        <w:rPr>
          <w:sz w:val="16"/>
          <w:szCs w:val="16"/>
          <w:lang w:val="es-CR"/>
        </w:rPr>
        <w:t xml:space="preserve"> </w:t>
      </w:r>
      <w:r w:rsidRPr="00B47EB8">
        <w:rPr>
          <w:sz w:val="16"/>
          <w:szCs w:val="16"/>
          <w:lang w:val="es-CR"/>
        </w:rPr>
        <w:tab/>
        <w:t>La fuente del mapa 1 es el Instituto Geográfico Nacional, dependiente del Ministerio de Defensa del Gobierno de Argentina (Disponible en internet, en el sitio:</w:t>
      </w:r>
      <w:r w:rsidRPr="0093019C">
        <w:rPr>
          <w:lang w:val="es-CR"/>
        </w:rPr>
        <w:t xml:space="preserve"> </w:t>
      </w:r>
      <w:r w:rsidRPr="0093019C">
        <w:rPr>
          <w:sz w:val="16"/>
          <w:szCs w:val="16"/>
          <w:lang w:val="es-CR"/>
        </w:rPr>
        <w:t>https://www.ign.gob.ar/AreaServicios/Descargas/MapasEscolares" \l "nanogallery/gallery2/0/6</w:t>
      </w:r>
      <w:r w:rsidRPr="00B47EB8">
        <w:fldChar w:fldCharType="begin"/>
      </w:r>
      <w:r w:rsidRPr="00B47EB8">
        <w:rPr>
          <w:sz w:val="16"/>
          <w:szCs w:val="16"/>
          <w:lang w:val="es-ES"/>
        </w:rPr>
        <w:instrText xml:space="preserve">"https://www.ign.gob.ar/AreaServicios/Descargas/MapasEscolares" \l "nanogallery/gallery2/0/6" </w:instrText>
      </w:r>
      <w:r w:rsidRPr="00B47EB8">
        <w:fldChar w:fldCharType="separate"/>
      </w:r>
      <w:r w:rsidRPr="00B47EB8">
        <w:rPr>
          <w:rStyle w:val="Hipervnculo"/>
          <w:color w:val="auto"/>
          <w:sz w:val="16"/>
          <w:szCs w:val="16"/>
          <w:u w:val="none"/>
          <w:lang w:val="es-CR"/>
        </w:rPr>
        <w:t>https://www.ign.gob.ar/AreaServicios/Descargas/MapasEscolares#nanogallery/gallery2/0/6</w:t>
      </w:r>
      <w:r w:rsidRPr="00B47EB8">
        <w:rPr>
          <w:rStyle w:val="Hipervnculo"/>
          <w:color w:val="auto"/>
          <w:sz w:val="16"/>
          <w:szCs w:val="16"/>
          <w:u w:val="none"/>
          <w:lang w:val="es-CR"/>
        </w:rPr>
        <w:fldChar w:fldCharType="end"/>
      </w:r>
      <w:r w:rsidRPr="00B47EB8">
        <w:rPr>
          <w:rStyle w:val="Hipervnculo"/>
          <w:color w:val="auto"/>
          <w:sz w:val="16"/>
          <w:szCs w:val="16"/>
          <w:u w:val="none"/>
          <w:lang w:val="es-CR"/>
        </w:rPr>
        <w:t>)</w:t>
      </w:r>
      <w:r w:rsidRPr="00B47EB8">
        <w:rPr>
          <w:sz w:val="16"/>
          <w:szCs w:val="16"/>
          <w:lang w:val="es-CR"/>
        </w:rPr>
        <w:t>.</w:t>
      </w:r>
      <w:r w:rsidRPr="00BC57A2">
        <w:rPr>
          <w:sz w:val="16"/>
          <w:szCs w:val="16"/>
          <w:lang w:val="es-CR"/>
        </w:rPr>
        <w:t xml:space="preserve"> El mapa 2 es un bosquejo que se inserta en la presente Sentencia a título meramente ilustrativo, por lo que no debe entenderse como una representación gráfica precisa de la extensión, forma o límites de las áreas que en él se señalan. El mapa 3 consta en el acervo probatorio (expediente de prueba, </w:t>
      </w:r>
      <w:r>
        <w:rPr>
          <w:sz w:val="16"/>
          <w:szCs w:val="16"/>
          <w:lang w:val="es-CR"/>
        </w:rPr>
        <w:t>expediente del trámite ante la Comisión</w:t>
      </w:r>
      <w:r w:rsidRPr="00BC57A2">
        <w:rPr>
          <w:sz w:val="16"/>
          <w:szCs w:val="16"/>
          <w:lang w:val="es-CR"/>
        </w:rPr>
        <w:t>, f. 3.415).</w:t>
      </w:r>
    </w:p>
    <w:p w14:paraId="1098FCA0" w14:textId="77777777" w:rsidR="0023585A" w:rsidRPr="00BC57A2" w:rsidRDefault="0023585A" w:rsidP="009805F2">
      <w:pPr>
        <w:pStyle w:val="Textonotapie"/>
        <w:rPr>
          <w:sz w:val="16"/>
          <w:szCs w:val="16"/>
          <w:lang w:val="es-CR"/>
        </w:rPr>
      </w:pPr>
    </w:p>
  </w:footnote>
  <w:footnote w:id="33">
    <w:p w14:paraId="58202D89"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Cfr.</w:t>
      </w:r>
      <w:r w:rsidRPr="00BC57A2">
        <w:rPr>
          <w:sz w:val="16"/>
          <w:szCs w:val="16"/>
          <w:lang w:val="es-CR"/>
        </w:rPr>
        <w:t xml:space="preserve"> “Antecedentes relativos a las tierras públicas del Lote Fiscal 55. Área Pilcomayo. Provincia de Salta”. Documento emitido por el Gobierno de la Provincia de Salta. Expediente de prueba, anexo 4.A al escrito de solicitudes y argumentos, fs. 29.450 a 29.674.</w:t>
      </w:r>
    </w:p>
    <w:p w14:paraId="657FCF70" w14:textId="77777777" w:rsidR="0023585A" w:rsidRPr="00BC57A2" w:rsidRDefault="0023585A" w:rsidP="009805F2">
      <w:pPr>
        <w:pStyle w:val="Textonotapie"/>
        <w:rPr>
          <w:sz w:val="16"/>
          <w:szCs w:val="16"/>
          <w:lang w:val="es-CR"/>
        </w:rPr>
      </w:pPr>
    </w:p>
  </w:footnote>
  <w:footnote w:id="34">
    <w:p w14:paraId="7345E063" w14:textId="77777777" w:rsidR="0023585A" w:rsidRPr="00BC57A2" w:rsidRDefault="0023585A" w:rsidP="009805F2">
      <w:pPr>
        <w:spacing w:after="0" w:line="240" w:lineRule="auto"/>
        <w:jc w:val="both"/>
        <w:rPr>
          <w:rFonts w:ascii="Verdana" w:hAnsi="Verdana"/>
          <w:sz w:val="16"/>
          <w:szCs w:val="16"/>
        </w:rPr>
      </w:pPr>
      <w:r w:rsidRPr="00BC57A2">
        <w:rPr>
          <w:rStyle w:val="Refdenotaalpie"/>
          <w:rFonts w:ascii="Verdana" w:hAnsi="Verdana"/>
          <w:sz w:val="16"/>
          <w:szCs w:val="16"/>
        </w:rPr>
        <w:footnoteRef/>
      </w:r>
      <w:r w:rsidRPr="00BC57A2">
        <w:rPr>
          <w:rFonts w:ascii="Verdana" w:hAnsi="Verdana"/>
          <w:sz w:val="16"/>
          <w:szCs w:val="16"/>
        </w:rPr>
        <w:t xml:space="preserve"> </w:t>
      </w:r>
      <w:r w:rsidRPr="00BC57A2">
        <w:rPr>
          <w:rFonts w:ascii="Verdana" w:hAnsi="Verdana"/>
          <w:sz w:val="16"/>
          <w:szCs w:val="16"/>
        </w:rPr>
        <w:tab/>
        <w:t xml:space="preserve">En cuanto al carácter nómade, explicó la perita Naharro “[t]radicionalmente estas comunidades tenían recorridos anuales y diarios”. Afirmó que “[l]os recorridos anuales son aquellos que implican una movilización de toda la familia hacia otro sitio de asentamiento desde el cual hacer las incursiones diarias”, lo que es menos “vigen[te]” en la actualidad “por el proceso de sedentarización relacionado a los servicios de agua, escuela, etc.”.El escrito de </w:t>
      </w:r>
      <w:r w:rsidRPr="00BC57A2">
        <w:rPr>
          <w:rFonts w:ascii="Verdana" w:hAnsi="Verdana"/>
          <w:i/>
          <w:sz w:val="16"/>
          <w:szCs w:val="16"/>
        </w:rPr>
        <w:t>amicus curiae</w:t>
      </w:r>
      <w:r w:rsidRPr="00BC57A2">
        <w:rPr>
          <w:rFonts w:ascii="Verdana" w:hAnsi="Verdana"/>
          <w:sz w:val="16"/>
          <w:szCs w:val="16"/>
        </w:rPr>
        <w:t xml:space="preserve"> remitido por Tierraviva, afirma que los “colectivos humanos” de los pueblos indígenas del caso “están en permanente creación, reproducción y transformación”, y que incluyen “formas de organización familiares, comunitarias y por pueblos homogéneos” y, “además […] redes de alianzas parentales e intergrupales, y aún interétnicas”. El mismo documento explica que “lo que acompaña a un crecimiento demográfico es un crecimiento de poblamientos y aldeas, más permanentes o más transitorias, lo cual hace absurdo su reducción a comunidades individualmente separadas y demarcadas por límites fijos”. </w:t>
      </w:r>
    </w:p>
    <w:p w14:paraId="5ABE3AF6" w14:textId="77777777" w:rsidR="0023585A" w:rsidRPr="00BC57A2" w:rsidRDefault="0023585A" w:rsidP="009805F2">
      <w:pPr>
        <w:spacing w:after="0" w:line="240" w:lineRule="auto"/>
        <w:jc w:val="both"/>
        <w:rPr>
          <w:rFonts w:ascii="Verdana" w:hAnsi="Verdana"/>
          <w:sz w:val="16"/>
          <w:szCs w:val="16"/>
          <w:lang w:val="es-ES"/>
        </w:rPr>
      </w:pPr>
    </w:p>
  </w:footnote>
  <w:footnote w:id="35">
    <w:p w14:paraId="4EE8D917" w14:textId="152E4CCD" w:rsidR="0023585A" w:rsidRPr="00BC57A2" w:rsidRDefault="0023585A" w:rsidP="009805F2">
      <w:pPr>
        <w:pStyle w:val="Textonotapie"/>
        <w:rPr>
          <w:b/>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La perita Buliubasich describió un proceso de “ocupación” de la región del Chaco que se dio entre 1884 y 1917, destacando la fundación de Colonia de Buena</w:t>
      </w:r>
      <w:r>
        <w:rPr>
          <w:sz w:val="16"/>
          <w:szCs w:val="16"/>
          <w:lang w:val="es-CR"/>
        </w:rPr>
        <w:t>v</w:t>
      </w:r>
      <w:r w:rsidRPr="00BC57A2">
        <w:rPr>
          <w:sz w:val="16"/>
          <w:szCs w:val="16"/>
          <w:lang w:val="es-CR"/>
        </w:rPr>
        <w:t xml:space="preserve">entura en 1902. </w:t>
      </w:r>
    </w:p>
    <w:p w14:paraId="55DD2C82" w14:textId="77777777" w:rsidR="0023585A" w:rsidRPr="00BC57A2" w:rsidRDefault="0023585A" w:rsidP="009805F2">
      <w:pPr>
        <w:pStyle w:val="Textonotapie"/>
        <w:rPr>
          <w:sz w:val="16"/>
          <w:szCs w:val="16"/>
          <w:lang w:val="es-CR"/>
        </w:rPr>
      </w:pPr>
    </w:p>
  </w:footnote>
  <w:footnote w:id="36">
    <w:p w14:paraId="2101594F" w14:textId="77777777" w:rsidR="0023585A" w:rsidRPr="00BC57A2" w:rsidRDefault="0023585A" w:rsidP="009805F2">
      <w:pPr>
        <w:pStyle w:val="Textonotapie"/>
        <w:rPr>
          <w:b/>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Cfr.</w:t>
      </w:r>
      <w:r w:rsidRPr="00BC57A2">
        <w:rPr>
          <w:sz w:val="16"/>
          <w:szCs w:val="16"/>
          <w:lang w:val="es-CR"/>
        </w:rPr>
        <w:t xml:space="preserve"> “Antecedentes relativos a las tierras públicas del Lote Fiscal 55. Área Pilcomayo. Provincia de Salta”.</w:t>
      </w:r>
    </w:p>
    <w:p w14:paraId="4BCBFC9F" w14:textId="77777777" w:rsidR="0023585A" w:rsidRPr="00BC57A2" w:rsidRDefault="0023585A" w:rsidP="009805F2">
      <w:pPr>
        <w:pStyle w:val="Textonotapie"/>
        <w:rPr>
          <w:sz w:val="16"/>
          <w:szCs w:val="16"/>
          <w:lang w:val="es-CR"/>
        </w:rPr>
      </w:pPr>
    </w:p>
  </w:footnote>
  <w:footnote w:id="37">
    <w:p w14:paraId="6BA74031" w14:textId="77777777" w:rsidR="0023585A" w:rsidRPr="00BC57A2" w:rsidRDefault="0023585A" w:rsidP="009805F2">
      <w:pPr>
        <w:pStyle w:val="Textonotapie"/>
        <w:rPr>
          <w:sz w:val="16"/>
          <w:szCs w:val="16"/>
          <w:lang w:val="es-ES"/>
        </w:rPr>
      </w:pPr>
      <w:r w:rsidRPr="00BC57A2">
        <w:rPr>
          <w:rStyle w:val="Refdenotaalpie"/>
          <w:sz w:val="16"/>
          <w:szCs w:val="16"/>
        </w:rPr>
        <w:footnoteRef/>
      </w:r>
      <w:r w:rsidRPr="00BC57A2">
        <w:rPr>
          <w:sz w:val="16"/>
          <w:szCs w:val="16"/>
          <w:lang w:val="es-ES"/>
        </w:rPr>
        <w:t xml:space="preserve"> </w:t>
      </w:r>
      <w:r w:rsidRPr="00BC57A2">
        <w:rPr>
          <w:sz w:val="16"/>
          <w:szCs w:val="16"/>
          <w:lang w:val="es-ES"/>
        </w:rPr>
        <w:tab/>
        <w:t xml:space="preserve">Durante la diligencia </w:t>
      </w:r>
      <w:r w:rsidRPr="00BC57A2">
        <w:rPr>
          <w:i/>
          <w:sz w:val="16"/>
          <w:szCs w:val="16"/>
          <w:lang w:val="es-ES"/>
        </w:rPr>
        <w:t>in situ</w:t>
      </w:r>
      <w:r w:rsidRPr="00BC57A2">
        <w:rPr>
          <w:sz w:val="16"/>
          <w:szCs w:val="16"/>
          <w:lang w:val="es-ES"/>
        </w:rPr>
        <w:t xml:space="preserve"> fueron observados alambrados. La presencia de los cercados, así como que “se encuentran en territorio indígena” y que hay alambrados que pertenecen a “familias criollas”, fue indicada por el Estado en su contestación. Ver también Carrasco, Morita y Briones, Claudia, “La tierra que nos quitaron” Documento IWGIA No. 18. Expediente de prueba, anexo A.5 al escrito de solicitudes y argumentos y </w:t>
      </w:r>
      <w:r w:rsidRPr="00BC57A2">
        <w:rPr>
          <w:sz w:val="16"/>
          <w:szCs w:val="16"/>
          <w:lang w:val="es-CR"/>
        </w:rPr>
        <w:t xml:space="preserve">anexo 7 al Informe de Fondo, fs. 103 a 115 y </w:t>
      </w:r>
      <w:r w:rsidRPr="00BC57A2">
        <w:rPr>
          <w:sz w:val="16"/>
          <w:szCs w:val="16"/>
          <w:lang w:val="es-ES"/>
        </w:rPr>
        <w:t xml:space="preserve">29.676 a 29.704. </w:t>
      </w:r>
    </w:p>
    <w:p w14:paraId="0A568F3D" w14:textId="77777777" w:rsidR="0023585A" w:rsidRPr="00BC57A2" w:rsidRDefault="0023585A" w:rsidP="009805F2">
      <w:pPr>
        <w:pStyle w:val="Textonotapie"/>
        <w:rPr>
          <w:sz w:val="16"/>
          <w:szCs w:val="16"/>
          <w:lang w:val="es-CR"/>
        </w:rPr>
      </w:pPr>
    </w:p>
  </w:footnote>
  <w:footnote w:id="38">
    <w:p w14:paraId="35C1DF51" w14:textId="77777777" w:rsidR="0023585A" w:rsidRPr="00BC57A2" w:rsidRDefault="0023585A" w:rsidP="009805F2">
      <w:pPr>
        <w:pStyle w:val="Textonotapie"/>
        <w:rPr>
          <w:sz w:val="16"/>
          <w:szCs w:val="16"/>
          <w:lang w:val="es-A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sz w:val="16"/>
          <w:szCs w:val="16"/>
          <w:lang w:val="es-AR"/>
        </w:rPr>
        <w:t>Como entidad descentralizada con participación indígena y dependiente del Ministerio de Salud y Acción Social. La ley 23.302 fue modificada en 2003 por la ley 25.799, en aspectos no relevantes en este caso.</w:t>
      </w:r>
    </w:p>
    <w:p w14:paraId="69A0FD31" w14:textId="77777777" w:rsidR="0023585A" w:rsidRPr="00BC57A2" w:rsidRDefault="0023585A" w:rsidP="009805F2">
      <w:pPr>
        <w:pStyle w:val="Textonotapie"/>
        <w:rPr>
          <w:sz w:val="16"/>
          <w:szCs w:val="16"/>
          <w:lang w:val="es-CR"/>
        </w:rPr>
      </w:pPr>
    </w:p>
  </w:footnote>
  <w:footnote w:id="39">
    <w:p w14:paraId="601E27AD" w14:textId="77777777" w:rsidR="0023585A" w:rsidRPr="00BC57A2" w:rsidRDefault="0023585A" w:rsidP="009805F2">
      <w:pPr>
        <w:pStyle w:val="Prrafodelista"/>
        <w:autoSpaceDE w:val="0"/>
        <w:autoSpaceDN w:val="0"/>
        <w:adjustRightInd w:val="0"/>
        <w:spacing w:after="0" w:line="240" w:lineRule="auto"/>
        <w:ind w:left="0"/>
        <w:jc w:val="both"/>
        <w:rPr>
          <w:rFonts w:ascii="Verdana" w:hAnsi="Verdana"/>
          <w:sz w:val="16"/>
          <w:szCs w:val="16"/>
          <w:lang w:val="es-AR"/>
        </w:rPr>
      </w:pPr>
      <w:r w:rsidRPr="00BC57A2">
        <w:rPr>
          <w:rStyle w:val="Refdenotaalpie"/>
          <w:rFonts w:ascii="Verdana" w:hAnsi="Verdana"/>
          <w:sz w:val="16"/>
          <w:szCs w:val="16"/>
        </w:rPr>
        <w:footnoteRef/>
      </w:r>
      <w:r w:rsidRPr="00BC57A2">
        <w:rPr>
          <w:rFonts w:ascii="Verdana" w:hAnsi="Verdana"/>
          <w:sz w:val="16"/>
          <w:szCs w:val="16"/>
        </w:rPr>
        <w:t xml:space="preserve"> </w:t>
      </w:r>
      <w:r w:rsidRPr="00BC57A2">
        <w:rPr>
          <w:rFonts w:ascii="Verdana" w:hAnsi="Verdana"/>
          <w:sz w:val="16"/>
          <w:szCs w:val="16"/>
        </w:rPr>
        <w:tab/>
      </w:r>
      <w:r w:rsidRPr="00BC57A2">
        <w:rPr>
          <w:rFonts w:ascii="Verdana" w:hAnsi="Verdana"/>
          <w:sz w:val="16"/>
          <w:szCs w:val="16"/>
          <w:lang w:val="es-AR"/>
        </w:rPr>
        <w:t xml:space="preserve">La ley no aborda la cuestión de tierras detentadas por particulares. La Corte no se referirá a este aspecto por no ser relevante para el caso. </w:t>
      </w:r>
    </w:p>
    <w:p w14:paraId="7FE500BE" w14:textId="77777777" w:rsidR="0023585A" w:rsidRPr="00BC57A2" w:rsidRDefault="0023585A" w:rsidP="009805F2">
      <w:pPr>
        <w:pStyle w:val="Prrafodelista"/>
        <w:autoSpaceDE w:val="0"/>
        <w:autoSpaceDN w:val="0"/>
        <w:adjustRightInd w:val="0"/>
        <w:spacing w:after="0" w:line="240" w:lineRule="auto"/>
        <w:ind w:left="0"/>
        <w:jc w:val="both"/>
        <w:rPr>
          <w:rFonts w:ascii="Verdana" w:hAnsi="Verdana"/>
          <w:sz w:val="16"/>
          <w:szCs w:val="16"/>
        </w:rPr>
      </w:pPr>
    </w:p>
  </w:footnote>
  <w:footnote w:id="40">
    <w:p w14:paraId="0F5A849E"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El Decreto 155/1989 fue modificado por el Decreto 791/2012 de 23 de mayo de 2012, en aspectos no relevantes para el examen que se realiza en esta Sentencia.</w:t>
      </w:r>
    </w:p>
    <w:p w14:paraId="1E9E6429" w14:textId="77777777" w:rsidR="0023585A" w:rsidRPr="00BC57A2" w:rsidRDefault="0023585A" w:rsidP="009805F2">
      <w:pPr>
        <w:pStyle w:val="Textonotapie"/>
        <w:rPr>
          <w:sz w:val="16"/>
          <w:szCs w:val="16"/>
          <w:lang w:val="es-CR"/>
        </w:rPr>
      </w:pPr>
    </w:p>
  </w:footnote>
  <w:footnote w:id="41">
    <w:p w14:paraId="3D754CAA" w14:textId="55AA4552"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 xml:space="preserve">El Convenio 169 fue ratificado el 3 de julio de 2000. Antes, en 1960, se había ratificado el Convenio 107 de la OIT sobre poblaciones indígenas y tribuales. El Convenio 107 de la OIT había sido antes aprobado por Argentina mediante la ley 14.932 promulgada el 15 de diciembre de 1959. Se produjo </w:t>
      </w:r>
      <w:r>
        <w:rPr>
          <w:sz w:val="16"/>
          <w:szCs w:val="16"/>
          <w:lang w:val="es-CR"/>
        </w:rPr>
        <w:t>la</w:t>
      </w:r>
      <w:r w:rsidRPr="00BC57A2">
        <w:rPr>
          <w:sz w:val="16"/>
          <w:szCs w:val="16"/>
          <w:lang w:val="es-CR"/>
        </w:rPr>
        <w:t xml:space="preserve"> denuncia automática del Convenio 107 de la OIT por la ratificación del país del Convenio 169.</w:t>
      </w:r>
    </w:p>
    <w:p w14:paraId="580AF271" w14:textId="77777777" w:rsidR="0023585A" w:rsidRPr="00BC57A2" w:rsidRDefault="0023585A" w:rsidP="009805F2">
      <w:pPr>
        <w:pStyle w:val="Textonotapie"/>
        <w:rPr>
          <w:sz w:val="16"/>
          <w:szCs w:val="16"/>
          <w:lang w:val="es-CR"/>
        </w:rPr>
      </w:pPr>
    </w:p>
  </w:footnote>
  <w:footnote w:id="42">
    <w:p w14:paraId="3703CD57"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Después, la ley nacional 24.430, sancionada el 15 de diciembre de 1994 y promulgada el 3 de enero de 1995, ordenó la “publicación del texto oficial de la Constitución Nacional (sancionada en 1853 con las reformas de los años 1860, 1866, 1898, 1957 y 1994)”.</w:t>
      </w:r>
    </w:p>
    <w:p w14:paraId="27E958DA" w14:textId="77777777" w:rsidR="0023585A" w:rsidRPr="00BC57A2" w:rsidRDefault="0023585A" w:rsidP="009805F2">
      <w:pPr>
        <w:pStyle w:val="Textonotapie"/>
        <w:rPr>
          <w:sz w:val="16"/>
          <w:szCs w:val="16"/>
          <w:lang w:val="es-CR"/>
        </w:rPr>
      </w:pPr>
    </w:p>
  </w:footnote>
  <w:footnote w:id="43">
    <w:p w14:paraId="3E02594B" w14:textId="77777777" w:rsidR="0023585A" w:rsidRPr="00BC57A2" w:rsidRDefault="0023585A" w:rsidP="009805F2">
      <w:pPr>
        <w:pStyle w:val="Prrafodelista"/>
        <w:autoSpaceDE w:val="0"/>
        <w:autoSpaceDN w:val="0"/>
        <w:adjustRightInd w:val="0"/>
        <w:spacing w:after="0" w:line="240" w:lineRule="auto"/>
        <w:ind w:left="0"/>
        <w:jc w:val="both"/>
        <w:rPr>
          <w:rFonts w:ascii="Verdana" w:hAnsi="Verdana" w:cs="Arial Narrow"/>
          <w:sz w:val="16"/>
          <w:szCs w:val="16"/>
          <w:lang w:val="es-AR"/>
        </w:rPr>
      </w:pPr>
      <w:r w:rsidRPr="00BC57A2">
        <w:rPr>
          <w:rStyle w:val="Refdenotaalpie"/>
          <w:rFonts w:ascii="Verdana" w:hAnsi="Verdana"/>
          <w:sz w:val="16"/>
          <w:szCs w:val="16"/>
        </w:rPr>
        <w:footnoteRef/>
      </w:r>
      <w:r w:rsidRPr="00BC57A2">
        <w:rPr>
          <w:rFonts w:ascii="Verdana" w:hAnsi="Verdana"/>
          <w:sz w:val="16"/>
          <w:szCs w:val="16"/>
        </w:rPr>
        <w:t xml:space="preserve"> </w:t>
      </w:r>
      <w:r w:rsidRPr="00BC57A2">
        <w:rPr>
          <w:rFonts w:ascii="Verdana" w:hAnsi="Verdana"/>
          <w:sz w:val="16"/>
          <w:szCs w:val="16"/>
        </w:rPr>
        <w:tab/>
      </w:r>
      <w:r w:rsidRPr="00BC57A2">
        <w:rPr>
          <w:rFonts w:ascii="Verdana" w:hAnsi="Verdana" w:cs="Arial"/>
          <w:sz w:val="16"/>
          <w:szCs w:val="16"/>
          <w:lang w:val="es-ES"/>
        </w:rPr>
        <w:t xml:space="preserve">Los fundamentos referidos señalaron que las comunidades indígenas son “víctimas de desalojos o turbaciones en su real posesión [de las tierras]. Esta circunstancia hace que las soluciones intentadas a través de las diversas políticas resulten tardías, ineficaces o meramente paliativas de una situación territorial agravada por el desalojo o la turbación sufrida por la comunidad”. Además, dieron cuenta de obstáculos frecuentes de las comunidades para acceder a la justicia. En ese sentido, explicaron que el INAI había “creado un ‘Programa [de] Fortalecimiento Comunitario y Acceso a la Justicia’ [mediante la] </w:t>
      </w:r>
      <w:r w:rsidRPr="00BC57A2">
        <w:rPr>
          <w:rFonts w:ascii="Verdana" w:hAnsi="Verdana" w:cs="Arial Narrow"/>
          <w:sz w:val="16"/>
          <w:szCs w:val="16"/>
          <w:lang w:val="es-AR"/>
        </w:rPr>
        <w:t xml:space="preserve">Resolución Nro. 235/04, [por] el cual se subsidia a la [c]omunidad [i]ndígena que lo solicite, para afrontar los gastos que demanden la defensa o promoción de las acciones jurídicas que tengan como objetivo la regularización dominial de las tierras […] o la defensa de la posesión, como así también todo otro tipo de acción tendiente a fortalecer la posesión territorial”. Aseveraron dichos fundamentos que “[n]o obstante lo anterior” las comunidades se encuentran en “franca desventaja” frente a la acción de terceros, y señaló que “[e]llo se manifiesta en numerosas declaraciones judiciales de rebeldía en diversos procesos de desalojos que se les inicia, dificultades en ejercer el derecho de defensa ante Tribunales que a veces están sumamente lejanos, notificaciones de acciones judiciales que no logran interpretar, dificultad en acceder a su defensa legal o a un asesoramiento oportuno, desalojos de hecho, invasiones en el espacio territorial por parte de terceros, desmonte del territorio, irrupciones violentas, adjudicación como simples tenedores de las tierras por parte de los organismos provinciales que regulan el acceso a tierras fiscales, traspaso dominiales de las tierras que siempre ocuparon, dificultades de acceder a las indemnizaciones cuando el territorio es afectado por una traza de gasoducto, oleoducto, estudios petroleros, etc”. El perito Solá destacó la importancia de la ley 26.160 como “herramienta” para suspender desalojos, pero indicó que el procedimiento establecido por la ley y sus reglamentaciones “concluye con una resolución administrativa” que no es apta para “reconoce[r] títulos de propiedad”. Lo mismo se afirmó en el escrito de </w:t>
      </w:r>
      <w:r w:rsidRPr="00BC57A2">
        <w:rPr>
          <w:rFonts w:ascii="Verdana" w:hAnsi="Verdana" w:cs="Arial Narrow"/>
          <w:i/>
          <w:sz w:val="16"/>
          <w:szCs w:val="16"/>
          <w:lang w:val="es-AR"/>
        </w:rPr>
        <w:t>amicus curiae</w:t>
      </w:r>
      <w:r w:rsidRPr="00BC57A2">
        <w:rPr>
          <w:rFonts w:ascii="Verdana" w:hAnsi="Verdana" w:cs="Arial Narrow"/>
          <w:sz w:val="16"/>
          <w:szCs w:val="16"/>
          <w:lang w:val="es-AR"/>
        </w:rPr>
        <w:t xml:space="preserve"> presentado por AADI y SERPAJ. </w:t>
      </w:r>
    </w:p>
    <w:p w14:paraId="7B2871A0" w14:textId="77777777" w:rsidR="0023585A" w:rsidRPr="00BC57A2" w:rsidRDefault="0023585A" w:rsidP="009805F2">
      <w:pPr>
        <w:pStyle w:val="Prrafodelista"/>
        <w:autoSpaceDE w:val="0"/>
        <w:autoSpaceDN w:val="0"/>
        <w:adjustRightInd w:val="0"/>
        <w:spacing w:after="0" w:line="240" w:lineRule="auto"/>
        <w:ind w:left="0"/>
        <w:jc w:val="both"/>
        <w:rPr>
          <w:rFonts w:ascii="Verdana" w:hAnsi="Verdana"/>
          <w:sz w:val="16"/>
          <w:szCs w:val="16"/>
          <w:lang w:val="es-AR"/>
        </w:rPr>
      </w:pPr>
    </w:p>
  </w:footnote>
  <w:footnote w:id="44">
    <w:p w14:paraId="599C1018" w14:textId="77777777" w:rsidR="0023585A" w:rsidRPr="00BC57A2" w:rsidRDefault="0023585A" w:rsidP="009805F2">
      <w:pPr>
        <w:autoSpaceDE w:val="0"/>
        <w:autoSpaceDN w:val="0"/>
        <w:adjustRightInd w:val="0"/>
        <w:spacing w:after="0" w:line="240" w:lineRule="auto"/>
        <w:jc w:val="both"/>
        <w:rPr>
          <w:rFonts w:ascii="Verdana" w:hAnsi="Verdana"/>
          <w:sz w:val="16"/>
          <w:szCs w:val="16"/>
        </w:rPr>
      </w:pPr>
      <w:r w:rsidRPr="00BC57A2">
        <w:rPr>
          <w:rStyle w:val="Refdenotaalpie"/>
          <w:rFonts w:ascii="Verdana" w:hAnsi="Verdana"/>
          <w:sz w:val="16"/>
          <w:szCs w:val="16"/>
        </w:rPr>
        <w:footnoteRef/>
      </w:r>
      <w:r w:rsidRPr="00BC57A2">
        <w:rPr>
          <w:rFonts w:ascii="Verdana" w:hAnsi="Verdana"/>
          <w:sz w:val="16"/>
          <w:szCs w:val="16"/>
          <w:lang w:val="es-AR"/>
        </w:rPr>
        <w:t xml:space="preserve"> </w:t>
      </w:r>
      <w:r w:rsidRPr="00BC57A2">
        <w:rPr>
          <w:rFonts w:ascii="Verdana" w:hAnsi="Verdana"/>
          <w:sz w:val="16"/>
          <w:szCs w:val="16"/>
          <w:lang w:val="es-AR"/>
        </w:rPr>
        <w:tab/>
        <w:t xml:space="preserve">Fue prorrogada por las leyes, 26.554, 26.894 y 27.400, publicadas en el Boletín Oficial, respectivamente, el 11 de diciembre de 2009, el 21 de octubre de 2013 y el 23 de noviembre de 2017. La </w:t>
      </w:r>
      <w:r w:rsidRPr="00BC57A2">
        <w:rPr>
          <w:rFonts w:ascii="Verdana" w:hAnsi="Verdana"/>
          <w:sz w:val="16"/>
          <w:szCs w:val="16"/>
        </w:rPr>
        <w:t>Ley 26.160 fue reglamentada por el Decreto 1122/07, publicado el 27 de agosto de 2007, que designó al INAI como Autoridad de aplicación. La Resolución 587/2007 del INAI, de 25 de octubre de 2007 creo el Programa Nacional de "Relevamiento Territorial de Comunidades Indígenas - Ejecución de la Ley Nº 26.160".</w:t>
      </w:r>
    </w:p>
    <w:p w14:paraId="5322440E" w14:textId="77777777" w:rsidR="0023585A" w:rsidRPr="00BC57A2" w:rsidRDefault="0023585A" w:rsidP="009805F2">
      <w:pPr>
        <w:autoSpaceDE w:val="0"/>
        <w:autoSpaceDN w:val="0"/>
        <w:adjustRightInd w:val="0"/>
        <w:spacing w:after="0" w:line="240" w:lineRule="auto"/>
        <w:jc w:val="both"/>
        <w:rPr>
          <w:rFonts w:ascii="Verdana" w:hAnsi="Verdana"/>
          <w:sz w:val="16"/>
          <w:szCs w:val="16"/>
          <w:lang w:val="es-AR"/>
        </w:rPr>
      </w:pPr>
    </w:p>
  </w:footnote>
  <w:footnote w:id="45">
    <w:p w14:paraId="6499B708"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AR"/>
        </w:rPr>
        <w:t xml:space="preserve"> </w:t>
      </w:r>
      <w:r w:rsidRPr="00BC57A2">
        <w:rPr>
          <w:sz w:val="16"/>
          <w:szCs w:val="16"/>
          <w:lang w:val="es-AR"/>
        </w:rPr>
        <w:tab/>
      </w:r>
      <w:r w:rsidRPr="00BC57A2">
        <w:rPr>
          <w:i/>
          <w:sz w:val="16"/>
          <w:szCs w:val="16"/>
          <w:lang w:val="es-AR"/>
        </w:rPr>
        <w:t>Cfr</w:t>
      </w:r>
      <w:r w:rsidRPr="00BC57A2">
        <w:rPr>
          <w:sz w:val="16"/>
          <w:szCs w:val="16"/>
          <w:lang w:val="es-AR"/>
        </w:rPr>
        <w:t xml:space="preserve">. </w:t>
      </w:r>
      <w:r w:rsidRPr="00BC57A2">
        <w:rPr>
          <w:sz w:val="16"/>
          <w:szCs w:val="16"/>
          <w:lang w:val="es-CR"/>
        </w:rPr>
        <w:t>Resolución 328/2019 del INAI, emitida el 19 de julio de 2010. Expediente de prueba, anexos a los alegatos finales del Estado, fs. 37.058 a 37.066.</w:t>
      </w:r>
    </w:p>
    <w:p w14:paraId="780FA7F6" w14:textId="77777777" w:rsidR="0023585A" w:rsidRPr="00BC57A2" w:rsidRDefault="0023585A" w:rsidP="009805F2">
      <w:pPr>
        <w:pStyle w:val="Textonotapie"/>
        <w:rPr>
          <w:sz w:val="16"/>
          <w:szCs w:val="16"/>
          <w:lang w:val="es-CR"/>
        </w:rPr>
      </w:pPr>
    </w:p>
  </w:footnote>
  <w:footnote w:id="46">
    <w:p w14:paraId="0BAB8474" w14:textId="4BC53159" w:rsidR="0023585A" w:rsidRPr="00BC57A2" w:rsidRDefault="0023585A" w:rsidP="009805F2">
      <w:pPr>
        <w:pStyle w:val="Textonotapie"/>
        <w:tabs>
          <w:tab w:val="left" w:pos="360"/>
        </w:tabs>
        <w:rPr>
          <w:sz w:val="16"/>
          <w:szCs w:val="16"/>
          <w:lang w:val="es-ES"/>
        </w:rPr>
      </w:pPr>
      <w:r w:rsidRPr="00BC57A2">
        <w:rPr>
          <w:rStyle w:val="Refdenotaalpie"/>
          <w:sz w:val="16"/>
          <w:szCs w:val="16"/>
        </w:rPr>
        <w:footnoteRef/>
      </w:r>
      <w:r w:rsidRPr="00BC57A2">
        <w:rPr>
          <w:sz w:val="16"/>
          <w:szCs w:val="16"/>
          <w:lang w:val="es-ES"/>
        </w:rPr>
        <w:t xml:space="preserve"> </w:t>
      </w:r>
      <w:r w:rsidRPr="00BC57A2">
        <w:rPr>
          <w:sz w:val="16"/>
          <w:szCs w:val="16"/>
          <w:lang w:val="es-ES"/>
        </w:rPr>
        <w:tab/>
      </w:r>
      <w:r w:rsidRPr="00BC57A2">
        <w:rPr>
          <w:sz w:val="16"/>
          <w:szCs w:val="16"/>
          <w:lang w:val="es-ES"/>
        </w:rPr>
        <w:tab/>
        <w:t xml:space="preserve">Publicación “La tierra que nos quitaron”, de Morita Carrasco y Claudia Briones. Documento </w:t>
      </w:r>
      <w:r w:rsidRPr="00BC57A2">
        <w:rPr>
          <w:sz w:val="16"/>
          <w:szCs w:val="16"/>
          <w:lang w:val="es-CR"/>
        </w:rPr>
        <w:t>IWGIA</w:t>
      </w:r>
      <w:r>
        <w:rPr>
          <w:sz w:val="16"/>
          <w:szCs w:val="16"/>
          <w:lang w:val="es-ES"/>
        </w:rPr>
        <w:t xml:space="preserve"> No. 18</w:t>
      </w:r>
      <w:r w:rsidRPr="00BC57A2">
        <w:rPr>
          <w:sz w:val="16"/>
          <w:szCs w:val="16"/>
          <w:lang w:val="es-ES"/>
        </w:rPr>
        <w:t xml:space="preserve">. Este hecho se produjo antes de que, el 5 de septiembre de 1984, Argentina ratificara la Convención y aceptara la competencia de la Corte. Por ello, se señala sólo como un antecedente que permite comprender los hechos propios del caso, pero se aclara que este Tribunal no evalúa la conducta estatal teniendo en cuenta circunstancias anteriores al 5 de septiembre de 1984. </w:t>
      </w:r>
    </w:p>
    <w:p w14:paraId="4E0501D3" w14:textId="77777777" w:rsidR="0023585A" w:rsidRPr="00BC57A2" w:rsidRDefault="0023585A" w:rsidP="009805F2">
      <w:pPr>
        <w:pStyle w:val="Textonotapie"/>
        <w:tabs>
          <w:tab w:val="left" w:pos="360"/>
        </w:tabs>
        <w:rPr>
          <w:sz w:val="16"/>
          <w:szCs w:val="16"/>
          <w:lang w:val="es-ES"/>
        </w:rPr>
      </w:pPr>
    </w:p>
  </w:footnote>
  <w:footnote w:id="47">
    <w:p w14:paraId="3123D185"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Esto se previó en la ley provincial 6.469 de 1987 (expediente de prueba, anexo B.3 al escrito de solicitudes y argumentos, fs. 29.738 a 29.740). Surge de la prueba que con anterioridad la presencia indígena en el lugar, desde el punto de vista de la legalidad formal, presentaba dos modalidades: ocupación de hecho (carencia de título legal alguno) y ocupaciones con derecho de usufructo o reserva. Durante 1971 y 1972, a partir del Decreto Provincial 2293 de 1971 de creación de “Reservas indígenas provinciales”, Salta otorgó “permisos de usufructo” a algunas comunidades indígenas (por ejemplo, las comunidades Santa María y Misión La Paz). También se indicó que respecto al lote 55 resultaban relevantes las leyes provinciales 3.844 y 4.086, de 1964 y 1965, que establecieron políticas de “colonización”, legislando “a favor de los criollos” y dictadas bajo una orientación “desarrollista integracionista”. (</w:t>
      </w:r>
      <w:r w:rsidRPr="00BC57A2">
        <w:rPr>
          <w:i/>
          <w:sz w:val="16"/>
          <w:szCs w:val="16"/>
          <w:lang w:val="es-CR"/>
        </w:rPr>
        <w:t>Cfr.</w:t>
      </w:r>
      <w:r w:rsidRPr="00BC57A2">
        <w:rPr>
          <w:sz w:val="16"/>
          <w:szCs w:val="16"/>
          <w:lang w:val="es-CR"/>
        </w:rPr>
        <w:t xml:space="preserve"> </w:t>
      </w:r>
      <w:r w:rsidRPr="00BC57A2">
        <w:rPr>
          <w:sz w:val="16"/>
          <w:szCs w:val="16"/>
          <w:lang w:val="es-ES"/>
        </w:rPr>
        <w:t>Carrasco, Morita y Briones, Claudia, “La tierra que nos quitaron” Documento IWGIA No. 18.</w:t>
      </w:r>
      <w:r w:rsidRPr="00BC57A2">
        <w:rPr>
          <w:sz w:val="16"/>
          <w:szCs w:val="16"/>
          <w:lang w:val="es-CR"/>
        </w:rPr>
        <w:t xml:space="preserve">) </w:t>
      </w:r>
    </w:p>
    <w:p w14:paraId="4629BB4D" w14:textId="77777777" w:rsidR="0023585A" w:rsidRPr="00BC57A2" w:rsidRDefault="0023585A" w:rsidP="009805F2">
      <w:pPr>
        <w:pStyle w:val="Textonotapie"/>
        <w:rPr>
          <w:b/>
          <w:sz w:val="16"/>
          <w:szCs w:val="16"/>
          <w:lang w:val="es-CR"/>
        </w:rPr>
      </w:pPr>
    </w:p>
  </w:footnote>
  <w:footnote w:id="48">
    <w:p w14:paraId="4A034699" w14:textId="77777777" w:rsidR="0023585A" w:rsidRPr="00BC57A2" w:rsidRDefault="0023585A" w:rsidP="009805F2">
      <w:pPr>
        <w:spacing w:after="0" w:line="240" w:lineRule="auto"/>
        <w:jc w:val="both"/>
        <w:rPr>
          <w:rFonts w:ascii="Verdana" w:hAnsi="Verdana"/>
          <w:sz w:val="16"/>
          <w:szCs w:val="16"/>
          <w:lang w:val="es-ES"/>
        </w:rPr>
      </w:pPr>
      <w:r w:rsidRPr="00BC57A2">
        <w:rPr>
          <w:rStyle w:val="Refdenotaalpie"/>
          <w:rFonts w:ascii="Verdana" w:hAnsi="Verdana"/>
          <w:sz w:val="16"/>
          <w:szCs w:val="16"/>
        </w:rPr>
        <w:footnoteRef/>
      </w:r>
      <w:r w:rsidRPr="00BC57A2">
        <w:rPr>
          <w:rFonts w:ascii="Verdana" w:hAnsi="Verdana"/>
          <w:sz w:val="16"/>
          <w:szCs w:val="16"/>
          <w:lang w:val="es-ES"/>
        </w:rPr>
        <w:t xml:space="preserve"> </w:t>
      </w:r>
      <w:r w:rsidRPr="00BC57A2">
        <w:rPr>
          <w:rFonts w:ascii="Verdana" w:hAnsi="Verdana"/>
          <w:sz w:val="16"/>
          <w:szCs w:val="16"/>
          <w:lang w:val="es-ES"/>
        </w:rPr>
        <w:tab/>
      </w:r>
      <w:r w:rsidRPr="00BC57A2">
        <w:rPr>
          <w:rFonts w:ascii="Verdana" w:hAnsi="Verdana"/>
          <w:i/>
          <w:sz w:val="16"/>
          <w:szCs w:val="16"/>
          <w:lang w:val="es-ES"/>
        </w:rPr>
        <w:t>Cfr.</w:t>
      </w:r>
      <w:r w:rsidRPr="00BC57A2">
        <w:rPr>
          <w:rFonts w:ascii="Verdana" w:hAnsi="Verdana"/>
          <w:sz w:val="16"/>
          <w:szCs w:val="16"/>
          <w:lang w:val="es-ES"/>
        </w:rPr>
        <w:t xml:space="preserve"> Publicación “La tierra que nos quitaron”, de Morita Carrasco y Claudia Briones. Documento </w:t>
      </w:r>
      <w:r w:rsidRPr="00BC57A2">
        <w:rPr>
          <w:rFonts w:ascii="Verdana" w:hAnsi="Verdana"/>
          <w:sz w:val="16"/>
          <w:szCs w:val="16"/>
        </w:rPr>
        <w:t>IWGIA</w:t>
      </w:r>
      <w:r w:rsidRPr="00BC57A2">
        <w:rPr>
          <w:rFonts w:ascii="Verdana" w:hAnsi="Verdana"/>
          <w:sz w:val="16"/>
          <w:szCs w:val="16"/>
          <w:lang w:val="es-ES"/>
        </w:rPr>
        <w:t xml:space="preserve"> No. 18. </w:t>
      </w:r>
    </w:p>
    <w:p w14:paraId="7AB83C50" w14:textId="77777777" w:rsidR="0023585A" w:rsidRPr="00BC57A2" w:rsidRDefault="0023585A" w:rsidP="009805F2">
      <w:pPr>
        <w:spacing w:after="0" w:line="240" w:lineRule="auto"/>
        <w:jc w:val="both"/>
        <w:rPr>
          <w:rFonts w:ascii="Verdana" w:hAnsi="Verdana"/>
          <w:sz w:val="16"/>
          <w:szCs w:val="16"/>
          <w:lang w:val="es-ES"/>
        </w:rPr>
      </w:pPr>
    </w:p>
  </w:footnote>
  <w:footnote w:id="49">
    <w:p w14:paraId="08EEB603" w14:textId="77777777" w:rsidR="0023585A" w:rsidRPr="00BC57A2" w:rsidRDefault="0023585A" w:rsidP="009805F2">
      <w:pPr>
        <w:pStyle w:val="Prrafodelista"/>
        <w:spacing w:after="0" w:line="240" w:lineRule="auto"/>
        <w:ind w:left="0"/>
        <w:jc w:val="both"/>
        <w:rPr>
          <w:rFonts w:ascii="Verdana" w:hAnsi="Verdana"/>
          <w:sz w:val="16"/>
          <w:szCs w:val="16"/>
          <w:lang w:val="es-ES"/>
        </w:rPr>
      </w:pPr>
      <w:r w:rsidRPr="00BC57A2">
        <w:rPr>
          <w:rStyle w:val="Refdenotaalpie"/>
          <w:rFonts w:ascii="Verdana" w:hAnsi="Verdana"/>
          <w:sz w:val="16"/>
          <w:szCs w:val="16"/>
        </w:rPr>
        <w:footnoteRef/>
      </w:r>
      <w:r w:rsidRPr="00BC57A2">
        <w:rPr>
          <w:rFonts w:ascii="Verdana" w:hAnsi="Verdana"/>
          <w:sz w:val="16"/>
          <w:szCs w:val="16"/>
          <w:lang w:val="es-CR"/>
        </w:rPr>
        <w:t xml:space="preserve"> </w:t>
      </w:r>
      <w:r w:rsidRPr="00BC57A2">
        <w:rPr>
          <w:rFonts w:ascii="Verdana" w:hAnsi="Verdana"/>
          <w:sz w:val="16"/>
          <w:szCs w:val="16"/>
          <w:lang w:val="es-CR"/>
        </w:rPr>
        <w:tab/>
      </w:r>
      <w:r w:rsidRPr="00BC57A2">
        <w:rPr>
          <w:rFonts w:ascii="Verdana" w:hAnsi="Verdana"/>
          <w:i/>
          <w:sz w:val="16"/>
          <w:szCs w:val="16"/>
          <w:lang w:val="es-CR"/>
        </w:rPr>
        <w:t>Cfr.</w:t>
      </w:r>
      <w:r w:rsidRPr="00BC57A2">
        <w:rPr>
          <w:rFonts w:ascii="Verdana" w:hAnsi="Verdana"/>
          <w:sz w:val="16"/>
          <w:szCs w:val="16"/>
          <w:lang w:val="es-CR"/>
        </w:rPr>
        <w:t xml:space="preserve"> Decreto 2609/91. Expediente de prueba, anexo B.6 al escrito de solicitudes y argumentos, fs. 29.782 y 29.783. </w:t>
      </w:r>
      <w:r w:rsidRPr="00BC57A2">
        <w:rPr>
          <w:rFonts w:ascii="Verdana" w:hAnsi="Verdana"/>
          <w:color w:val="000000" w:themeColor="text1"/>
          <w:sz w:val="16"/>
          <w:szCs w:val="16"/>
          <w:lang w:val="es-ES"/>
        </w:rPr>
        <w:t xml:space="preserve">Es importante resaltar que el Decreto 2609/91 estableció </w:t>
      </w:r>
      <w:r w:rsidRPr="00BC57A2">
        <w:rPr>
          <w:rFonts w:ascii="Verdana" w:hAnsi="Verdana"/>
          <w:sz w:val="16"/>
          <w:szCs w:val="16"/>
          <w:lang w:val="es-ES"/>
        </w:rPr>
        <w:t>la suspensión, hasta la entrega de “los [t]ítulos [d]efinitivos a las [c]omunidades [a]borígenes y [c]riollas”, de “autorizaciones” o “cualquier acto que implique la concesión de explotaciones forestales o agropecuarias” en los lotes mencionados.</w:t>
      </w:r>
    </w:p>
    <w:p w14:paraId="48C948C3" w14:textId="77777777" w:rsidR="0023585A" w:rsidRPr="00BC57A2" w:rsidRDefault="0023585A" w:rsidP="009805F2">
      <w:pPr>
        <w:pStyle w:val="Prrafodelista"/>
        <w:spacing w:after="0" w:line="240" w:lineRule="auto"/>
        <w:ind w:left="0"/>
        <w:jc w:val="both"/>
        <w:rPr>
          <w:rFonts w:ascii="Verdana" w:hAnsi="Verdana"/>
          <w:sz w:val="16"/>
          <w:szCs w:val="16"/>
          <w:lang w:val="es-ES"/>
        </w:rPr>
      </w:pPr>
    </w:p>
  </w:footnote>
  <w:footnote w:id="50">
    <w:p w14:paraId="6CF9391A"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 xml:space="preserve">Cfr. </w:t>
      </w:r>
      <w:r w:rsidRPr="00BC57A2">
        <w:rPr>
          <w:sz w:val="16"/>
          <w:szCs w:val="16"/>
          <w:lang w:val="es-CR"/>
        </w:rPr>
        <w:t xml:space="preserve">Estatuto de la Asociación de Comunidades Aborígenes Lhaka Honhat. Expediente de prueba, anexo B.7 al escrito de solicitudes y argumentos, fs. 29.785 a 29.791. </w:t>
      </w:r>
    </w:p>
    <w:p w14:paraId="3010999A" w14:textId="77777777" w:rsidR="0023585A" w:rsidRPr="00BC57A2" w:rsidRDefault="0023585A" w:rsidP="009805F2">
      <w:pPr>
        <w:pStyle w:val="Textonotapie"/>
        <w:rPr>
          <w:sz w:val="16"/>
          <w:szCs w:val="16"/>
          <w:lang w:val="es-CR"/>
        </w:rPr>
      </w:pPr>
    </w:p>
  </w:footnote>
  <w:footnote w:id="51">
    <w:p w14:paraId="07E165DE"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 xml:space="preserve">Cfr. </w:t>
      </w:r>
      <w:r w:rsidRPr="00BC57A2">
        <w:rPr>
          <w:sz w:val="16"/>
          <w:szCs w:val="16"/>
          <w:lang w:val="es-CR"/>
        </w:rPr>
        <w:t>Informe IWGIA: El Caso Lhaka Honhat. IWGIA y CELS, 2006. Expediente de prueba, anexo B.12 al escrito de solicitudes y argumentos, fs. 30.031 a 30.071.</w:t>
      </w:r>
    </w:p>
    <w:p w14:paraId="6D0D9C9C" w14:textId="77777777" w:rsidR="0023585A" w:rsidRPr="00BC57A2" w:rsidRDefault="0023585A" w:rsidP="009805F2">
      <w:pPr>
        <w:pStyle w:val="Textonotapie"/>
        <w:rPr>
          <w:sz w:val="16"/>
          <w:szCs w:val="16"/>
          <w:lang w:val="es-CR"/>
        </w:rPr>
      </w:pPr>
    </w:p>
  </w:footnote>
  <w:footnote w:id="52">
    <w:p w14:paraId="3E3DF7E5" w14:textId="77777777" w:rsidR="0023585A" w:rsidRPr="00BC57A2" w:rsidRDefault="0023585A" w:rsidP="009805F2">
      <w:pPr>
        <w:autoSpaceDE w:val="0"/>
        <w:autoSpaceDN w:val="0"/>
        <w:adjustRightInd w:val="0"/>
        <w:spacing w:after="0" w:line="240" w:lineRule="auto"/>
        <w:jc w:val="both"/>
        <w:rPr>
          <w:rFonts w:ascii="Verdana" w:hAnsi="Verdana"/>
          <w:sz w:val="16"/>
          <w:szCs w:val="16"/>
        </w:rPr>
      </w:pPr>
      <w:r w:rsidRPr="00BC57A2">
        <w:rPr>
          <w:rStyle w:val="Refdenotaalpie"/>
          <w:rFonts w:ascii="Verdana" w:hAnsi="Verdana"/>
          <w:sz w:val="16"/>
          <w:szCs w:val="16"/>
        </w:rPr>
        <w:footnoteRef/>
      </w:r>
      <w:r w:rsidRPr="00BC57A2">
        <w:rPr>
          <w:rFonts w:ascii="Verdana" w:hAnsi="Verdana"/>
          <w:sz w:val="16"/>
          <w:szCs w:val="16"/>
        </w:rPr>
        <w:t xml:space="preserve"> </w:t>
      </w:r>
      <w:r w:rsidRPr="00BC57A2">
        <w:rPr>
          <w:rFonts w:ascii="Verdana" w:hAnsi="Verdana"/>
          <w:sz w:val="16"/>
          <w:szCs w:val="16"/>
        </w:rPr>
        <w:tab/>
      </w:r>
      <w:r w:rsidRPr="00BC57A2">
        <w:rPr>
          <w:rFonts w:ascii="Verdana" w:hAnsi="Verdana"/>
          <w:i/>
          <w:sz w:val="16"/>
          <w:szCs w:val="16"/>
        </w:rPr>
        <w:t>Cfr.</w:t>
      </w:r>
      <w:r w:rsidRPr="00BC57A2">
        <w:rPr>
          <w:rFonts w:ascii="Verdana" w:hAnsi="Verdana"/>
          <w:sz w:val="16"/>
          <w:szCs w:val="16"/>
        </w:rPr>
        <w:t xml:space="preserve"> </w:t>
      </w:r>
      <w:r w:rsidRPr="00BC57A2">
        <w:rPr>
          <w:rFonts w:ascii="Verdana" w:hAnsi="Verdana" w:cs="Arial Narrow"/>
          <w:sz w:val="16"/>
          <w:szCs w:val="16"/>
        </w:rPr>
        <w:t>Decreto 18/93 de 13 de enero de 1993. Expediente de prueba, anexo B.9 al escrito de solicitudes y argumentos, fs. 29.799 a 29.801.</w:t>
      </w:r>
      <w:r w:rsidRPr="00BC57A2">
        <w:rPr>
          <w:rFonts w:ascii="Verdana" w:hAnsi="Verdana"/>
          <w:sz w:val="16"/>
          <w:szCs w:val="16"/>
        </w:rPr>
        <w:t xml:space="preserve"> </w:t>
      </w:r>
      <w:r w:rsidRPr="00BC57A2">
        <w:rPr>
          <w:rFonts w:ascii="Verdana" w:hAnsi="Verdana" w:cs="Arial Narrow"/>
          <w:sz w:val="16"/>
          <w:szCs w:val="16"/>
        </w:rPr>
        <w:t xml:space="preserve">El Decreto creó una Comisión Asesora Honoraria para hacer recomendaciones sobre la “metodología adecuada” para la entrega de las tierras a comunidades indígenas y la preservación del medio ambiente. </w:t>
      </w:r>
      <w:r w:rsidRPr="00BC57A2">
        <w:rPr>
          <w:rFonts w:ascii="Verdana" w:hAnsi="Verdana"/>
          <w:sz w:val="16"/>
          <w:szCs w:val="16"/>
          <w:lang w:val="es-ES"/>
        </w:rPr>
        <w:t>Dichas recomendaciones fueron expresadas en abril de 1995, pese a que en enero de 1993 se había previsto un plazo de 90 días (</w:t>
      </w:r>
      <w:r w:rsidRPr="00BC57A2">
        <w:rPr>
          <w:rFonts w:ascii="Verdana" w:hAnsi="Verdana"/>
          <w:i/>
          <w:sz w:val="16"/>
          <w:szCs w:val="16"/>
          <w:lang w:val="es-ES"/>
        </w:rPr>
        <w:t>cfr.</w:t>
      </w:r>
      <w:r w:rsidRPr="00BC57A2">
        <w:rPr>
          <w:rFonts w:ascii="Verdana" w:hAnsi="Verdana"/>
          <w:sz w:val="16"/>
          <w:szCs w:val="16"/>
          <w:lang w:val="es-ES"/>
        </w:rPr>
        <w:t xml:space="preserve"> </w:t>
      </w:r>
      <w:r w:rsidRPr="00BC57A2">
        <w:rPr>
          <w:rFonts w:ascii="Verdana" w:hAnsi="Verdana"/>
          <w:sz w:val="16"/>
          <w:szCs w:val="16"/>
        </w:rPr>
        <w:t>Resolución 120 del Ministerio de Gobierno de Salta del 5 de abril de 1993. Expediente de prueba, anexo B.10. al escrito de solicitudes y argumentos, fs. 29.802 a 29.804).</w:t>
      </w:r>
    </w:p>
    <w:p w14:paraId="6A5BE355" w14:textId="77777777" w:rsidR="0023585A" w:rsidRPr="00BC57A2" w:rsidRDefault="0023585A" w:rsidP="009805F2">
      <w:pPr>
        <w:autoSpaceDE w:val="0"/>
        <w:autoSpaceDN w:val="0"/>
        <w:adjustRightInd w:val="0"/>
        <w:spacing w:after="0" w:line="240" w:lineRule="auto"/>
        <w:jc w:val="both"/>
        <w:rPr>
          <w:rFonts w:ascii="Verdana" w:hAnsi="Verdana" w:cs="Arial Narrow"/>
          <w:sz w:val="16"/>
          <w:szCs w:val="16"/>
        </w:rPr>
      </w:pPr>
    </w:p>
  </w:footnote>
  <w:footnote w:id="53">
    <w:p w14:paraId="622D173B" w14:textId="42885F60" w:rsidR="0023585A" w:rsidRPr="00BC57A2" w:rsidRDefault="0023585A" w:rsidP="009805F2">
      <w:pPr>
        <w:pStyle w:val="Textonotapie"/>
        <w:rPr>
          <w:b/>
          <w:sz w:val="16"/>
          <w:szCs w:val="16"/>
          <w:lang w:val="es-ES"/>
        </w:rPr>
      </w:pPr>
      <w:r w:rsidRPr="00BC57A2">
        <w:rPr>
          <w:rStyle w:val="Refdenotaalpie"/>
          <w:sz w:val="16"/>
          <w:szCs w:val="16"/>
        </w:rPr>
        <w:footnoteRef/>
      </w:r>
      <w:r w:rsidRPr="00BC57A2">
        <w:rPr>
          <w:sz w:val="16"/>
          <w:szCs w:val="16"/>
          <w:lang w:val="es-CR"/>
        </w:rPr>
        <w:t xml:space="preserve"> </w:t>
      </w:r>
      <w:r w:rsidRPr="00BC57A2">
        <w:rPr>
          <w:sz w:val="16"/>
          <w:szCs w:val="16"/>
          <w:lang w:val="es-CR"/>
        </w:rPr>
        <w:tab/>
        <w:t xml:space="preserve">Esta circunstancia, conforme se indicó en el Informe de Fondo, fue </w:t>
      </w:r>
      <w:r w:rsidRPr="00BC57A2">
        <w:rPr>
          <w:sz w:val="16"/>
          <w:szCs w:val="16"/>
          <w:lang w:val="es-ES"/>
        </w:rPr>
        <w:t xml:space="preserve">referida en una “Resolución Defensorial” de 11 de agosto de 1999, de </w:t>
      </w:r>
      <w:r>
        <w:rPr>
          <w:sz w:val="16"/>
          <w:szCs w:val="16"/>
          <w:lang w:val="es-ES"/>
        </w:rPr>
        <w:t>acuerdo a documentación remitida</w:t>
      </w:r>
      <w:r w:rsidRPr="00BC57A2">
        <w:rPr>
          <w:sz w:val="16"/>
          <w:szCs w:val="16"/>
          <w:lang w:val="es-ES"/>
        </w:rPr>
        <w:t xml:space="preserve"> a la Comisión por el Defensor del Pueblo, recibi</w:t>
      </w:r>
      <w:r>
        <w:rPr>
          <w:sz w:val="16"/>
          <w:szCs w:val="16"/>
          <w:lang w:val="es-ES"/>
        </w:rPr>
        <w:t>da</w:t>
      </w:r>
      <w:r w:rsidRPr="00BC57A2">
        <w:rPr>
          <w:sz w:val="16"/>
          <w:szCs w:val="16"/>
          <w:lang w:val="es-ES"/>
        </w:rPr>
        <w:t xml:space="preserve"> el 19 de enero de 2001 por la Comisión. </w:t>
      </w:r>
    </w:p>
    <w:p w14:paraId="76E12D17" w14:textId="77777777" w:rsidR="0023585A" w:rsidRPr="00BC57A2" w:rsidRDefault="0023585A" w:rsidP="009805F2">
      <w:pPr>
        <w:pStyle w:val="Textonotapie"/>
        <w:rPr>
          <w:sz w:val="16"/>
          <w:szCs w:val="16"/>
          <w:lang w:val="es-CR"/>
        </w:rPr>
      </w:pPr>
    </w:p>
  </w:footnote>
  <w:footnote w:id="54">
    <w:p w14:paraId="378BB275" w14:textId="5D41AA1E" w:rsidR="0023585A" w:rsidRPr="00BC57A2" w:rsidRDefault="0023585A" w:rsidP="009805F2">
      <w:pPr>
        <w:tabs>
          <w:tab w:val="left" w:pos="360"/>
        </w:tabs>
        <w:spacing w:after="0" w:line="240" w:lineRule="auto"/>
        <w:jc w:val="both"/>
        <w:rPr>
          <w:rFonts w:ascii="Verdana" w:hAnsi="Verdana"/>
          <w:b/>
          <w:sz w:val="16"/>
          <w:szCs w:val="16"/>
        </w:rPr>
      </w:pPr>
      <w:r w:rsidRPr="00BC57A2">
        <w:rPr>
          <w:rStyle w:val="Refdenotaalpie"/>
          <w:rFonts w:ascii="Verdana" w:hAnsi="Verdana"/>
          <w:sz w:val="16"/>
          <w:szCs w:val="16"/>
        </w:rPr>
        <w:footnoteRef/>
      </w:r>
      <w:r w:rsidRPr="00BC57A2">
        <w:rPr>
          <w:rFonts w:ascii="Verdana" w:hAnsi="Verdana"/>
          <w:sz w:val="16"/>
          <w:szCs w:val="16"/>
        </w:rPr>
        <w:t xml:space="preserve"> </w:t>
      </w:r>
      <w:r w:rsidRPr="00BC57A2">
        <w:rPr>
          <w:rFonts w:ascii="Verdana" w:hAnsi="Verdana"/>
          <w:sz w:val="16"/>
          <w:szCs w:val="16"/>
        </w:rPr>
        <w:tab/>
      </w:r>
      <w:r w:rsidRPr="00BC57A2">
        <w:rPr>
          <w:rFonts w:ascii="Verdana" w:hAnsi="Verdana"/>
          <w:sz w:val="16"/>
          <w:szCs w:val="16"/>
        </w:rPr>
        <w:tab/>
        <w:t xml:space="preserve">Esta circunstancia, conforme se indicó en el Informe de Fondo, fue </w:t>
      </w:r>
      <w:r w:rsidRPr="00BC57A2">
        <w:rPr>
          <w:rFonts w:ascii="Verdana" w:hAnsi="Verdana"/>
          <w:sz w:val="16"/>
          <w:szCs w:val="16"/>
          <w:lang w:val="es-ES"/>
        </w:rPr>
        <w:t>referida en una “Resolución Defensorial” de 11 de agosto de 1999, de a</w:t>
      </w:r>
      <w:r>
        <w:rPr>
          <w:rFonts w:ascii="Verdana" w:hAnsi="Verdana"/>
          <w:sz w:val="16"/>
          <w:szCs w:val="16"/>
          <w:lang w:val="es-ES"/>
        </w:rPr>
        <w:t>cuerdo a documentación remitida</w:t>
      </w:r>
      <w:r w:rsidRPr="00BC57A2">
        <w:rPr>
          <w:rFonts w:ascii="Verdana" w:hAnsi="Verdana"/>
          <w:sz w:val="16"/>
          <w:szCs w:val="16"/>
          <w:lang w:val="es-ES"/>
        </w:rPr>
        <w:t xml:space="preserve"> a la Comisión por el Defensor del Pu</w:t>
      </w:r>
      <w:r>
        <w:rPr>
          <w:rFonts w:ascii="Verdana" w:hAnsi="Verdana"/>
          <w:sz w:val="16"/>
          <w:szCs w:val="16"/>
          <w:lang w:val="es-ES"/>
        </w:rPr>
        <w:t>eblo, recibida</w:t>
      </w:r>
      <w:r w:rsidRPr="00BC57A2">
        <w:rPr>
          <w:rFonts w:ascii="Verdana" w:hAnsi="Verdana"/>
          <w:sz w:val="16"/>
          <w:szCs w:val="16"/>
          <w:lang w:val="es-ES"/>
        </w:rPr>
        <w:t xml:space="preserve"> el 19 de enero de 2001 por la Comisión.</w:t>
      </w:r>
    </w:p>
    <w:p w14:paraId="054A09F3" w14:textId="77777777" w:rsidR="0023585A" w:rsidRPr="00BC57A2" w:rsidRDefault="0023585A" w:rsidP="009805F2">
      <w:pPr>
        <w:tabs>
          <w:tab w:val="left" w:pos="360"/>
        </w:tabs>
        <w:spacing w:after="0" w:line="240" w:lineRule="auto"/>
        <w:jc w:val="both"/>
        <w:rPr>
          <w:rFonts w:ascii="Verdana" w:hAnsi="Verdana"/>
          <w:sz w:val="16"/>
          <w:szCs w:val="16"/>
          <w:lang w:val="es-ES"/>
        </w:rPr>
      </w:pPr>
    </w:p>
  </w:footnote>
  <w:footnote w:id="55">
    <w:p w14:paraId="046C61C8" w14:textId="77777777" w:rsidR="0023585A" w:rsidRPr="00BC57A2" w:rsidRDefault="0023585A" w:rsidP="009805F2">
      <w:pPr>
        <w:spacing w:after="0" w:line="240" w:lineRule="auto"/>
        <w:jc w:val="both"/>
        <w:rPr>
          <w:rFonts w:ascii="Verdana" w:hAnsi="Verdana"/>
          <w:sz w:val="16"/>
          <w:szCs w:val="16"/>
          <w:lang w:val="es-ES"/>
        </w:rPr>
      </w:pPr>
      <w:r w:rsidRPr="00BC57A2">
        <w:rPr>
          <w:rStyle w:val="Refdenotaalpie"/>
          <w:rFonts w:ascii="Verdana" w:hAnsi="Verdana"/>
          <w:sz w:val="16"/>
          <w:szCs w:val="16"/>
        </w:rPr>
        <w:footnoteRef/>
      </w:r>
      <w:r w:rsidRPr="00BC57A2">
        <w:rPr>
          <w:rFonts w:ascii="Verdana" w:hAnsi="Verdana"/>
          <w:sz w:val="16"/>
          <w:szCs w:val="16"/>
        </w:rPr>
        <w:t xml:space="preserve"> </w:t>
      </w:r>
      <w:r w:rsidRPr="00BC57A2">
        <w:rPr>
          <w:rFonts w:ascii="Verdana" w:hAnsi="Verdana"/>
          <w:sz w:val="16"/>
          <w:szCs w:val="16"/>
        </w:rPr>
        <w:tab/>
      </w:r>
      <w:r w:rsidRPr="00BC57A2">
        <w:rPr>
          <w:rFonts w:ascii="Verdana" w:hAnsi="Verdana"/>
          <w:sz w:val="16"/>
          <w:szCs w:val="16"/>
          <w:lang w:val="es-ES"/>
        </w:rPr>
        <w:t xml:space="preserve">La Comisión Interamericana señaló que en enero de 2001, el Defensor del Pueblo de la República Argentina remitió a la Comisión copia de 18 comunicaciones enviadas entre 1996 y 1998 al Gobernador de la Provincia de Salta, al Director del INAI, al Ministro de Gobierno y al Presidente de la Republica, entre otros. </w:t>
      </w:r>
    </w:p>
    <w:p w14:paraId="4CEFF977" w14:textId="77777777" w:rsidR="0023585A" w:rsidRPr="00BC57A2" w:rsidRDefault="0023585A" w:rsidP="009805F2">
      <w:pPr>
        <w:spacing w:after="0" w:line="240" w:lineRule="auto"/>
        <w:jc w:val="both"/>
        <w:rPr>
          <w:rFonts w:ascii="Verdana" w:hAnsi="Verdana"/>
          <w:sz w:val="16"/>
          <w:szCs w:val="16"/>
        </w:rPr>
      </w:pPr>
    </w:p>
  </w:footnote>
  <w:footnote w:id="56">
    <w:p w14:paraId="2D4232D5" w14:textId="77777777" w:rsidR="0023585A" w:rsidRPr="00BC57A2" w:rsidRDefault="0023585A" w:rsidP="009805F2">
      <w:pPr>
        <w:pStyle w:val="Prrafodelista"/>
        <w:spacing w:after="0" w:line="240" w:lineRule="auto"/>
        <w:ind w:left="0"/>
        <w:jc w:val="both"/>
        <w:rPr>
          <w:rFonts w:ascii="Verdana" w:hAnsi="Verdana" w:cs="Arial Narrow"/>
          <w:sz w:val="16"/>
          <w:szCs w:val="16"/>
          <w:lang w:val="es-CR"/>
        </w:rPr>
      </w:pPr>
      <w:r w:rsidRPr="00BC57A2">
        <w:rPr>
          <w:rStyle w:val="Refdenotaalpie"/>
          <w:rFonts w:ascii="Verdana" w:hAnsi="Verdana"/>
          <w:sz w:val="16"/>
          <w:szCs w:val="16"/>
        </w:rPr>
        <w:footnoteRef/>
      </w:r>
      <w:r w:rsidRPr="00BC57A2">
        <w:rPr>
          <w:rFonts w:ascii="Verdana" w:hAnsi="Verdana"/>
          <w:sz w:val="16"/>
          <w:szCs w:val="16"/>
          <w:lang w:val="es-CR"/>
        </w:rPr>
        <w:t xml:space="preserve"> </w:t>
      </w:r>
      <w:r w:rsidRPr="00BC57A2">
        <w:rPr>
          <w:rFonts w:ascii="Verdana" w:hAnsi="Verdana"/>
          <w:sz w:val="16"/>
          <w:szCs w:val="16"/>
          <w:lang w:val="es-CR"/>
        </w:rPr>
        <w:tab/>
      </w:r>
      <w:r w:rsidRPr="00BC57A2">
        <w:rPr>
          <w:rFonts w:ascii="Verdana" w:hAnsi="Verdana"/>
          <w:i/>
          <w:sz w:val="16"/>
          <w:szCs w:val="16"/>
          <w:lang w:val="es-CR"/>
        </w:rPr>
        <w:t>Cfr.</w:t>
      </w:r>
      <w:r w:rsidRPr="00BC57A2">
        <w:rPr>
          <w:rFonts w:ascii="Verdana" w:hAnsi="Verdana"/>
          <w:sz w:val="16"/>
          <w:szCs w:val="16"/>
          <w:lang w:val="es-CR"/>
        </w:rPr>
        <w:t xml:space="preserve"> </w:t>
      </w:r>
      <w:r w:rsidRPr="00BC57A2">
        <w:rPr>
          <w:rFonts w:ascii="Verdana" w:hAnsi="Verdana" w:cs="Arial Narrow"/>
          <w:sz w:val="16"/>
          <w:szCs w:val="16"/>
          <w:lang w:val="es-CR"/>
        </w:rPr>
        <w:t>Resolución 423 publicada el 2 de noviembre de 1999. Expediente de prueba, anexo C.2 al escrito de solicitudes y argumentos., fs. 30.106 al 30.110.</w:t>
      </w:r>
    </w:p>
    <w:p w14:paraId="5FA4DEBB" w14:textId="77777777" w:rsidR="0023585A" w:rsidRPr="00BC57A2" w:rsidRDefault="0023585A" w:rsidP="009805F2">
      <w:pPr>
        <w:pStyle w:val="Prrafodelista"/>
        <w:spacing w:after="0" w:line="240" w:lineRule="auto"/>
        <w:ind w:left="0"/>
        <w:jc w:val="both"/>
        <w:rPr>
          <w:rFonts w:ascii="Verdana" w:hAnsi="Verdana"/>
          <w:sz w:val="16"/>
          <w:szCs w:val="16"/>
          <w:lang w:val="es-CR"/>
        </w:rPr>
      </w:pPr>
    </w:p>
  </w:footnote>
  <w:footnote w:id="57">
    <w:p w14:paraId="5301A577" w14:textId="17276DD0"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sz w:val="16"/>
          <w:szCs w:val="16"/>
          <w:lang w:val="es-ES"/>
        </w:rPr>
        <w:t>Así: (a) se adjudicó en forma comunitaria la propiedad de distintas parcelas del lote 55 a las comunidades indígenas Molathati (1.003 ha), Madre Esperanza (781 ha), La Merced Nueva (295 ha), Nueva Esperanza (47 ha) y Bella Vista (1.682 ha); y (b) se adjudicó en forma individual la propiedad de di</w:t>
      </w:r>
      <w:r>
        <w:rPr>
          <w:sz w:val="16"/>
          <w:szCs w:val="16"/>
          <w:lang w:val="es-ES"/>
        </w:rPr>
        <w:t xml:space="preserve">stintas parcelas del lote 55 a tres personas, por extensiones de </w:t>
      </w:r>
      <w:r w:rsidRPr="00BC57A2">
        <w:rPr>
          <w:sz w:val="16"/>
          <w:szCs w:val="16"/>
          <w:lang w:val="es-ES"/>
        </w:rPr>
        <w:t xml:space="preserve">1.014 ha, 758 ha y 22 ha. </w:t>
      </w:r>
      <w:r w:rsidRPr="00BC57A2">
        <w:rPr>
          <w:i/>
          <w:sz w:val="16"/>
          <w:szCs w:val="16"/>
          <w:lang w:val="es-ES"/>
        </w:rPr>
        <w:t xml:space="preserve">Cfr. </w:t>
      </w:r>
      <w:r w:rsidRPr="00BC57A2">
        <w:rPr>
          <w:sz w:val="16"/>
          <w:szCs w:val="16"/>
          <w:lang w:val="es-ES"/>
        </w:rPr>
        <w:t>Decreto No. 461 de Salta de 24 de diciembre de 1999. Expediente de prueba, trámite ante la Comisión, f. 4.847 y</w:t>
      </w:r>
      <w:r w:rsidRPr="00BC57A2">
        <w:rPr>
          <w:sz w:val="16"/>
          <w:szCs w:val="16"/>
          <w:lang w:val="es-CR"/>
        </w:rPr>
        <w:t xml:space="preserve"> anexo C.3 al escrito de solicitudes y argumentos, fs. 30.111 a 30.116.</w:t>
      </w:r>
    </w:p>
    <w:p w14:paraId="0135B7E7" w14:textId="77777777" w:rsidR="0023585A" w:rsidRPr="00BC57A2" w:rsidRDefault="0023585A" w:rsidP="009805F2">
      <w:pPr>
        <w:pStyle w:val="Textonotapie"/>
        <w:rPr>
          <w:sz w:val="16"/>
          <w:szCs w:val="16"/>
          <w:lang w:val="es-CR"/>
        </w:rPr>
      </w:pPr>
    </w:p>
  </w:footnote>
  <w:footnote w:id="58">
    <w:p w14:paraId="04DCBB17" w14:textId="77777777" w:rsidR="0023585A" w:rsidRPr="00BC57A2" w:rsidRDefault="0023585A" w:rsidP="009805F2">
      <w:pPr>
        <w:pStyle w:val="Textonotapie"/>
        <w:rPr>
          <w:rFonts w:cs="Arial Narrow"/>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Cfr.</w:t>
      </w:r>
      <w:r w:rsidRPr="00BC57A2">
        <w:rPr>
          <w:sz w:val="16"/>
          <w:szCs w:val="16"/>
          <w:lang w:val="es-CR"/>
        </w:rPr>
        <w:t xml:space="preserve"> </w:t>
      </w:r>
      <w:r w:rsidRPr="00BC57A2">
        <w:rPr>
          <w:rFonts w:cs="Arial Narrow"/>
          <w:sz w:val="16"/>
          <w:szCs w:val="16"/>
          <w:lang w:val="es-CR"/>
        </w:rPr>
        <w:t>Acta de 1 de noviembre de 2000. Expediente de prueba, anexo C.4 al escrito de solicitudes y argumentos, fs. 30.117 y 30.118.</w:t>
      </w:r>
    </w:p>
    <w:p w14:paraId="23020E3E" w14:textId="77777777" w:rsidR="0023585A" w:rsidRPr="00BC57A2" w:rsidRDefault="0023585A" w:rsidP="009805F2">
      <w:pPr>
        <w:pStyle w:val="Textonotapie"/>
        <w:ind w:firstLine="708"/>
        <w:rPr>
          <w:sz w:val="16"/>
          <w:szCs w:val="16"/>
          <w:lang w:val="es-CR"/>
        </w:rPr>
      </w:pPr>
    </w:p>
  </w:footnote>
  <w:footnote w:id="59">
    <w:p w14:paraId="20E917EE"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Cfr.</w:t>
      </w:r>
      <w:r w:rsidRPr="00BC57A2">
        <w:rPr>
          <w:sz w:val="16"/>
          <w:szCs w:val="16"/>
          <w:lang w:val="es-CR"/>
        </w:rPr>
        <w:t xml:space="preserve"> </w:t>
      </w:r>
      <w:r w:rsidRPr="00BC57A2">
        <w:rPr>
          <w:sz w:val="16"/>
          <w:szCs w:val="16"/>
          <w:lang w:val="es-ES"/>
        </w:rPr>
        <w:t xml:space="preserve">Comunicación de los peticionarios a la Comisión de 19 de julio de 2001 y </w:t>
      </w:r>
      <w:r w:rsidRPr="00BC57A2">
        <w:rPr>
          <w:sz w:val="16"/>
          <w:szCs w:val="16"/>
          <w:lang w:val="es-CR"/>
        </w:rPr>
        <w:t>propuesta del Estado de 15 de diciembre de 2000.</w:t>
      </w:r>
      <w:r w:rsidRPr="00BC57A2">
        <w:rPr>
          <w:sz w:val="16"/>
          <w:szCs w:val="16"/>
          <w:lang w:val="es-ES"/>
        </w:rPr>
        <w:t xml:space="preserve"> Expediente de prueba, anexos C.10 y C.7 al escrito de solicitudes y argumentos, fs. 30.172 a 30.210 y </w:t>
      </w:r>
      <w:r w:rsidRPr="00BC57A2">
        <w:rPr>
          <w:sz w:val="16"/>
          <w:szCs w:val="16"/>
          <w:lang w:val="es-CR"/>
        </w:rPr>
        <w:t>30.128 a 30.140.</w:t>
      </w:r>
    </w:p>
    <w:p w14:paraId="2947D0E1" w14:textId="77777777" w:rsidR="0023585A" w:rsidRPr="00BC57A2" w:rsidRDefault="0023585A" w:rsidP="009805F2">
      <w:pPr>
        <w:pStyle w:val="Textonotapie"/>
        <w:rPr>
          <w:sz w:val="16"/>
          <w:szCs w:val="16"/>
          <w:lang w:val="es-CR"/>
        </w:rPr>
      </w:pPr>
    </w:p>
  </w:footnote>
  <w:footnote w:id="60">
    <w:p w14:paraId="4325078A"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Cfr.</w:t>
      </w:r>
      <w:r w:rsidRPr="00BC57A2">
        <w:rPr>
          <w:sz w:val="16"/>
          <w:szCs w:val="16"/>
          <w:lang w:val="es-CR"/>
        </w:rPr>
        <w:t xml:space="preserve"> Comunicación del Estado a la Comisión de 19 de septiembre de 2001. Expediente de prueba, anexo C.8 al escrito de solicitudes y argumentos, fs. 30.141 a 30.168. </w:t>
      </w:r>
    </w:p>
    <w:p w14:paraId="7E9F1960" w14:textId="77777777" w:rsidR="0023585A" w:rsidRPr="00BC57A2" w:rsidRDefault="0023585A" w:rsidP="009805F2">
      <w:pPr>
        <w:pStyle w:val="Textonotapie"/>
        <w:rPr>
          <w:sz w:val="16"/>
          <w:szCs w:val="16"/>
          <w:lang w:val="es-CR"/>
        </w:rPr>
      </w:pPr>
    </w:p>
  </w:footnote>
  <w:footnote w:id="61">
    <w:p w14:paraId="389D711C"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Cfr.</w:t>
      </w:r>
      <w:r w:rsidRPr="00BC57A2">
        <w:rPr>
          <w:sz w:val="16"/>
          <w:szCs w:val="16"/>
          <w:lang w:val="es-CR"/>
        </w:rPr>
        <w:t xml:space="preserve"> </w:t>
      </w:r>
      <w:r w:rsidRPr="00BC57A2">
        <w:rPr>
          <w:sz w:val="16"/>
          <w:szCs w:val="16"/>
          <w:lang w:val="es-ES"/>
        </w:rPr>
        <w:t>Decreto 339/01 de Salta (e</w:t>
      </w:r>
      <w:r w:rsidRPr="00BC57A2">
        <w:rPr>
          <w:sz w:val="16"/>
          <w:szCs w:val="16"/>
          <w:lang w:val="es-CR"/>
        </w:rPr>
        <w:t xml:space="preserve">xpediente de prueba, anexo C.9 al escrito de solicitudes y argumentos, fs. 30.169 a 30.171) </w:t>
      </w:r>
      <w:r w:rsidRPr="00BC57A2">
        <w:rPr>
          <w:sz w:val="16"/>
          <w:szCs w:val="16"/>
          <w:lang w:val="es-ES"/>
        </w:rPr>
        <w:t xml:space="preserve">y </w:t>
      </w:r>
      <w:r w:rsidRPr="00BC57A2">
        <w:rPr>
          <w:sz w:val="16"/>
          <w:szCs w:val="16"/>
          <w:lang w:val="es-CR"/>
        </w:rPr>
        <w:t xml:space="preserve">nota a la Comisión de 19 de julio de 2001. </w:t>
      </w:r>
    </w:p>
    <w:p w14:paraId="0B09151E" w14:textId="77777777" w:rsidR="0023585A" w:rsidRPr="00BC57A2" w:rsidRDefault="0023585A" w:rsidP="009805F2">
      <w:pPr>
        <w:pStyle w:val="Textonotapie"/>
        <w:rPr>
          <w:sz w:val="16"/>
          <w:szCs w:val="16"/>
          <w:lang w:val="es-CR"/>
        </w:rPr>
      </w:pPr>
    </w:p>
  </w:footnote>
  <w:footnote w:id="62">
    <w:p w14:paraId="767BE07C" w14:textId="77777777" w:rsidR="0023585A" w:rsidRPr="00BC57A2" w:rsidRDefault="0023585A" w:rsidP="009805F2">
      <w:pPr>
        <w:pStyle w:val="Textonotapie"/>
        <w:rPr>
          <w:b/>
          <w:sz w:val="16"/>
          <w:szCs w:val="16"/>
          <w:lang w:val="es-ES"/>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ES"/>
        </w:rPr>
        <w:t>Cfr.</w:t>
      </w:r>
      <w:r w:rsidRPr="00BC57A2">
        <w:rPr>
          <w:sz w:val="16"/>
          <w:szCs w:val="16"/>
          <w:lang w:val="es-ES"/>
        </w:rPr>
        <w:t xml:space="preserve"> Comunicación de Lhaka Honhat a la Comisión de 26 de diciembre de 2001. Expediente de prueba, anexo C.11 a escrito de solicitudes y argumentos, fs. 30.212 a 30.213.</w:t>
      </w:r>
    </w:p>
    <w:p w14:paraId="095FE4EB" w14:textId="77777777" w:rsidR="0023585A" w:rsidRPr="00BC57A2" w:rsidRDefault="0023585A" w:rsidP="009805F2">
      <w:pPr>
        <w:pStyle w:val="Textonotapie"/>
        <w:rPr>
          <w:sz w:val="16"/>
          <w:szCs w:val="16"/>
          <w:lang w:val="es-CR"/>
        </w:rPr>
      </w:pPr>
    </w:p>
  </w:footnote>
  <w:footnote w:id="63">
    <w:p w14:paraId="3EDDC631" w14:textId="53EC1C41" w:rsidR="0023585A" w:rsidRPr="00BC57A2" w:rsidRDefault="0023585A" w:rsidP="009805F2">
      <w:pPr>
        <w:pStyle w:val="Textonotapie"/>
        <w:rPr>
          <w:rFonts w:cs="Arial"/>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rFonts w:eastAsia="Calibri" w:cs="Times New Roman"/>
          <w:i/>
          <w:sz w:val="16"/>
          <w:szCs w:val="16"/>
          <w:lang w:val="es-ES"/>
        </w:rPr>
        <w:t>Cfr.</w:t>
      </w:r>
      <w:r w:rsidRPr="00BC57A2">
        <w:rPr>
          <w:rFonts w:eastAsia="Calibri" w:cs="Times New Roman"/>
          <w:b/>
          <w:sz w:val="16"/>
          <w:szCs w:val="16"/>
          <w:lang w:val="es-ES"/>
        </w:rPr>
        <w:t xml:space="preserve"> </w:t>
      </w:r>
      <w:r>
        <w:rPr>
          <w:rFonts w:eastAsia="Calibri" w:cs="Times New Roman"/>
          <w:sz w:val="16"/>
          <w:szCs w:val="16"/>
          <w:lang w:val="es-CR"/>
        </w:rPr>
        <w:t xml:space="preserve">Acta de </w:t>
      </w:r>
      <w:r w:rsidRPr="00BC57A2">
        <w:rPr>
          <w:rFonts w:eastAsia="Calibri" w:cs="Times New Roman"/>
          <w:sz w:val="16"/>
          <w:szCs w:val="16"/>
          <w:lang w:val="es-CR"/>
        </w:rPr>
        <w:t xml:space="preserve">eunión de 4 de junio de 2004; </w:t>
      </w:r>
      <w:r>
        <w:rPr>
          <w:rFonts w:eastAsia="Calibri" w:cs="Times New Roman"/>
          <w:sz w:val="16"/>
          <w:szCs w:val="16"/>
          <w:lang w:val="es-ES"/>
        </w:rPr>
        <w:t>c</w:t>
      </w:r>
      <w:r w:rsidRPr="00BC57A2">
        <w:rPr>
          <w:rFonts w:eastAsia="Calibri" w:cs="Times New Roman"/>
          <w:sz w:val="16"/>
          <w:szCs w:val="16"/>
          <w:lang w:val="es-ES"/>
        </w:rPr>
        <w:t xml:space="preserve">arta adjunta a la comunicación de los peticionarios a la Comisión, recibida el 26 de julio de 2002; </w:t>
      </w:r>
      <w:r w:rsidRPr="00BC57A2">
        <w:rPr>
          <w:rFonts w:eastAsia="Calibri" w:cs="Times New Roman"/>
          <w:sz w:val="16"/>
          <w:szCs w:val="16"/>
          <w:lang w:val="es-CR"/>
        </w:rPr>
        <w:t>nota a Cancillería el 9 de septiembre de 2004; comunicación adjunta al informe de los peticionarios a la Comisión de 14 de noviembre de 2001; comunicación de Lhaka Honhat a la Comisión de 11 de septiembre de 2001; c</w:t>
      </w:r>
      <w:r w:rsidRPr="00BC57A2">
        <w:rPr>
          <w:rFonts w:eastAsia="Calibri" w:cs="Arial"/>
          <w:sz w:val="16"/>
          <w:szCs w:val="16"/>
          <w:lang w:val="es-CR"/>
        </w:rPr>
        <w:t xml:space="preserve">omunicación de los peticionarios a la Comisión, recibida el 8 de julio de 2002, y nota a la Comisión de 8 de julio de 2002. </w:t>
      </w:r>
      <w:r w:rsidRPr="00BC57A2">
        <w:rPr>
          <w:rFonts w:eastAsia="Calibri" w:cs="Times New Roman"/>
          <w:sz w:val="16"/>
          <w:szCs w:val="16"/>
          <w:lang w:val="es-CR"/>
        </w:rPr>
        <w:t>Expediente de prueba, anexos C.23, C.26, C.11 y C.14 al escrito de solicitudes y argumentos, fs. 30.284 a 30.286</w:t>
      </w:r>
      <w:r w:rsidRPr="00BC57A2">
        <w:rPr>
          <w:rFonts w:eastAsia="Calibri" w:cs="Times New Roman"/>
          <w:sz w:val="16"/>
          <w:szCs w:val="16"/>
          <w:lang w:val="es-ES"/>
        </w:rPr>
        <w:t xml:space="preserve">; </w:t>
      </w:r>
      <w:r>
        <w:rPr>
          <w:rFonts w:eastAsia="Calibri" w:cs="Times New Roman"/>
          <w:sz w:val="16"/>
          <w:szCs w:val="16"/>
          <w:lang w:val="es-ES"/>
        </w:rPr>
        <w:t xml:space="preserve">30.298 y 30.299; </w:t>
      </w:r>
      <w:r w:rsidRPr="00BC57A2">
        <w:rPr>
          <w:rFonts w:eastAsia="Calibri" w:cs="Times New Roman"/>
          <w:sz w:val="16"/>
          <w:szCs w:val="16"/>
          <w:lang w:val="es-CR"/>
        </w:rPr>
        <w:t>4.317; 30.211 a 30.213;</w:t>
      </w:r>
      <w:r w:rsidRPr="00BC57A2">
        <w:rPr>
          <w:rFonts w:eastAsia="Calibri" w:cs="Arial"/>
          <w:sz w:val="16"/>
          <w:szCs w:val="16"/>
          <w:lang w:val="es-CR"/>
        </w:rPr>
        <w:t xml:space="preserve"> 5.087 y 30.224 a 30.228.</w:t>
      </w:r>
      <w:r w:rsidRPr="00BC57A2">
        <w:rPr>
          <w:rFonts w:eastAsia="Calibri" w:cs="Times New Roman"/>
          <w:sz w:val="16"/>
          <w:szCs w:val="16"/>
          <w:lang w:val="es-CR"/>
        </w:rPr>
        <w:t xml:space="preserve"> Es relevante destacar que </w:t>
      </w:r>
      <w:r w:rsidRPr="00BC57A2">
        <w:rPr>
          <w:rFonts w:eastAsia="Calibri" w:cs="Times New Roman"/>
          <w:sz w:val="16"/>
          <w:szCs w:val="16"/>
          <w:lang w:val="es-ES"/>
        </w:rPr>
        <w:t>el 2 de agosto de 2002 el Decreto provincial 295/02 dispuso que quienes ocupaban los lotes 14 y 55 no deberían hacer cerramientos hasta la finalización del proceso de regularización.</w:t>
      </w:r>
    </w:p>
    <w:p w14:paraId="5D090FD4" w14:textId="77777777" w:rsidR="0023585A" w:rsidRPr="00BC57A2" w:rsidRDefault="0023585A" w:rsidP="009805F2">
      <w:pPr>
        <w:pStyle w:val="Textonotapie"/>
        <w:tabs>
          <w:tab w:val="left" w:pos="2547"/>
        </w:tabs>
        <w:rPr>
          <w:sz w:val="16"/>
          <w:szCs w:val="16"/>
          <w:lang w:val="es-CR"/>
        </w:rPr>
      </w:pPr>
    </w:p>
  </w:footnote>
  <w:footnote w:id="64">
    <w:p w14:paraId="3FB1238A"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Cfr.</w:t>
      </w:r>
      <w:r w:rsidRPr="00BC57A2">
        <w:rPr>
          <w:sz w:val="16"/>
          <w:szCs w:val="16"/>
          <w:lang w:val="es-CR"/>
        </w:rPr>
        <w:t xml:space="preserve"> Acta reunión 5 de agosto 2002. Expediente de prueba, anexo C.16 al escrito de solicitudes y argumentos, fs. 30.232 a 30.234.</w:t>
      </w:r>
    </w:p>
    <w:p w14:paraId="09AD31B7" w14:textId="77777777" w:rsidR="0023585A" w:rsidRPr="00BC57A2" w:rsidRDefault="0023585A" w:rsidP="009805F2">
      <w:pPr>
        <w:pStyle w:val="Textonotapie"/>
        <w:rPr>
          <w:sz w:val="16"/>
          <w:szCs w:val="16"/>
          <w:lang w:val="es-CR"/>
        </w:rPr>
      </w:pPr>
    </w:p>
  </w:footnote>
  <w:footnote w:id="65">
    <w:p w14:paraId="5458DF05" w14:textId="6754D918"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sz w:val="16"/>
          <w:szCs w:val="16"/>
          <w:lang w:val="es-ES"/>
        </w:rPr>
        <w:t>De acuerdo a los representantes, la Provincia manifestó su intención de hacer una consulta popular si los peticionarios no aceptaban la propuesta. El 18 de abril de 2005 Lhaka Honhat recibió una nota del Fiscal de Estado de Salta, por intermedio de la Cancillería, en la que daba por concluida la participación de Salta en el proceso de solución amistosa y decía que se sometería a referéndum la propuesta sobre la distribución de tierras. (</w:t>
      </w:r>
      <w:r w:rsidRPr="00BC57A2">
        <w:rPr>
          <w:i/>
          <w:sz w:val="16"/>
          <w:szCs w:val="16"/>
          <w:lang w:val="es-ES"/>
        </w:rPr>
        <w:t>Cfr.</w:t>
      </w:r>
      <w:r w:rsidRPr="00BC57A2">
        <w:rPr>
          <w:sz w:val="16"/>
          <w:szCs w:val="16"/>
          <w:lang w:val="es-ES"/>
        </w:rPr>
        <w:t xml:space="preserve"> </w:t>
      </w:r>
      <w:r w:rsidRPr="00BC57A2">
        <w:rPr>
          <w:sz w:val="16"/>
          <w:szCs w:val="16"/>
          <w:lang w:val="es-CR"/>
        </w:rPr>
        <w:t xml:space="preserve">Propuesta de la provincia de Salta presentada en la reunión de trabajo del 2 de marzo de 2005, acta de reunión de 2 de marzo de 2005 y </w:t>
      </w:r>
      <w:r w:rsidRPr="00BC57A2">
        <w:rPr>
          <w:sz w:val="16"/>
          <w:szCs w:val="16"/>
          <w:lang w:val="es-ES"/>
        </w:rPr>
        <w:t xml:space="preserve">nota de 12 de abril de 2005. </w:t>
      </w:r>
      <w:r w:rsidRPr="00BC57A2">
        <w:rPr>
          <w:sz w:val="16"/>
          <w:szCs w:val="16"/>
          <w:lang w:val="es-CR"/>
        </w:rPr>
        <w:t>Expediente de prueba, anexos D.1, D.2 y D.5 al escrito de solicitudes y argumentos, fs. 30.317 a 30.370, 30.371 a 30.372 y 30.377 a 30.379</w:t>
      </w:r>
      <w:r>
        <w:rPr>
          <w:sz w:val="16"/>
          <w:szCs w:val="16"/>
          <w:lang w:val="es-CR"/>
        </w:rPr>
        <w:t>.</w:t>
      </w:r>
      <w:r w:rsidRPr="00BC57A2">
        <w:rPr>
          <w:sz w:val="16"/>
          <w:szCs w:val="16"/>
          <w:lang w:val="es-CR"/>
        </w:rPr>
        <w:t>)</w:t>
      </w:r>
    </w:p>
    <w:p w14:paraId="70709CBA" w14:textId="77777777" w:rsidR="0023585A" w:rsidRPr="00BC57A2" w:rsidRDefault="0023585A" w:rsidP="009805F2">
      <w:pPr>
        <w:pStyle w:val="Textonotapie"/>
        <w:rPr>
          <w:sz w:val="16"/>
          <w:szCs w:val="16"/>
          <w:lang w:val="es-CR"/>
        </w:rPr>
      </w:pPr>
    </w:p>
  </w:footnote>
  <w:footnote w:id="66">
    <w:p w14:paraId="2B398A93"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Cfr.</w:t>
      </w:r>
      <w:r w:rsidRPr="00BC57A2">
        <w:rPr>
          <w:sz w:val="16"/>
          <w:szCs w:val="16"/>
          <w:lang w:val="es-CR"/>
        </w:rPr>
        <w:t xml:space="preserve"> Decreto 939 de Salta de 10 de mayo de 2005. Expediente de prueba, anexo D.7 al escrito de solicitudes y argumentos, fs. 30.384 a 30.391. </w:t>
      </w:r>
    </w:p>
    <w:p w14:paraId="5985FEBF" w14:textId="77777777" w:rsidR="0023585A" w:rsidRPr="00BC57A2" w:rsidRDefault="0023585A" w:rsidP="009805F2">
      <w:pPr>
        <w:pStyle w:val="Textonotapie"/>
        <w:rPr>
          <w:sz w:val="16"/>
          <w:szCs w:val="16"/>
          <w:lang w:val="es-CR"/>
        </w:rPr>
      </w:pPr>
    </w:p>
  </w:footnote>
  <w:footnote w:id="67">
    <w:p w14:paraId="048ABAF5" w14:textId="77777777" w:rsidR="0023585A" w:rsidRPr="00BC57A2" w:rsidRDefault="0023585A" w:rsidP="009805F2">
      <w:pPr>
        <w:autoSpaceDE w:val="0"/>
        <w:autoSpaceDN w:val="0"/>
        <w:adjustRightInd w:val="0"/>
        <w:spacing w:after="0" w:line="240" w:lineRule="auto"/>
        <w:jc w:val="both"/>
        <w:rPr>
          <w:rFonts w:ascii="Verdana" w:hAnsi="Verdana"/>
          <w:sz w:val="16"/>
          <w:szCs w:val="16"/>
        </w:rPr>
      </w:pPr>
      <w:r w:rsidRPr="00BC57A2">
        <w:rPr>
          <w:rStyle w:val="Refdenotaalpie"/>
          <w:rFonts w:ascii="Verdana" w:hAnsi="Verdana"/>
          <w:sz w:val="16"/>
          <w:szCs w:val="16"/>
        </w:rPr>
        <w:footnoteRef/>
      </w:r>
      <w:r w:rsidRPr="00BC57A2">
        <w:rPr>
          <w:rFonts w:ascii="Verdana" w:hAnsi="Verdana"/>
          <w:sz w:val="16"/>
          <w:szCs w:val="16"/>
        </w:rPr>
        <w:t xml:space="preserve"> </w:t>
      </w:r>
      <w:r w:rsidRPr="00BC57A2">
        <w:rPr>
          <w:rFonts w:ascii="Verdana" w:hAnsi="Verdana"/>
          <w:sz w:val="16"/>
          <w:szCs w:val="16"/>
        </w:rPr>
        <w:tab/>
        <w:t xml:space="preserve">En 2005, </w:t>
      </w:r>
      <w:r w:rsidRPr="00BC57A2">
        <w:rPr>
          <w:rFonts w:ascii="Verdana" w:hAnsi="Verdana"/>
          <w:sz w:val="16"/>
          <w:szCs w:val="16"/>
          <w:lang w:val="es-ES"/>
        </w:rPr>
        <w:t>el 2 de mayo, el INAI solicitó al Gobierno de Salta la no realización del referéndum, “toda vez que constituía una medida unilateral que no respetaba los consensos alcanzados en el marco de la solución amistosa”; el 3 de mayo la Cancillería argentina solicitó al Gobierno de Salta que revisara su decisión, ya que “esta podría acarrear responsabilidad internacional del Estado argentino”;</w:t>
      </w:r>
      <w:r w:rsidRPr="00BC57A2">
        <w:rPr>
          <w:rFonts w:ascii="Verdana" w:hAnsi="Verdana"/>
          <w:b/>
          <w:sz w:val="16"/>
          <w:szCs w:val="16"/>
          <w:lang w:val="es-ES"/>
        </w:rPr>
        <w:t xml:space="preserve"> </w:t>
      </w:r>
      <w:r w:rsidRPr="00BC57A2">
        <w:rPr>
          <w:rFonts w:ascii="Verdana" w:hAnsi="Verdana"/>
          <w:sz w:val="16"/>
          <w:szCs w:val="16"/>
          <w:lang w:val="es-ES"/>
        </w:rPr>
        <w:t>el 12 de julio el INAI envió una nota al Presidente de la Cámara de Diputados de Salta, en donde indicó que “se cometería una flagrante violación inconducente si [los derechos de las comunidades indígenas] se someten a referéndum de todos los ciudadanos del Departamento de Rivadavia” (</w:t>
      </w:r>
      <w:r w:rsidRPr="00BC57A2">
        <w:rPr>
          <w:rFonts w:ascii="Verdana" w:hAnsi="Verdana"/>
          <w:i/>
          <w:sz w:val="16"/>
          <w:szCs w:val="16"/>
        </w:rPr>
        <w:t>cfr</w:t>
      </w:r>
      <w:r w:rsidRPr="00BC57A2">
        <w:rPr>
          <w:rFonts w:ascii="Verdana" w:hAnsi="Verdana"/>
          <w:sz w:val="16"/>
          <w:szCs w:val="16"/>
        </w:rPr>
        <w:t>. Notas del INAI y de Cancillería de 2 de mayo y 12 de julio de 2005, y de 3 de mayo de 2005, respectivamente. Expediente de prueba, anexos D.8, D.9 y D.10 al escrito de solicitudes y argumentos, fs. 30.392 a 30.394, 30.395 y 30.396, y 30.397 a 30.400)</w:t>
      </w:r>
      <w:r>
        <w:rPr>
          <w:rFonts w:ascii="Verdana" w:hAnsi="Verdana"/>
          <w:sz w:val="16"/>
          <w:szCs w:val="16"/>
        </w:rPr>
        <w:t>.</w:t>
      </w:r>
      <w:r w:rsidRPr="00BC57A2">
        <w:rPr>
          <w:rFonts w:ascii="Verdana" w:hAnsi="Verdana" w:cs="Arial"/>
          <w:sz w:val="16"/>
          <w:szCs w:val="16"/>
        </w:rPr>
        <w:t xml:space="preserve"> Además, </w:t>
      </w:r>
      <w:r w:rsidRPr="00BC57A2">
        <w:rPr>
          <w:rFonts w:ascii="Verdana" w:hAnsi="Verdana"/>
          <w:sz w:val="16"/>
          <w:szCs w:val="16"/>
          <w:lang w:val="es-ES"/>
        </w:rPr>
        <w:t>el 21 de septiembre de 2005, el Gobierno Nacional hizo a llegar a la Comisión Interamericana un documento titulado “Declaración conjunta de los organismos del Estado Nacional que participan de la Mesa Ampliada del proceso de solución amistosa de la petición n° 12.094 del registro de la Comisión Interamericana de Derechos Humanos”, en el cual representantes de los Ministerios de Relaciones Exteriores y de Justicia y el INAI manifestaron su preocupación por el estancamiento del proceso de solución amistosa a partir de la organización del referéndum y solicitaban al Gobernador de la Provincia que lo suspendiera, para “facilitar una solución al problema”</w:t>
      </w:r>
      <w:r w:rsidRPr="00BC57A2">
        <w:rPr>
          <w:rFonts w:ascii="Verdana" w:hAnsi="Verdana" w:cs="Arial"/>
          <w:sz w:val="16"/>
          <w:szCs w:val="16"/>
        </w:rPr>
        <w:t xml:space="preserve"> (Nota SG 257 de 23 de agosto de 2005. Expediente de prueba, trámite ante la Comisión, f. 5366).</w:t>
      </w:r>
      <w:r w:rsidRPr="00BC57A2">
        <w:rPr>
          <w:rFonts w:ascii="Verdana" w:hAnsi="Verdana"/>
          <w:sz w:val="16"/>
          <w:szCs w:val="16"/>
          <w:lang w:val="es-ES"/>
        </w:rPr>
        <w:t xml:space="preserve"> El 17 de agosto de 2005 el Fiscal de Estado de Salta remitió una nota a la Comisión defendiendo el referéndum como “la vía idónea para efectivizar el derecho a la consulta previa” (</w:t>
      </w:r>
      <w:r w:rsidRPr="00BC57A2">
        <w:rPr>
          <w:rFonts w:ascii="Verdana" w:hAnsi="Verdana"/>
          <w:sz w:val="16"/>
          <w:szCs w:val="16"/>
        </w:rPr>
        <w:t>nota de 17 de agosto de 2005; expediente de prueba, anexo D.17 al escrito de solicitudes y argumentos, fs. 30.437 a 30.457).</w:t>
      </w:r>
    </w:p>
    <w:p w14:paraId="59330D1D" w14:textId="77777777" w:rsidR="0023585A" w:rsidRPr="00BC57A2" w:rsidRDefault="0023585A" w:rsidP="009805F2">
      <w:pPr>
        <w:autoSpaceDE w:val="0"/>
        <w:autoSpaceDN w:val="0"/>
        <w:adjustRightInd w:val="0"/>
        <w:spacing w:after="0" w:line="240" w:lineRule="auto"/>
        <w:jc w:val="both"/>
        <w:rPr>
          <w:rFonts w:ascii="Verdana" w:hAnsi="Verdana"/>
          <w:sz w:val="16"/>
          <w:szCs w:val="16"/>
          <w:lang w:val="es-ES"/>
        </w:rPr>
      </w:pPr>
    </w:p>
  </w:footnote>
  <w:footnote w:id="68">
    <w:p w14:paraId="168AEFA6"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Cfr.</w:t>
      </w:r>
      <w:r w:rsidRPr="00BC57A2">
        <w:rPr>
          <w:sz w:val="16"/>
          <w:szCs w:val="16"/>
          <w:lang w:val="es-CR"/>
        </w:rPr>
        <w:t xml:space="preserve"> </w:t>
      </w:r>
      <w:r w:rsidRPr="00BC57A2">
        <w:rPr>
          <w:sz w:val="16"/>
          <w:szCs w:val="16"/>
          <w:lang w:val="es-MX"/>
        </w:rPr>
        <w:t>Declaración conjunta y “Petitorio” presentados como anexos a la comunicación de los peticionarios de 10 de noviembre de 2005 y acta de Lhaka Honhat de 8 de octubre de 2005.</w:t>
      </w:r>
      <w:r w:rsidRPr="00BC57A2">
        <w:rPr>
          <w:sz w:val="16"/>
          <w:szCs w:val="16"/>
          <w:lang w:val="es-CR"/>
        </w:rPr>
        <w:t xml:space="preserve"> Expediente de prueba, anexo D.21 al escrito de solicitudes y argumentos, fs. 30.472 a 30.480.</w:t>
      </w:r>
    </w:p>
    <w:p w14:paraId="6B186C2C" w14:textId="77777777" w:rsidR="0023585A" w:rsidRPr="00BC57A2" w:rsidRDefault="0023585A" w:rsidP="009805F2">
      <w:pPr>
        <w:pStyle w:val="Textonotapie"/>
        <w:rPr>
          <w:sz w:val="16"/>
          <w:szCs w:val="16"/>
          <w:lang w:val="es-MX"/>
        </w:rPr>
      </w:pPr>
      <w:r w:rsidRPr="00BC57A2">
        <w:rPr>
          <w:sz w:val="16"/>
          <w:szCs w:val="16"/>
          <w:lang w:val="es-CR"/>
        </w:rPr>
        <w:t xml:space="preserve"> </w:t>
      </w:r>
    </w:p>
  </w:footnote>
  <w:footnote w:id="69">
    <w:p w14:paraId="22FACF05" w14:textId="77777777" w:rsidR="0023585A" w:rsidRPr="00BC57A2" w:rsidRDefault="0023585A" w:rsidP="009805F2">
      <w:pPr>
        <w:pStyle w:val="Textonotapie"/>
        <w:rPr>
          <w:b/>
          <w:sz w:val="16"/>
          <w:szCs w:val="16"/>
          <w:lang w:val="es-ES"/>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Cfr.</w:t>
      </w:r>
      <w:r w:rsidRPr="00BC57A2">
        <w:rPr>
          <w:sz w:val="16"/>
          <w:szCs w:val="16"/>
          <w:lang w:val="es-CR"/>
        </w:rPr>
        <w:t xml:space="preserve"> </w:t>
      </w:r>
      <w:r w:rsidRPr="00BC57A2">
        <w:rPr>
          <w:rFonts w:eastAsia="Calibri" w:cs="Times New Roman"/>
          <w:sz w:val="16"/>
          <w:szCs w:val="16"/>
          <w:lang w:val="es-ES"/>
        </w:rPr>
        <w:t xml:space="preserve">Comunicación de los peticionarios a la Comisión recibida el 11 de noviembre de 2005, transmitida al Estado el 31 de enero de 2006. </w:t>
      </w:r>
      <w:r w:rsidRPr="00BC57A2">
        <w:rPr>
          <w:sz w:val="16"/>
          <w:szCs w:val="16"/>
          <w:lang w:val="es-ES"/>
        </w:rPr>
        <w:t>Expediente de prueba, anexo D.28 a escrito de solicitudes y argumentos, fs. 30.533 a 30.544.</w:t>
      </w:r>
    </w:p>
    <w:p w14:paraId="0AE4B030" w14:textId="77777777" w:rsidR="0023585A" w:rsidRPr="00BC57A2" w:rsidRDefault="0023585A" w:rsidP="009805F2">
      <w:pPr>
        <w:pStyle w:val="Textonotapie"/>
        <w:rPr>
          <w:sz w:val="16"/>
          <w:szCs w:val="16"/>
          <w:lang w:val="es-CR"/>
        </w:rPr>
      </w:pPr>
    </w:p>
  </w:footnote>
  <w:footnote w:id="70">
    <w:p w14:paraId="0247CBDA"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 xml:space="preserve">Cfr. </w:t>
      </w:r>
      <w:r w:rsidRPr="00BC57A2">
        <w:rPr>
          <w:sz w:val="16"/>
          <w:szCs w:val="16"/>
          <w:lang w:val="es-CR"/>
        </w:rPr>
        <w:t xml:space="preserve">Decretos 2406/05 y 2407/05, y Resolución 65/06. Expediente de prueba, anexos E.1, E.2 y E.3, fs. 30.559 a 30.561, 30.562 a 30.566 y 30.568 a 30.573, respectivamente. </w:t>
      </w:r>
    </w:p>
    <w:p w14:paraId="17641655" w14:textId="77777777" w:rsidR="0023585A" w:rsidRPr="00BC57A2" w:rsidRDefault="0023585A" w:rsidP="009805F2">
      <w:pPr>
        <w:pStyle w:val="Textonotapie"/>
        <w:rPr>
          <w:sz w:val="16"/>
          <w:szCs w:val="16"/>
          <w:lang w:val="es-CR"/>
        </w:rPr>
      </w:pPr>
    </w:p>
  </w:footnote>
  <w:footnote w:id="71">
    <w:p w14:paraId="75B96DD4" w14:textId="77777777" w:rsidR="0023585A" w:rsidRPr="00BC57A2" w:rsidRDefault="0023585A" w:rsidP="009805F2">
      <w:pPr>
        <w:pStyle w:val="Textonotapie"/>
        <w:rPr>
          <w:rFonts w:cs="Arial"/>
          <w:color w:val="0D0D0D"/>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Cfr.</w:t>
      </w:r>
      <w:r w:rsidRPr="00BC57A2">
        <w:rPr>
          <w:sz w:val="16"/>
          <w:szCs w:val="16"/>
          <w:lang w:val="es-CR"/>
        </w:rPr>
        <w:t xml:space="preserve"> </w:t>
      </w:r>
      <w:r w:rsidRPr="00BC57A2">
        <w:rPr>
          <w:rFonts w:cs="Arial"/>
          <w:color w:val="232323"/>
          <w:sz w:val="16"/>
          <w:szCs w:val="16"/>
          <w:lang w:val="es-CR"/>
        </w:rPr>
        <w:t xml:space="preserve">Acta de </w:t>
      </w:r>
      <w:r w:rsidRPr="00BC57A2">
        <w:rPr>
          <w:rFonts w:cs="Arial"/>
          <w:color w:val="0D0D0D"/>
          <w:sz w:val="16"/>
          <w:szCs w:val="16"/>
          <w:lang w:val="es-CR"/>
        </w:rPr>
        <w:t xml:space="preserve">14 </w:t>
      </w:r>
      <w:r w:rsidRPr="00BC57A2">
        <w:rPr>
          <w:rFonts w:cs="Arial"/>
          <w:color w:val="232323"/>
          <w:sz w:val="16"/>
          <w:szCs w:val="16"/>
          <w:lang w:val="es-CR"/>
        </w:rPr>
        <w:t xml:space="preserve">de </w:t>
      </w:r>
      <w:r w:rsidRPr="00BC57A2">
        <w:rPr>
          <w:rFonts w:cs="Arial"/>
          <w:color w:val="0D0D0D"/>
          <w:sz w:val="16"/>
          <w:szCs w:val="16"/>
          <w:lang w:val="es-CR"/>
        </w:rPr>
        <w:t xml:space="preserve">marzo </w:t>
      </w:r>
      <w:r w:rsidRPr="00BC57A2">
        <w:rPr>
          <w:rFonts w:cs="Arial"/>
          <w:color w:val="232323"/>
          <w:sz w:val="16"/>
          <w:szCs w:val="16"/>
          <w:lang w:val="es-CR"/>
        </w:rPr>
        <w:t>de 2006</w:t>
      </w:r>
      <w:r w:rsidRPr="00BC57A2">
        <w:rPr>
          <w:rFonts w:cs="Arial"/>
          <w:color w:val="0D0D0D"/>
          <w:sz w:val="16"/>
          <w:szCs w:val="16"/>
          <w:lang w:val="es-CR"/>
        </w:rPr>
        <w:t>. Expediente de prueba, anexo 32 al Informe de Fondo, fs. 422 a 424.</w:t>
      </w:r>
    </w:p>
    <w:p w14:paraId="65B762A3" w14:textId="77777777" w:rsidR="0023585A" w:rsidRPr="00BC57A2" w:rsidRDefault="0023585A" w:rsidP="009805F2">
      <w:pPr>
        <w:pStyle w:val="Textonotapie"/>
        <w:rPr>
          <w:sz w:val="16"/>
          <w:szCs w:val="16"/>
          <w:lang w:val="es-CR"/>
        </w:rPr>
      </w:pPr>
    </w:p>
  </w:footnote>
  <w:footnote w:id="72">
    <w:p w14:paraId="474FF489"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Cfr.</w:t>
      </w:r>
      <w:r w:rsidRPr="00BC57A2">
        <w:rPr>
          <w:sz w:val="16"/>
          <w:szCs w:val="16"/>
          <w:lang w:val="es-CR"/>
        </w:rPr>
        <w:t xml:space="preserve"> Actas del 1 de junio y 24 de agosto de 2007. Expediente de prueba, anexos G.1 y G.2 al escrito de solicitudes y argumentos, fs. 30.883 a 30.884 y 30.885 a 30.886. </w:t>
      </w:r>
    </w:p>
    <w:p w14:paraId="61650622" w14:textId="77777777" w:rsidR="0023585A" w:rsidRPr="00BC57A2" w:rsidRDefault="0023585A" w:rsidP="009805F2">
      <w:pPr>
        <w:pStyle w:val="Textonotapie"/>
        <w:rPr>
          <w:sz w:val="16"/>
          <w:szCs w:val="16"/>
          <w:lang w:val="es-CR"/>
        </w:rPr>
      </w:pPr>
    </w:p>
  </w:footnote>
  <w:footnote w:id="73">
    <w:p w14:paraId="7BA9226F"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Cfr.</w:t>
      </w:r>
      <w:r w:rsidRPr="00BC57A2">
        <w:rPr>
          <w:sz w:val="16"/>
          <w:szCs w:val="16"/>
          <w:lang w:val="es-CR"/>
        </w:rPr>
        <w:t xml:space="preserve"> Acta-Acuerdo de 17 de junio de 2007. Expediente de prueba, anexo G.3 al escrito de solicitudes y argumentos, fs. 30.887 a 30.891.</w:t>
      </w:r>
    </w:p>
    <w:p w14:paraId="229B0598" w14:textId="77777777" w:rsidR="0023585A" w:rsidRPr="00BC57A2" w:rsidRDefault="0023585A" w:rsidP="009805F2">
      <w:pPr>
        <w:pStyle w:val="Textonotapie"/>
        <w:rPr>
          <w:sz w:val="16"/>
          <w:szCs w:val="16"/>
          <w:lang w:val="es-CR"/>
        </w:rPr>
      </w:pPr>
    </w:p>
  </w:footnote>
  <w:footnote w:id="74">
    <w:p w14:paraId="30326911" w14:textId="46E6F9DC"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Cfr.</w:t>
      </w:r>
      <w:r w:rsidRPr="00BC57A2">
        <w:rPr>
          <w:sz w:val="16"/>
          <w:szCs w:val="16"/>
          <w:lang w:val="es-CR"/>
        </w:rPr>
        <w:t xml:space="preserve"> Decreto 2786/07. Expediente de prueba, anexo G.5. al escrito de s</w:t>
      </w:r>
      <w:r>
        <w:rPr>
          <w:sz w:val="16"/>
          <w:szCs w:val="16"/>
          <w:lang w:val="es-CR"/>
        </w:rPr>
        <w:t>olicitudes y argumentos, fs- 30.</w:t>
      </w:r>
      <w:r w:rsidRPr="00BC57A2">
        <w:rPr>
          <w:sz w:val="16"/>
          <w:szCs w:val="16"/>
          <w:lang w:val="es-CR"/>
        </w:rPr>
        <w:t>922 a 30</w:t>
      </w:r>
      <w:r>
        <w:rPr>
          <w:sz w:val="16"/>
          <w:szCs w:val="16"/>
          <w:lang w:val="es-CR"/>
        </w:rPr>
        <w:t>.</w:t>
      </w:r>
      <w:r w:rsidRPr="00BC57A2">
        <w:rPr>
          <w:sz w:val="16"/>
          <w:szCs w:val="16"/>
          <w:lang w:val="es-CR"/>
        </w:rPr>
        <w:t>924.</w:t>
      </w:r>
    </w:p>
    <w:p w14:paraId="18F58AA5" w14:textId="77777777" w:rsidR="0023585A" w:rsidRPr="00BC57A2" w:rsidRDefault="0023585A" w:rsidP="009805F2">
      <w:pPr>
        <w:pStyle w:val="Textonotapie"/>
        <w:rPr>
          <w:sz w:val="16"/>
          <w:szCs w:val="16"/>
          <w:lang w:val="es-CR"/>
        </w:rPr>
      </w:pPr>
    </w:p>
  </w:footnote>
  <w:footnote w:id="75">
    <w:p w14:paraId="1ED48AC6"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Cfr.</w:t>
      </w:r>
      <w:r w:rsidRPr="00BC57A2">
        <w:rPr>
          <w:sz w:val="16"/>
          <w:szCs w:val="16"/>
          <w:lang w:val="es-CR"/>
        </w:rPr>
        <w:t xml:space="preserve"> Informe 2008-2011 sobre el Proceso de regularización de tierras. Expediente de prueba, anexo 40 al Informe de Fondo, fs. 488 al 515. Los requisitos fueron establecidos por Resolución 65/06.</w:t>
      </w:r>
    </w:p>
    <w:p w14:paraId="5ADC958F" w14:textId="77777777" w:rsidR="0023585A" w:rsidRPr="00BC57A2" w:rsidRDefault="0023585A" w:rsidP="009805F2">
      <w:pPr>
        <w:pStyle w:val="Textonotapie"/>
        <w:rPr>
          <w:sz w:val="16"/>
          <w:szCs w:val="16"/>
          <w:lang w:val="es-CR"/>
        </w:rPr>
      </w:pPr>
    </w:p>
  </w:footnote>
  <w:footnote w:id="76">
    <w:p w14:paraId="5B6281AA" w14:textId="36826DDB" w:rsidR="0023585A" w:rsidRPr="00BC57A2" w:rsidRDefault="0023585A" w:rsidP="009805F2">
      <w:pPr>
        <w:pStyle w:val="Prrafodelista"/>
        <w:spacing w:after="0" w:line="240" w:lineRule="auto"/>
        <w:ind w:left="0"/>
        <w:jc w:val="both"/>
        <w:rPr>
          <w:rFonts w:ascii="Verdana" w:hAnsi="Verdana"/>
          <w:sz w:val="16"/>
          <w:szCs w:val="16"/>
          <w:lang w:val="es-CR"/>
        </w:rPr>
      </w:pPr>
      <w:r w:rsidRPr="00BC57A2">
        <w:rPr>
          <w:rStyle w:val="Refdenotaalpie"/>
          <w:rFonts w:ascii="Verdana" w:hAnsi="Verdana"/>
          <w:sz w:val="16"/>
          <w:szCs w:val="16"/>
        </w:rPr>
        <w:footnoteRef/>
      </w:r>
      <w:r w:rsidRPr="00BC57A2">
        <w:rPr>
          <w:rFonts w:ascii="Verdana" w:hAnsi="Verdana"/>
          <w:sz w:val="16"/>
          <w:szCs w:val="16"/>
          <w:lang w:val="es-CR"/>
        </w:rPr>
        <w:t xml:space="preserve"> </w:t>
      </w:r>
      <w:r w:rsidRPr="00BC57A2">
        <w:rPr>
          <w:rFonts w:ascii="Verdana" w:hAnsi="Verdana"/>
          <w:sz w:val="16"/>
          <w:szCs w:val="16"/>
          <w:lang w:val="es-CR"/>
        </w:rPr>
        <w:tab/>
      </w:r>
      <w:r w:rsidRPr="00BC57A2">
        <w:rPr>
          <w:rFonts w:ascii="Verdana" w:hAnsi="Verdana"/>
          <w:sz w:val="16"/>
          <w:szCs w:val="16"/>
          <w:lang w:val="es-ES"/>
        </w:rPr>
        <w:t>La Corte deja constancia que se ha informado que en marzo y abril de 2013 se presentaron en la zona de los lotes 14 y 55 algunos incidentes. El 27 de marzo un integrante del equipo de la organización de A</w:t>
      </w:r>
      <w:r>
        <w:rPr>
          <w:rFonts w:ascii="Verdana" w:hAnsi="Verdana"/>
          <w:sz w:val="16"/>
          <w:szCs w:val="16"/>
          <w:lang w:val="es-ES"/>
        </w:rPr>
        <w:t>SOCIANA</w:t>
      </w:r>
      <w:r w:rsidRPr="00BC57A2">
        <w:rPr>
          <w:rFonts w:ascii="Verdana" w:hAnsi="Verdana"/>
          <w:sz w:val="16"/>
          <w:szCs w:val="16"/>
          <w:lang w:val="es-ES"/>
        </w:rPr>
        <w:t xml:space="preserve">, fundación que asesora a las comunidades, habría sido agredido por un poblador criollo. El 17 de abril, 15 indígenas de La Puntana habrían resultado heridos y otros siete detenidos por parte de la fuerza pública, luego de realizar una protesta en la escuela de esa comunidad. </w:t>
      </w:r>
      <w:r w:rsidRPr="00BC57A2">
        <w:rPr>
          <w:rFonts w:ascii="Verdana" w:hAnsi="Verdana"/>
          <w:sz w:val="16"/>
          <w:szCs w:val="16"/>
          <w:lang w:val="es-CR"/>
        </w:rPr>
        <w:t>(</w:t>
      </w:r>
      <w:r w:rsidRPr="00BC57A2">
        <w:rPr>
          <w:rFonts w:ascii="Verdana" w:hAnsi="Verdana"/>
          <w:i/>
          <w:sz w:val="16"/>
          <w:szCs w:val="16"/>
          <w:lang w:val="es-CR"/>
        </w:rPr>
        <w:t>Cfr.</w:t>
      </w:r>
      <w:r w:rsidRPr="00BC57A2">
        <w:rPr>
          <w:rFonts w:ascii="Verdana" w:hAnsi="Verdana"/>
          <w:sz w:val="16"/>
          <w:szCs w:val="16"/>
          <w:lang w:val="es-CR"/>
        </w:rPr>
        <w:t xml:space="preserve"> Comunicado público de 9 de abril de 2013 e Informe de la Comisión de Derechos Humanos de la Universidad Nacional de Salta. Expediente de prueba, anexo H.13 al escrito de solicitudes y argumentos, fs. 31.181 a 31.193</w:t>
      </w:r>
      <w:r>
        <w:rPr>
          <w:rFonts w:ascii="Verdana" w:hAnsi="Verdana"/>
          <w:sz w:val="16"/>
          <w:szCs w:val="16"/>
          <w:lang w:val="es-CR"/>
        </w:rPr>
        <w:t>.</w:t>
      </w:r>
      <w:r w:rsidRPr="00BC57A2">
        <w:rPr>
          <w:rFonts w:ascii="Verdana" w:hAnsi="Verdana"/>
          <w:sz w:val="16"/>
          <w:szCs w:val="16"/>
          <w:lang w:val="es-CR"/>
        </w:rPr>
        <w:t>) No se han presentado ante este Tribunal argumentos de derecho relacionados con tales incidentes.</w:t>
      </w:r>
    </w:p>
    <w:p w14:paraId="6D15341E" w14:textId="77777777" w:rsidR="0023585A" w:rsidRPr="00BC57A2" w:rsidRDefault="0023585A" w:rsidP="009805F2">
      <w:pPr>
        <w:pStyle w:val="Prrafodelista"/>
        <w:spacing w:after="0" w:line="240" w:lineRule="auto"/>
        <w:ind w:left="0"/>
        <w:jc w:val="both"/>
        <w:rPr>
          <w:rFonts w:ascii="Verdana" w:hAnsi="Verdana"/>
          <w:sz w:val="16"/>
          <w:szCs w:val="16"/>
          <w:lang w:val="es-ES"/>
        </w:rPr>
      </w:pPr>
      <w:r w:rsidRPr="00BC57A2">
        <w:rPr>
          <w:rFonts w:ascii="Verdana" w:hAnsi="Verdana"/>
          <w:sz w:val="16"/>
          <w:szCs w:val="16"/>
          <w:lang w:val="es-CR"/>
        </w:rPr>
        <w:t xml:space="preserve"> </w:t>
      </w:r>
    </w:p>
  </w:footnote>
  <w:footnote w:id="77">
    <w:p w14:paraId="617D492D" w14:textId="77777777" w:rsidR="0023585A" w:rsidRPr="00BC57A2" w:rsidRDefault="0023585A" w:rsidP="009805F2">
      <w:pPr>
        <w:pStyle w:val="Textonotapie"/>
        <w:rPr>
          <w:sz w:val="16"/>
          <w:szCs w:val="16"/>
          <w:lang w:val="es-ES_tradnl"/>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Cfr.</w:t>
      </w:r>
      <w:r w:rsidRPr="00BC57A2">
        <w:rPr>
          <w:sz w:val="16"/>
          <w:szCs w:val="16"/>
          <w:lang w:val="es-CR"/>
        </w:rPr>
        <w:t xml:space="preserve"> </w:t>
      </w:r>
      <w:r w:rsidRPr="00BC57A2">
        <w:rPr>
          <w:sz w:val="16"/>
          <w:szCs w:val="16"/>
          <w:lang w:val="es-ES_tradnl"/>
        </w:rPr>
        <w:t>Decreto 2398/12. Expediente de prueba, Anexo H.8 al escrito de solicitudes y argumentos, fs. 31.161 a 31.163.</w:t>
      </w:r>
    </w:p>
    <w:p w14:paraId="1E6D1AF1" w14:textId="77777777" w:rsidR="0023585A" w:rsidRPr="00BC57A2" w:rsidRDefault="0023585A" w:rsidP="009805F2">
      <w:pPr>
        <w:pStyle w:val="Textonotapie"/>
        <w:rPr>
          <w:sz w:val="16"/>
          <w:szCs w:val="16"/>
          <w:lang w:val="es-CR"/>
        </w:rPr>
      </w:pPr>
    </w:p>
  </w:footnote>
  <w:footnote w:id="78">
    <w:p w14:paraId="5AAF4FFD"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El plan de trabajo preveía la incorporación del INAI en el proceso de instrumentación de la propiedad comunitaria y la utilización de fondos previstos por la ley nacional 26.160 (</w:t>
      </w:r>
      <w:r w:rsidRPr="00BC57A2">
        <w:rPr>
          <w:i/>
          <w:sz w:val="16"/>
          <w:szCs w:val="16"/>
          <w:lang w:val="es-CR"/>
        </w:rPr>
        <w:t>supra</w:t>
      </w:r>
      <w:r w:rsidRPr="00BC57A2">
        <w:rPr>
          <w:sz w:val="16"/>
          <w:szCs w:val="16"/>
          <w:lang w:val="es-CR"/>
        </w:rPr>
        <w:t xml:space="preserve"> párr. 54). Establecía una periodicidad aproximada de 15 días para “talleres participativos” con las familias criollas y las comunidades indígenas, así como una metodología para definir un “mapa de superposición de territorios” y luego realizar propuestas para obtener un mapa con el límite demarcado entre territorio indígena y criollo. También previó talleres entre “vecinos criollos” para definir las parcelas para cada familia criolla (</w:t>
      </w:r>
      <w:r w:rsidRPr="00BC57A2">
        <w:rPr>
          <w:i/>
          <w:sz w:val="16"/>
          <w:szCs w:val="16"/>
          <w:lang w:val="es-CR"/>
        </w:rPr>
        <w:t>cfr.</w:t>
      </w:r>
      <w:r w:rsidRPr="00BC57A2">
        <w:rPr>
          <w:sz w:val="16"/>
          <w:szCs w:val="16"/>
          <w:lang w:val="es-CR"/>
        </w:rPr>
        <w:t xml:space="preserve"> expediente de prueba, anexo H.24 al escrito de solicitudes y argumentos, fs. 31.258 a 31.282). </w:t>
      </w:r>
    </w:p>
    <w:p w14:paraId="129C7ED8" w14:textId="77777777" w:rsidR="0023585A" w:rsidRPr="00BC57A2" w:rsidRDefault="0023585A" w:rsidP="009805F2">
      <w:pPr>
        <w:pStyle w:val="Textonotapie"/>
        <w:rPr>
          <w:sz w:val="16"/>
          <w:szCs w:val="16"/>
          <w:lang w:val="es-CR"/>
        </w:rPr>
      </w:pPr>
    </w:p>
  </w:footnote>
  <w:footnote w:id="79">
    <w:p w14:paraId="18BAE775" w14:textId="77777777" w:rsidR="0023585A" w:rsidRPr="00BC57A2" w:rsidRDefault="0023585A" w:rsidP="009805F2">
      <w:pPr>
        <w:pStyle w:val="Prrafodelista"/>
        <w:spacing w:after="0" w:line="240" w:lineRule="auto"/>
        <w:ind w:left="0"/>
        <w:jc w:val="both"/>
        <w:rPr>
          <w:rFonts w:ascii="Verdana" w:hAnsi="Verdana"/>
          <w:sz w:val="16"/>
          <w:szCs w:val="16"/>
          <w:lang w:val="es-ES"/>
        </w:rPr>
      </w:pPr>
      <w:r w:rsidRPr="00BC57A2">
        <w:rPr>
          <w:rStyle w:val="Refdenotaalpie"/>
          <w:rFonts w:ascii="Verdana" w:hAnsi="Verdana"/>
          <w:sz w:val="16"/>
          <w:szCs w:val="16"/>
        </w:rPr>
        <w:footnoteRef/>
      </w:r>
      <w:r w:rsidRPr="00BC57A2">
        <w:rPr>
          <w:rFonts w:ascii="Verdana" w:hAnsi="Verdana"/>
          <w:sz w:val="16"/>
          <w:szCs w:val="16"/>
          <w:lang w:val="es-CR"/>
        </w:rPr>
        <w:t xml:space="preserve"> </w:t>
      </w:r>
      <w:r w:rsidRPr="00BC57A2">
        <w:rPr>
          <w:rFonts w:ascii="Verdana" w:hAnsi="Verdana"/>
          <w:sz w:val="16"/>
          <w:szCs w:val="16"/>
          <w:lang w:val="es-CR"/>
        </w:rPr>
        <w:tab/>
        <w:t>No obstante, en un acta conjunta de 17 de julio de 2013, la OFC, Lhaka Honhat y caciques de varias zonas señalaron que se reunían “para analizar la situación de inacción de la UEP y la falta de cumplimiento de los compromisos asumidos por el Gobernador de la Provincia” (</w:t>
      </w:r>
      <w:r w:rsidRPr="00BC57A2">
        <w:rPr>
          <w:rFonts w:ascii="Verdana" w:hAnsi="Verdana"/>
          <w:i/>
          <w:sz w:val="16"/>
          <w:szCs w:val="16"/>
          <w:lang w:val="es-CR"/>
        </w:rPr>
        <w:t>cfr.</w:t>
      </w:r>
      <w:r w:rsidRPr="00BC57A2">
        <w:rPr>
          <w:rFonts w:ascii="Verdana" w:hAnsi="Verdana"/>
          <w:sz w:val="16"/>
          <w:szCs w:val="16"/>
          <w:lang w:val="es-CR"/>
        </w:rPr>
        <w:t xml:space="preserve"> Acta de 17 de julio de 2013. Expediente de prueba, anexo H.20 al escrito de solicitudes y argumentos, fs. 31.224 a 31.226)</w:t>
      </w:r>
      <w:r w:rsidRPr="00BC57A2">
        <w:rPr>
          <w:rFonts w:ascii="Verdana" w:hAnsi="Verdana"/>
          <w:sz w:val="16"/>
          <w:szCs w:val="16"/>
          <w:lang w:val="es-ES"/>
        </w:rPr>
        <w:t>.</w:t>
      </w:r>
    </w:p>
    <w:p w14:paraId="554E35D1" w14:textId="77777777" w:rsidR="0023585A" w:rsidRPr="00BC57A2" w:rsidRDefault="0023585A" w:rsidP="009805F2">
      <w:pPr>
        <w:pStyle w:val="Prrafodelista"/>
        <w:spacing w:after="0" w:line="240" w:lineRule="auto"/>
        <w:ind w:left="0"/>
        <w:jc w:val="both"/>
        <w:rPr>
          <w:rFonts w:ascii="Verdana" w:hAnsi="Verdana"/>
          <w:sz w:val="16"/>
          <w:szCs w:val="16"/>
          <w:lang w:val="es-CR"/>
        </w:rPr>
      </w:pPr>
    </w:p>
  </w:footnote>
  <w:footnote w:id="80">
    <w:p w14:paraId="34736340"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 xml:space="preserve">Los términos literales del articulado del Decreto 1498/14 expresan que la propiedad comunitaria abarca el 58,27% de los inmuebles con nomenclatura catastral No. 175 y 5557 del Departamento Rivadavia. En las consideraciones del Decreto se aclara que tal nomenclatura corresponde a los lotes 55 y 14, cuya superficie exacta todavía no ha sido calculada, tomándose como “referencia” la cantidad de 643.000 ha. </w:t>
      </w:r>
    </w:p>
    <w:p w14:paraId="49B35D4D" w14:textId="77777777" w:rsidR="0023585A" w:rsidRPr="00BC57A2" w:rsidRDefault="0023585A" w:rsidP="009805F2">
      <w:pPr>
        <w:pStyle w:val="Textonotapie"/>
        <w:rPr>
          <w:sz w:val="16"/>
          <w:szCs w:val="16"/>
          <w:lang w:val="es-CR"/>
        </w:rPr>
      </w:pPr>
      <w:r w:rsidRPr="00BC57A2">
        <w:rPr>
          <w:sz w:val="16"/>
          <w:szCs w:val="16"/>
          <w:lang w:val="es-CR"/>
        </w:rPr>
        <w:t xml:space="preserve"> </w:t>
      </w:r>
    </w:p>
  </w:footnote>
  <w:footnote w:id="81">
    <w:p w14:paraId="010F1EA8"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 xml:space="preserve">No queda clara la cantidad exacta de “familias” criollas contempladas en el Decreto 1498/14, pues el detalle que hace el mismo al respecto no es por persona o familia, sino por “puestos”. Indica 382 “puestos”, señalando personas “solicitantes” de los mismos. De la lectura se advierte que, de acuerdo al caso, una misma persona es “solicitante” de distintos puestos y que, a su vez, hay distintos “solicitantes” con el mismo apellido, lo que hace suponer que pertenezcan a una misma familia. </w:t>
      </w:r>
    </w:p>
    <w:p w14:paraId="3C17B1AD" w14:textId="77777777" w:rsidR="0023585A" w:rsidRPr="00BC57A2" w:rsidRDefault="0023585A" w:rsidP="009805F2">
      <w:pPr>
        <w:pStyle w:val="Textonotapie"/>
        <w:rPr>
          <w:sz w:val="16"/>
          <w:szCs w:val="16"/>
          <w:lang w:val="es-CR"/>
        </w:rPr>
      </w:pPr>
    </w:p>
  </w:footnote>
  <w:footnote w:id="82">
    <w:p w14:paraId="74081ED9"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Cfr.</w:t>
      </w:r>
      <w:r w:rsidRPr="00BC57A2">
        <w:rPr>
          <w:sz w:val="16"/>
          <w:szCs w:val="16"/>
          <w:lang w:val="es-CR"/>
        </w:rPr>
        <w:t xml:space="preserve"> Decreto 1498/14. Expediente de prueba, anexo H.32 al escrito de solicitudes y argumentos, fs. 31.336 a 31.352.</w:t>
      </w:r>
    </w:p>
    <w:p w14:paraId="769470CD" w14:textId="77777777" w:rsidR="0023585A" w:rsidRPr="00BC57A2" w:rsidRDefault="0023585A" w:rsidP="009805F2">
      <w:pPr>
        <w:pStyle w:val="Textonotapie"/>
        <w:rPr>
          <w:sz w:val="16"/>
          <w:szCs w:val="16"/>
          <w:lang w:val="es-CR"/>
        </w:rPr>
      </w:pPr>
      <w:r w:rsidRPr="00BC57A2">
        <w:rPr>
          <w:sz w:val="16"/>
          <w:szCs w:val="16"/>
          <w:lang w:val="es-CR"/>
        </w:rPr>
        <w:t xml:space="preserve"> </w:t>
      </w:r>
    </w:p>
  </w:footnote>
  <w:footnote w:id="83">
    <w:p w14:paraId="37B85FFC" w14:textId="2BD07069" w:rsidR="0023585A" w:rsidRPr="00BC57A2" w:rsidRDefault="0023585A" w:rsidP="009805F2">
      <w:pPr>
        <w:pStyle w:val="Textonotapie"/>
        <w:tabs>
          <w:tab w:val="left" w:pos="567"/>
        </w:tabs>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 xml:space="preserve">  </w:t>
      </w:r>
      <w:r w:rsidRPr="00BC57A2">
        <w:rPr>
          <w:i/>
          <w:sz w:val="16"/>
          <w:szCs w:val="16"/>
          <w:lang w:val="es-CR"/>
        </w:rPr>
        <w:t>Cfr.</w:t>
      </w:r>
      <w:r w:rsidRPr="00BC57A2">
        <w:rPr>
          <w:sz w:val="16"/>
          <w:szCs w:val="16"/>
          <w:lang w:val="es-CR"/>
        </w:rPr>
        <w:t xml:space="preserve"> Mapa. Expediente de prueba, anexo H.66 al escrito de solicitudes y argumentos, fs. 31</w:t>
      </w:r>
      <w:r>
        <w:rPr>
          <w:sz w:val="16"/>
          <w:szCs w:val="16"/>
          <w:lang w:val="es-CR"/>
        </w:rPr>
        <w:t>.</w:t>
      </w:r>
      <w:r w:rsidRPr="00BC57A2">
        <w:rPr>
          <w:sz w:val="16"/>
          <w:szCs w:val="16"/>
          <w:lang w:val="es-CR"/>
        </w:rPr>
        <w:t>798 a 31</w:t>
      </w:r>
      <w:r>
        <w:rPr>
          <w:sz w:val="16"/>
          <w:szCs w:val="16"/>
          <w:lang w:val="es-CR"/>
        </w:rPr>
        <w:t>.</w:t>
      </w:r>
      <w:r w:rsidRPr="00BC57A2">
        <w:rPr>
          <w:sz w:val="16"/>
          <w:szCs w:val="16"/>
          <w:lang w:val="es-CR"/>
        </w:rPr>
        <w:t>804. Los representantes señalaron que se trata de una versión del mapa “a abril de 2018” que muestra, según los representantes, “casi la totalidad de los criollos asentados en las 400.000 hectáreas de reclamo indígena que aún no tienen siquiera un acuerdo para ser trasladado”.</w:t>
      </w:r>
    </w:p>
    <w:p w14:paraId="37471599" w14:textId="77777777" w:rsidR="0023585A" w:rsidRPr="00BC57A2" w:rsidRDefault="0023585A" w:rsidP="009805F2">
      <w:pPr>
        <w:pStyle w:val="Textonotapie"/>
        <w:tabs>
          <w:tab w:val="left" w:pos="567"/>
        </w:tabs>
        <w:rPr>
          <w:sz w:val="16"/>
          <w:szCs w:val="16"/>
          <w:lang w:val="es-CR"/>
        </w:rPr>
      </w:pPr>
    </w:p>
  </w:footnote>
  <w:footnote w:id="84">
    <w:p w14:paraId="3D145A43"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Cfr</w:t>
      </w:r>
      <w:r w:rsidRPr="00BC57A2">
        <w:rPr>
          <w:sz w:val="16"/>
          <w:szCs w:val="16"/>
          <w:lang w:val="es-CR"/>
        </w:rPr>
        <w:t>. Resolución 654 del Ministerio de Derechos Humanos de la Provincia de Salta. Expediente de prueba, anexo H.34 al escrito de solicitudes y argumentos, fs. 31.357 a 31.366.</w:t>
      </w:r>
    </w:p>
    <w:p w14:paraId="50D78159" w14:textId="77777777" w:rsidR="0023585A" w:rsidRPr="00BC57A2" w:rsidRDefault="0023585A" w:rsidP="009805F2">
      <w:pPr>
        <w:pStyle w:val="Textonotapie"/>
        <w:rPr>
          <w:sz w:val="16"/>
          <w:szCs w:val="16"/>
          <w:lang w:val="es-CR"/>
        </w:rPr>
      </w:pPr>
      <w:r w:rsidRPr="00BC57A2">
        <w:rPr>
          <w:sz w:val="16"/>
          <w:szCs w:val="16"/>
          <w:lang w:val="es-CR"/>
        </w:rPr>
        <w:t xml:space="preserve"> </w:t>
      </w:r>
    </w:p>
  </w:footnote>
  <w:footnote w:id="85">
    <w:p w14:paraId="768A1855"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Cfr.</w:t>
      </w:r>
      <w:r w:rsidRPr="00BC57A2">
        <w:rPr>
          <w:sz w:val="16"/>
          <w:szCs w:val="16"/>
          <w:lang w:val="es-CR"/>
        </w:rPr>
        <w:t xml:space="preserve"> Nota a la Comisión de 27 de noviembre de 2014. Expediente de prueba, anexo H.37 al escrito de solicitudes y argumentos, fs. 31.376 a 31.380.</w:t>
      </w:r>
    </w:p>
    <w:p w14:paraId="2AD46F63" w14:textId="77777777" w:rsidR="0023585A" w:rsidRPr="00BC57A2" w:rsidRDefault="0023585A" w:rsidP="009805F2">
      <w:pPr>
        <w:pStyle w:val="Textonotapie"/>
        <w:rPr>
          <w:sz w:val="16"/>
          <w:szCs w:val="16"/>
          <w:lang w:val="es-CR"/>
        </w:rPr>
      </w:pPr>
    </w:p>
  </w:footnote>
  <w:footnote w:id="86">
    <w:p w14:paraId="32C20235"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En una reunión de principios de marzo, funcionarios provinciales manifestaron que aún no estaba aprobado el presupuesto presentado al Estado Nacional para realizar las obras para el traslado de las familias criollas (</w:t>
      </w:r>
      <w:r w:rsidRPr="00BC57A2">
        <w:rPr>
          <w:i/>
          <w:sz w:val="16"/>
          <w:szCs w:val="16"/>
          <w:lang w:val="es-CR"/>
        </w:rPr>
        <w:t>cfr.</w:t>
      </w:r>
      <w:r w:rsidRPr="00BC57A2">
        <w:rPr>
          <w:sz w:val="16"/>
          <w:szCs w:val="16"/>
          <w:lang w:val="es-CR"/>
        </w:rPr>
        <w:t xml:space="preserve"> nota de Lhaka Honhat al Ministro de Asuntos Indígenas de Salta de 27 de enero de 2016; expediente de prueba, anexo H.44 al escrito de solicitudes y argumentos, fs. 31.450 al 31.451).</w:t>
      </w:r>
    </w:p>
    <w:p w14:paraId="57DB6B8B" w14:textId="77777777" w:rsidR="0023585A" w:rsidRPr="00BC57A2" w:rsidRDefault="0023585A" w:rsidP="009805F2">
      <w:pPr>
        <w:pStyle w:val="Textonotapie"/>
        <w:rPr>
          <w:sz w:val="16"/>
          <w:szCs w:val="16"/>
          <w:lang w:val="es-CR"/>
        </w:rPr>
      </w:pPr>
      <w:r w:rsidRPr="00BC57A2">
        <w:rPr>
          <w:sz w:val="16"/>
          <w:szCs w:val="16"/>
          <w:lang w:val="es-CR"/>
        </w:rPr>
        <w:t xml:space="preserve"> </w:t>
      </w:r>
    </w:p>
  </w:footnote>
  <w:footnote w:id="87">
    <w:p w14:paraId="17B9877E" w14:textId="5EF3403F" w:rsidR="0023585A" w:rsidRPr="00BC57A2" w:rsidRDefault="0023585A" w:rsidP="009805F2">
      <w:pPr>
        <w:pStyle w:val="Prrafodelista"/>
        <w:spacing w:line="240" w:lineRule="auto"/>
        <w:ind w:left="0"/>
        <w:jc w:val="both"/>
        <w:rPr>
          <w:rFonts w:ascii="Verdana" w:hAnsi="Verdana"/>
          <w:sz w:val="16"/>
          <w:szCs w:val="16"/>
          <w:lang w:val="es-CR"/>
        </w:rPr>
      </w:pPr>
      <w:r w:rsidRPr="00BC57A2">
        <w:rPr>
          <w:rStyle w:val="Refdenotaalpie"/>
          <w:rFonts w:ascii="Verdana" w:hAnsi="Verdana"/>
          <w:sz w:val="16"/>
          <w:szCs w:val="16"/>
        </w:rPr>
        <w:footnoteRef/>
      </w:r>
      <w:r w:rsidRPr="00BC57A2">
        <w:rPr>
          <w:rFonts w:ascii="Verdana" w:hAnsi="Verdana"/>
          <w:sz w:val="16"/>
          <w:szCs w:val="16"/>
          <w:lang w:val="es-CR"/>
        </w:rPr>
        <w:t xml:space="preserve"> </w:t>
      </w:r>
      <w:r w:rsidRPr="00BC57A2">
        <w:rPr>
          <w:rFonts w:ascii="Verdana" w:hAnsi="Verdana"/>
          <w:sz w:val="16"/>
          <w:szCs w:val="16"/>
          <w:lang w:val="es-CR"/>
        </w:rPr>
        <w:tab/>
      </w:r>
      <w:r w:rsidRPr="00BC57A2">
        <w:rPr>
          <w:rFonts w:ascii="Verdana" w:hAnsi="Verdana"/>
          <w:i/>
          <w:sz w:val="16"/>
          <w:szCs w:val="16"/>
          <w:lang w:val="es-CR"/>
        </w:rPr>
        <w:t>Cfr.</w:t>
      </w:r>
      <w:r w:rsidRPr="00BC57A2">
        <w:rPr>
          <w:rFonts w:ascii="Verdana" w:hAnsi="Verdana"/>
          <w:sz w:val="16"/>
          <w:szCs w:val="16"/>
          <w:lang w:val="es-CR"/>
        </w:rPr>
        <w:t xml:space="preserve"> Nota a la Comisión de 4 de julio de 2016. Expediente de prueba, anexo H.46 al escrito de solicitudes y argumentos, fs. 31.455 a 31.459. El Estado se refirió a los siguientes acuerdos: Convenio Marco de Cooperación entre el Instituto Geográfico Nacional y el Ministerio de Asuntos Indígenas y Desarrollo Comunitario de la Provincia de Salta; Convenio Marco de Colaboración entre el Ministerio del Interior, Obras Públicas y Vivienda, la Secretaría de Vivienda y Hábitat y la Provincia de Salta para la construcción de viviendas, urbanización de barrios vulnera</w:t>
      </w:r>
      <w:r>
        <w:rPr>
          <w:rFonts w:ascii="Verdana" w:hAnsi="Verdana"/>
          <w:sz w:val="16"/>
          <w:szCs w:val="16"/>
          <w:lang w:val="es-CR"/>
        </w:rPr>
        <w:t>bles y mejoramiento del hábitat, y</w:t>
      </w:r>
      <w:r w:rsidRPr="00BC57A2">
        <w:rPr>
          <w:rFonts w:ascii="Verdana" w:hAnsi="Verdana"/>
          <w:sz w:val="16"/>
          <w:szCs w:val="16"/>
          <w:lang w:val="es-CR"/>
        </w:rPr>
        <w:t xml:space="preserve"> Convenio de Instrumentación de la Propiedad Comunitaria de las Comunidades Indígenas asentadas en los Ex Lotes 14 y 55 del Departamento Rivadavia de la Provincia de Salta, entre el INAI y el Ministerio de Asuntos Indígenas de Salta.</w:t>
      </w:r>
    </w:p>
    <w:p w14:paraId="438FB800" w14:textId="77777777" w:rsidR="0023585A" w:rsidRPr="00BC57A2" w:rsidRDefault="0023585A" w:rsidP="009805F2">
      <w:pPr>
        <w:pStyle w:val="Prrafodelista"/>
        <w:spacing w:line="240" w:lineRule="auto"/>
        <w:ind w:left="0"/>
        <w:jc w:val="both"/>
        <w:rPr>
          <w:rFonts w:ascii="Verdana" w:hAnsi="Verdana"/>
          <w:sz w:val="16"/>
          <w:szCs w:val="16"/>
          <w:lang w:val="es-CR"/>
        </w:rPr>
      </w:pPr>
      <w:r w:rsidRPr="00BC57A2">
        <w:rPr>
          <w:rFonts w:ascii="Verdana" w:hAnsi="Verdana"/>
          <w:sz w:val="16"/>
          <w:szCs w:val="16"/>
          <w:lang w:val="es-CR"/>
        </w:rPr>
        <w:t xml:space="preserve"> </w:t>
      </w:r>
    </w:p>
  </w:footnote>
  <w:footnote w:id="88">
    <w:p w14:paraId="7B92BFEC" w14:textId="668AFBFB" w:rsidR="0023585A" w:rsidRPr="00BC57A2" w:rsidRDefault="0023585A" w:rsidP="009805F2">
      <w:pPr>
        <w:pStyle w:val="Prrafodelista"/>
        <w:autoSpaceDE w:val="0"/>
        <w:autoSpaceDN w:val="0"/>
        <w:adjustRightInd w:val="0"/>
        <w:spacing w:after="0" w:line="240" w:lineRule="auto"/>
        <w:ind w:left="0"/>
        <w:jc w:val="both"/>
        <w:rPr>
          <w:rFonts w:ascii="Verdana" w:hAnsi="Verdana"/>
          <w:sz w:val="16"/>
          <w:szCs w:val="16"/>
          <w:lang w:val="es-CR"/>
        </w:rPr>
      </w:pPr>
      <w:r w:rsidRPr="00BC57A2">
        <w:rPr>
          <w:rStyle w:val="Refdenotaalpie"/>
          <w:rFonts w:ascii="Verdana" w:hAnsi="Verdana"/>
          <w:sz w:val="16"/>
          <w:szCs w:val="16"/>
        </w:rPr>
        <w:footnoteRef/>
      </w:r>
      <w:r w:rsidRPr="00BC57A2">
        <w:rPr>
          <w:rFonts w:ascii="Verdana" w:hAnsi="Verdana"/>
          <w:sz w:val="16"/>
          <w:szCs w:val="16"/>
          <w:lang w:val="es-CR"/>
        </w:rPr>
        <w:t xml:space="preserve"> </w:t>
      </w:r>
      <w:r w:rsidRPr="00BC57A2">
        <w:rPr>
          <w:rFonts w:ascii="Verdana" w:hAnsi="Verdana"/>
          <w:sz w:val="16"/>
          <w:szCs w:val="16"/>
          <w:lang w:val="es-CR"/>
        </w:rPr>
        <w:tab/>
        <w:t xml:space="preserve">Argentina aclaró que el tiempo responde, “fundamentalmente”, a la “necesidad de las familias criollas de adoptar la tecnología e incorporar los conocimientos pertinentes para lograr un adecuado manejo del ganado. Si así no fuera [...] volverían a sus antiguas prácticas de manejo de ganado a campo abierto, lo que implicaría el retorno de los animales a territorios de las comunidades”. El Plan abarca cuatro ejes: 1.- Título de Propiedad; 2.- Unidades Productivas para Familias Criollas; 3.- Unidades Domésticas para Familias Criollas Relocalizadas; y 4.- Infraestructura Pública en zonas de reubicación. En cuanto al eje 1 prevé: en el primer año, finalizar la demarcación de las 400.000 ha de las comunidades indígenas, junto con los acuerdos de partes con las familias criollas y la ubicación definitiva de sus parcelas; en el segundo año: concluir las mensuras, escriturar y entregar títulos de propiedad a comunidades indígenas y familias criollas. En cuanto a los ejes 2, 3 y 4 prevé: i.-en dos años, lograr la relocalización definitiva de familias y ganado que ya cuentan con acuerdos finalizados y ya son beneficiarios de mensuras, proyectos productivos, acceso al agua y vivienda; ii.- en cinco años, finalizar la relocalización de familias y ganado que cuentan con acuerdos a finalizar; iii- en ocho años: finalizar la relocalización de familias y ganado de quienes aún no se ha iniciado el relevamiento necesario para lograr acuerdos. </w:t>
      </w:r>
      <w:r w:rsidRPr="00BC57A2">
        <w:rPr>
          <w:rFonts w:ascii="Verdana" w:hAnsi="Verdana"/>
          <w:i/>
          <w:sz w:val="16"/>
          <w:szCs w:val="16"/>
          <w:lang w:val="es-CR"/>
        </w:rPr>
        <w:t>Cfr</w:t>
      </w:r>
      <w:r w:rsidRPr="00BC57A2">
        <w:rPr>
          <w:rFonts w:ascii="Verdana" w:hAnsi="Verdana"/>
          <w:sz w:val="16"/>
          <w:szCs w:val="16"/>
          <w:lang w:val="es-CR"/>
        </w:rPr>
        <w:t>. Propuesta Integral de Trabajo presentada por el Estado a la Comisión</w:t>
      </w:r>
      <w:r>
        <w:rPr>
          <w:rFonts w:ascii="Verdana" w:hAnsi="Verdana"/>
          <w:sz w:val="16"/>
          <w:szCs w:val="16"/>
          <w:lang w:val="es-CR"/>
        </w:rPr>
        <w:t>, de</w:t>
      </w:r>
      <w:r w:rsidRPr="00BC57A2">
        <w:rPr>
          <w:rFonts w:ascii="Verdana" w:hAnsi="Verdana"/>
          <w:sz w:val="16"/>
          <w:szCs w:val="16"/>
          <w:lang w:val="es-CR"/>
        </w:rPr>
        <w:t xml:space="preserve"> 24 de noviembre de 2017. Expediente de prueba, anexo H.59 al escrito de solicitudes y argumentos, fs. 31.626 a 31.649</w:t>
      </w:r>
      <w:r>
        <w:rPr>
          <w:rFonts w:ascii="Verdana" w:hAnsi="Verdana"/>
          <w:sz w:val="16"/>
          <w:szCs w:val="16"/>
          <w:lang w:val="es-CR"/>
        </w:rPr>
        <w:t>; en adelante “Propuesta Integral de Trabajo”</w:t>
      </w:r>
      <w:r w:rsidRPr="00BC57A2">
        <w:rPr>
          <w:rFonts w:ascii="Verdana" w:hAnsi="Verdana"/>
          <w:sz w:val="16"/>
          <w:szCs w:val="16"/>
          <w:lang w:val="es-CR"/>
        </w:rPr>
        <w:t>).</w:t>
      </w:r>
    </w:p>
    <w:p w14:paraId="47D9BE77" w14:textId="77777777" w:rsidR="0023585A" w:rsidRPr="00BC57A2" w:rsidRDefault="0023585A" w:rsidP="009805F2">
      <w:pPr>
        <w:pStyle w:val="Prrafodelista"/>
        <w:autoSpaceDE w:val="0"/>
        <w:autoSpaceDN w:val="0"/>
        <w:adjustRightInd w:val="0"/>
        <w:spacing w:after="0" w:line="240" w:lineRule="auto"/>
        <w:ind w:left="0"/>
        <w:jc w:val="both"/>
        <w:rPr>
          <w:rFonts w:ascii="Verdana" w:hAnsi="Verdana"/>
          <w:sz w:val="16"/>
          <w:szCs w:val="16"/>
          <w:lang w:val="es-CR"/>
        </w:rPr>
      </w:pPr>
    </w:p>
  </w:footnote>
  <w:footnote w:id="89">
    <w:p w14:paraId="076CAD48"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 xml:space="preserve">En el Informe de Fondo la Comisión expresó que tanto los entonces peticionarios como el Estado habían “reconocido expresamente que las comunidades indígenas que habitan los [l]otes […] 14 y 55 tienen derecho a la propiedad de su territorio ancestral”. En el mismo sentido, en el trámite del caso ante la Corte los representantes señalaron que el Estado “ha reconocido en innumerables ocasiones que las comunidades indígenas tienen derecho a sus territorios, por lo que este caso no versa sobre si tienen o no derechos a sus territorios sino [sobre] su efectiva materialización”. Argentina, por su parte, de modo similar, afirmó que “no existen dudas sobre el reconocimiento al derecho de propiedad de las comunidades o de su territorio de uso tradicional”. </w:t>
      </w:r>
    </w:p>
    <w:p w14:paraId="6F4052A9" w14:textId="77777777" w:rsidR="0023585A" w:rsidRPr="00BC57A2" w:rsidRDefault="0023585A" w:rsidP="009805F2">
      <w:pPr>
        <w:pStyle w:val="Textonotapie"/>
        <w:rPr>
          <w:sz w:val="16"/>
          <w:szCs w:val="16"/>
          <w:lang w:val="es-CR"/>
        </w:rPr>
      </w:pPr>
    </w:p>
  </w:footnote>
  <w:footnote w:id="90">
    <w:p w14:paraId="11AFFD61"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 xml:space="preserve">La </w:t>
      </w:r>
      <w:r w:rsidRPr="00BC57A2">
        <w:rPr>
          <w:rFonts w:eastAsia="Calibri" w:cs="Times New Roman"/>
          <w:sz w:val="16"/>
          <w:szCs w:val="16"/>
          <w:lang w:val="es-CR"/>
        </w:rPr>
        <w:t>Corte examinará todas las violaciones alegadas por la Comisión y los representantes. Al respecto, recuerda su jurisprudencia constante en cuanto a que “[l]as presuntas víctimas y sus representantes pueden invocar la violación de derechos distintos a los comprendidos en el Informe de Fondo, siempre y cuando se atengan a los hechos contenidos en dicho documento” (</w:t>
      </w:r>
      <w:r w:rsidRPr="00BC57A2">
        <w:rPr>
          <w:i/>
          <w:sz w:val="16"/>
          <w:szCs w:val="16"/>
          <w:lang w:val="es-CR"/>
        </w:rPr>
        <w:t xml:space="preserve">cfr. </w:t>
      </w:r>
      <w:r w:rsidRPr="00BC57A2">
        <w:rPr>
          <w:rFonts w:eastAsia="Times"/>
          <w:i/>
          <w:sz w:val="16"/>
          <w:szCs w:val="16"/>
          <w:lang w:val="es-CR"/>
        </w:rPr>
        <w:t>Caso “Cinco Pensionistas” Vs. Perú. Fondo, Reparaciones y Costas.</w:t>
      </w:r>
      <w:r w:rsidRPr="00BC57A2">
        <w:rPr>
          <w:rFonts w:eastAsia="Times"/>
          <w:sz w:val="16"/>
          <w:szCs w:val="16"/>
          <w:lang w:val="es-CR"/>
        </w:rPr>
        <w:t xml:space="preserve"> Sentencia de 28 de febrero de 2003. Serie C No. 98, </w:t>
      </w:r>
      <w:r w:rsidRPr="00BC57A2">
        <w:rPr>
          <w:iCs/>
          <w:sz w:val="16"/>
          <w:szCs w:val="16"/>
          <w:lang w:val="es-CR" w:bidi="en-US"/>
        </w:rPr>
        <w:t xml:space="preserve">párr. 155, </w:t>
      </w:r>
      <w:r w:rsidRPr="00BC57A2">
        <w:rPr>
          <w:rFonts w:eastAsia="Calibri" w:cs="Times New Roman"/>
          <w:sz w:val="16"/>
          <w:szCs w:val="16"/>
          <w:lang w:val="es-CR"/>
        </w:rPr>
        <w:t xml:space="preserve">y </w:t>
      </w:r>
      <w:r w:rsidRPr="00BC57A2">
        <w:rPr>
          <w:rFonts w:eastAsia="Calibri" w:cs="Times New Roman"/>
          <w:i/>
          <w:sz w:val="16"/>
          <w:szCs w:val="16"/>
          <w:lang w:val="es-CR"/>
        </w:rPr>
        <w:t>Caso Girón y otro Vs. Guatemala. Excepción Preliminar, Fondo, Reparaciones y Costas</w:t>
      </w:r>
      <w:r w:rsidRPr="00BC57A2">
        <w:rPr>
          <w:rFonts w:eastAsia="Calibri" w:cs="Times New Roman"/>
          <w:sz w:val="16"/>
          <w:szCs w:val="16"/>
          <w:lang w:val="es-CR"/>
        </w:rPr>
        <w:t>. Sentencia de 15 de octubre de 2019. Serie C No. 390, párr. 94).</w:t>
      </w:r>
    </w:p>
    <w:p w14:paraId="27983FF1" w14:textId="77777777" w:rsidR="0023585A" w:rsidRPr="00BC57A2" w:rsidRDefault="0023585A" w:rsidP="009805F2">
      <w:pPr>
        <w:pStyle w:val="Textonotapie"/>
        <w:spacing w:line="216" w:lineRule="auto"/>
        <w:rPr>
          <w:sz w:val="16"/>
          <w:szCs w:val="16"/>
          <w:lang w:val="es-CR"/>
        </w:rPr>
      </w:pPr>
    </w:p>
  </w:footnote>
  <w:footnote w:id="91">
    <w:p w14:paraId="16D9C1E4" w14:textId="46890A16"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Artículo 21 de la Convención. En este apartado se examina, en conjunto con el derecho de propiedad comunitaria, el derecho al reconocimiento de la personalidad jurídica, el derecho a las garantías judiciales, la liberta</w:t>
      </w:r>
      <w:r>
        <w:rPr>
          <w:sz w:val="16"/>
          <w:szCs w:val="16"/>
          <w:lang w:val="es-CR"/>
        </w:rPr>
        <w:t>d</w:t>
      </w:r>
      <w:r w:rsidRPr="00BC57A2">
        <w:rPr>
          <w:sz w:val="16"/>
          <w:szCs w:val="16"/>
          <w:lang w:val="es-CR"/>
        </w:rPr>
        <w:t xml:space="preserve"> de pensamiento y de expresión, la libertad de asociación, los derechos políticos y el derecho a la protección judicial, reconocidos, respectivamente, en los artículos 3, 8, 13, 16, 23 y 25 de la Convención. El examen de los derechos indicados se realiza en relación c</w:t>
      </w:r>
      <w:r>
        <w:rPr>
          <w:sz w:val="16"/>
          <w:szCs w:val="16"/>
          <w:lang w:val="es-CR"/>
        </w:rPr>
        <w:t>on los artículos 1.1 y 2 de la C</w:t>
      </w:r>
      <w:r w:rsidRPr="00BC57A2">
        <w:rPr>
          <w:sz w:val="16"/>
          <w:szCs w:val="16"/>
          <w:lang w:val="es-CR"/>
        </w:rPr>
        <w:t xml:space="preserve">onvención, que establecen, respectivamente, las obligaciones de respetar y garantizar los derechos, y de adoptar disposiciones de derecho interno. </w:t>
      </w:r>
    </w:p>
    <w:p w14:paraId="3AF00A4A" w14:textId="77777777" w:rsidR="0023585A" w:rsidRPr="00BC57A2" w:rsidRDefault="0023585A" w:rsidP="009805F2">
      <w:pPr>
        <w:pStyle w:val="Textonotapie"/>
        <w:rPr>
          <w:sz w:val="16"/>
          <w:szCs w:val="16"/>
          <w:lang w:val="es-CR"/>
        </w:rPr>
      </w:pPr>
    </w:p>
  </w:footnote>
  <w:footnote w:id="92">
    <w:p w14:paraId="25C79725" w14:textId="5D986C7F"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En esa oportunidad, se aludió a “una interpretación evolutiva de los instrumentos internacionales de protección de derechos humanos, tomando en cuenta las normas de interpretación aplicables y de conformidad con el artículo 29.b de la Convención - que prohíbe una interpretación restrictiva de los derechos” (</w:t>
      </w:r>
      <w:r w:rsidRPr="00BC57A2">
        <w:rPr>
          <w:i/>
          <w:sz w:val="16"/>
          <w:szCs w:val="16"/>
          <w:lang w:val="es-CR"/>
        </w:rPr>
        <w:t>Caso de la Comunidad Mayagna (Sumo) Awas Tingni Vs. Nicaragua. Fondo, Reparaciones y Costas.</w:t>
      </w:r>
      <w:r w:rsidRPr="00BC57A2">
        <w:rPr>
          <w:sz w:val="16"/>
          <w:szCs w:val="16"/>
          <w:lang w:val="es-CR"/>
        </w:rPr>
        <w:t xml:space="preserve"> Sentencia de 31 de agosto de 2001. Serie C No. 79, párr. 148). Más adelante, en relación con el caso </w:t>
      </w:r>
      <w:r w:rsidRPr="00BC57A2">
        <w:rPr>
          <w:i/>
          <w:sz w:val="16"/>
          <w:szCs w:val="16"/>
          <w:lang w:val="es-CR"/>
        </w:rPr>
        <w:t>Yakye Axa Vs. Paraguay</w:t>
      </w:r>
      <w:r w:rsidRPr="00BC57A2">
        <w:rPr>
          <w:sz w:val="16"/>
          <w:szCs w:val="16"/>
          <w:lang w:val="es-CR"/>
        </w:rPr>
        <w:t>, la Corte explicó que es pertinente, y acorde a lo preceptuado en el artículo 29 de la Convención, una interpretación “evolutiva”, que tenga en cuenta que “los tratados de derechos humanos son instrumentos vivos, cuya interpretación tiene que acompañar la evolución de los tiempos y las condiciones de vida actuales”. También que</w:t>
      </w:r>
      <w:r>
        <w:rPr>
          <w:sz w:val="16"/>
          <w:szCs w:val="16"/>
          <w:lang w:val="es-CR"/>
        </w:rPr>
        <w:t>,</w:t>
      </w:r>
      <w:r w:rsidRPr="00BC57A2">
        <w:rPr>
          <w:sz w:val="16"/>
          <w:szCs w:val="16"/>
          <w:lang w:val="es-CR"/>
        </w:rPr>
        <w:t xml:space="preserve"> de conformidad con la Convención de Viena sobre el Derecho de los Tratados, para interpretar un tratado no solo hay que considerar los instrumentos formalmente relacionados con el mismo, sino el sistema en el que se inscribe. En ese sentido, es relevante el Convenio 169 de la OIT (</w:t>
      </w:r>
      <w:r w:rsidRPr="00BC57A2">
        <w:rPr>
          <w:i/>
          <w:sz w:val="16"/>
          <w:szCs w:val="16"/>
          <w:lang w:val="es-CR"/>
        </w:rPr>
        <w:t>cfr</w:t>
      </w:r>
      <w:r w:rsidRPr="00BC57A2">
        <w:rPr>
          <w:sz w:val="16"/>
          <w:szCs w:val="16"/>
          <w:lang w:val="es-CR"/>
        </w:rPr>
        <w:t xml:space="preserve">. </w:t>
      </w:r>
      <w:r w:rsidRPr="00BC57A2">
        <w:rPr>
          <w:i/>
          <w:sz w:val="16"/>
          <w:szCs w:val="16"/>
          <w:lang w:val="es-CR"/>
        </w:rPr>
        <w:t>Caso Comunidad Indígena Yakye Axa Vs. Paraguay</w:t>
      </w:r>
      <w:r w:rsidRPr="00BC57A2">
        <w:rPr>
          <w:sz w:val="16"/>
          <w:szCs w:val="16"/>
          <w:lang w:val="es-CR"/>
        </w:rPr>
        <w:t xml:space="preserve">. </w:t>
      </w:r>
      <w:r w:rsidRPr="00BC57A2">
        <w:rPr>
          <w:i/>
          <w:sz w:val="16"/>
          <w:szCs w:val="16"/>
          <w:lang w:val="es-CR"/>
        </w:rPr>
        <w:t>Fondo Reparaciones y Costas</w:t>
      </w:r>
      <w:r w:rsidRPr="00BC57A2">
        <w:rPr>
          <w:sz w:val="16"/>
          <w:szCs w:val="16"/>
          <w:lang w:val="es-CR"/>
        </w:rPr>
        <w:t>. Sentencia 17 de junio de 2005. Serie C No. 125, párrs. 127 y 128; también jurisprudencia posterior, como</w:t>
      </w:r>
      <w:r>
        <w:rPr>
          <w:sz w:val="16"/>
          <w:szCs w:val="16"/>
          <w:lang w:val="es-CR"/>
        </w:rPr>
        <w:t xml:space="preserve"> la sentencia sobre el caso</w:t>
      </w:r>
      <w:r w:rsidRPr="00BC57A2">
        <w:rPr>
          <w:i/>
          <w:sz w:val="16"/>
          <w:szCs w:val="16"/>
          <w:lang w:val="es-CR"/>
        </w:rPr>
        <w:t xml:space="preserve"> Pueblo Indígena Xucuru y sus miembros Vs. Brasil (Excepciones Preliminares, Fondo, Reparaciones y Costas</w:t>
      </w:r>
      <w:r w:rsidRPr="00BC57A2">
        <w:rPr>
          <w:sz w:val="16"/>
          <w:szCs w:val="16"/>
          <w:lang w:val="es-CR"/>
        </w:rPr>
        <w:t>. Sentencia de 5 de febrero de 2018. Serie C No. 346, párr. 115)). El Convenio 169 de la Organización Internacional del Trabajo es relevante, además, teniendo en cuenta que el artículo 29.b) de la Convención Americana señala que ninguna disposición de ésta puede ser interpretada en el sentido de “limitar el goce y ejercicio de cualquier derecho o libertad que pueda estar reconocido de acuerdo con las leyes de cualquiera de los Estados partes o de acuerdo con otra convención en que sea parte uno de dichos Estados”. El Convenio 169 de la OIT fue aprobado por Argentina por medio de una ley de 1992 y el Estado lo ratificó en el año 2000 (</w:t>
      </w:r>
      <w:r w:rsidRPr="00BC57A2">
        <w:rPr>
          <w:i/>
          <w:sz w:val="16"/>
          <w:szCs w:val="16"/>
          <w:lang w:val="es-CR"/>
        </w:rPr>
        <w:t xml:space="preserve">supra </w:t>
      </w:r>
      <w:r w:rsidRPr="00BC57A2">
        <w:rPr>
          <w:sz w:val="16"/>
          <w:szCs w:val="16"/>
          <w:lang w:val="es-CR"/>
        </w:rPr>
        <w:t>párr. 54 y nota a pie de página 40). La Corte aclara que son consistentes con el entendimiento referido las pautas o criterios jurisprudenciales de este Tribunal que se expresan en la presente Sentencia. Por otra parte, en tanto que los hechos del presente</w:t>
      </w:r>
      <w:r>
        <w:rPr>
          <w:sz w:val="16"/>
          <w:szCs w:val="16"/>
          <w:lang w:val="es-CR"/>
        </w:rPr>
        <w:t xml:space="preserve"> caso abarcan un prolongado perí</w:t>
      </w:r>
      <w:r w:rsidRPr="00BC57A2">
        <w:rPr>
          <w:sz w:val="16"/>
          <w:szCs w:val="16"/>
          <w:lang w:val="es-CR"/>
        </w:rPr>
        <w:t>odo, este Tribunal considera útil dejar sentado que Argentina, con base en distintas disposiciones normativas internacionales (y también internas), ha tenido obligaciones respecto de pueblos indígenas durante todo el tiempo que cabe tener en cuenta. Antes de 1984, en 1959 y 1960, Argentina había, respectivamente, aprobado y ratificado el Convenio 107 de la OIT (</w:t>
      </w:r>
      <w:r w:rsidRPr="00BC57A2">
        <w:rPr>
          <w:i/>
          <w:sz w:val="16"/>
          <w:szCs w:val="16"/>
          <w:lang w:val="es-CR"/>
        </w:rPr>
        <w:t xml:space="preserve">supra </w:t>
      </w:r>
      <w:r w:rsidRPr="00BC57A2">
        <w:rPr>
          <w:sz w:val="16"/>
          <w:szCs w:val="16"/>
          <w:lang w:val="es-CR"/>
        </w:rPr>
        <w:t>nota a pie de página 40), que mandaba “reconocer el derecho de propiedad” de tierras indígenas. Por otra parte, en 1985 se sancionó la ley nacional 23.302 (</w:t>
      </w:r>
      <w:r w:rsidRPr="00BC57A2">
        <w:rPr>
          <w:i/>
          <w:sz w:val="16"/>
          <w:szCs w:val="16"/>
          <w:lang w:val="es-CR"/>
        </w:rPr>
        <w:t xml:space="preserve">supra </w:t>
      </w:r>
      <w:r w:rsidRPr="00BC57A2">
        <w:rPr>
          <w:sz w:val="16"/>
          <w:szCs w:val="16"/>
          <w:lang w:val="es-CR"/>
        </w:rPr>
        <w:t>párr. 54), que entre sus disposiciones prevé acciones para la adjudicación en propiedad de tierras fiscales nacionales y provinciales a comunidades indígenas y el reconocimiento de su personería jurídica. Dicha ley fue reglamentada en 1989 por el Decreto 155 del Poder Ejecutivo Nacional</w:t>
      </w:r>
      <w:r>
        <w:rPr>
          <w:sz w:val="16"/>
          <w:szCs w:val="16"/>
          <w:lang w:val="es-CR"/>
        </w:rPr>
        <w:t xml:space="preserve"> (</w:t>
      </w:r>
      <w:r>
        <w:rPr>
          <w:i/>
          <w:sz w:val="16"/>
          <w:szCs w:val="16"/>
          <w:lang w:val="es-CR"/>
        </w:rPr>
        <w:t xml:space="preserve">supra </w:t>
      </w:r>
      <w:r>
        <w:rPr>
          <w:sz w:val="16"/>
          <w:szCs w:val="16"/>
          <w:lang w:val="es-CR"/>
        </w:rPr>
        <w:t>párr. 54)</w:t>
      </w:r>
      <w:r w:rsidRPr="00BC57A2">
        <w:rPr>
          <w:sz w:val="16"/>
          <w:szCs w:val="16"/>
          <w:lang w:val="es-CR"/>
        </w:rPr>
        <w:t>. Además, las reformas de la Constitución Nacional de 1994 y de la Constitución de Salta de 1998 reconocieron obligaciones estatales respecto a pueblos indígenas (</w:t>
      </w:r>
      <w:r w:rsidRPr="00BC57A2">
        <w:rPr>
          <w:i/>
          <w:sz w:val="16"/>
          <w:szCs w:val="16"/>
          <w:lang w:val="es-CR"/>
        </w:rPr>
        <w:t xml:space="preserve">supra </w:t>
      </w:r>
      <w:r w:rsidRPr="00BC57A2">
        <w:rPr>
          <w:sz w:val="16"/>
          <w:szCs w:val="16"/>
          <w:lang w:val="es-CR"/>
        </w:rPr>
        <w:t>párrs. 54 y 55). Antes, en 1986, Salta aprob</w:t>
      </w:r>
      <w:r>
        <w:rPr>
          <w:sz w:val="16"/>
          <w:szCs w:val="16"/>
          <w:lang w:val="es-CR"/>
        </w:rPr>
        <w:t>ó</w:t>
      </w:r>
      <w:r w:rsidRPr="00BC57A2">
        <w:rPr>
          <w:sz w:val="16"/>
          <w:szCs w:val="16"/>
          <w:lang w:val="es-CR"/>
        </w:rPr>
        <w:t xml:space="preserve"> la Ley No. 6.373 de “Promoción de Desarrollo del Aborigen” y en 1992, por medio de la ley provincial 6.681</w:t>
      </w:r>
      <w:r>
        <w:rPr>
          <w:sz w:val="16"/>
          <w:szCs w:val="16"/>
          <w:lang w:val="es-CR"/>
        </w:rPr>
        <w:t>,</w:t>
      </w:r>
      <w:r w:rsidRPr="00BC57A2">
        <w:rPr>
          <w:sz w:val="16"/>
          <w:szCs w:val="16"/>
          <w:lang w:val="es-CR"/>
        </w:rPr>
        <w:t xml:space="preserve"> adh</w:t>
      </w:r>
      <w:r>
        <w:rPr>
          <w:sz w:val="16"/>
          <w:szCs w:val="16"/>
          <w:lang w:val="es-CR"/>
        </w:rPr>
        <w:t>irió</w:t>
      </w:r>
      <w:r w:rsidRPr="00BC57A2">
        <w:rPr>
          <w:sz w:val="16"/>
          <w:szCs w:val="16"/>
          <w:lang w:val="es-CR"/>
        </w:rPr>
        <w:t xml:space="preserve"> a la ley nacional 23.302 (</w:t>
      </w:r>
      <w:r w:rsidRPr="00BC57A2">
        <w:rPr>
          <w:i/>
          <w:sz w:val="16"/>
          <w:szCs w:val="16"/>
          <w:lang w:val="es-CR"/>
        </w:rPr>
        <w:t>supra</w:t>
      </w:r>
      <w:r w:rsidRPr="00BC57A2">
        <w:rPr>
          <w:sz w:val="16"/>
          <w:szCs w:val="16"/>
          <w:lang w:val="es-CR"/>
        </w:rPr>
        <w:t xml:space="preserve"> párr. 55). Por otra parte, es pertinente dejar sentado que el perito Solá expresó que Argentina votó de modo afirmativo por la aprobación de las Declaraciones de las Naciones Unidas y Americana sobre Derechos de los Pueblos Indígenas. Lo mismo, respecto del primer texto, notó también la perita Yáñez Fuenzalida. La Corte, de modo complementario, tendrá en cuenta esos instrumentos. </w:t>
      </w:r>
    </w:p>
    <w:p w14:paraId="74FE2D3F" w14:textId="77777777" w:rsidR="0023585A" w:rsidRPr="00BC57A2" w:rsidRDefault="0023585A" w:rsidP="009805F2">
      <w:pPr>
        <w:pStyle w:val="Textonotapie"/>
        <w:rPr>
          <w:sz w:val="16"/>
          <w:szCs w:val="16"/>
          <w:lang w:val="es-CR"/>
        </w:rPr>
      </w:pPr>
    </w:p>
  </w:footnote>
  <w:footnote w:id="93">
    <w:p w14:paraId="561ABCAD" w14:textId="178643E8" w:rsidR="0023585A" w:rsidRPr="00BC57A2" w:rsidRDefault="0023585A" w:rsidP="009805F2">
      <w:pPr>
        <w:pStyle w:val="Textonotapie"/>
        <w:tabs>
          <w:tab w:val="left" w:pos="709"/>
        </w:tabs>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Caso de la Comunidad Mayagna (Sumo) Awas Tingni Vs. Nicaragua</w:t>
      </w:r>
      <w:r w:rsidRPr="00BC57A2">
        <w:rPr>
          <w:sz w:val="16"/>
          <w:szCs w:val="16"/>
          <w:lang w:val="es-CR"/>
        </w:rPr>
        <w:t xml:space="preserve">, párrs. 148, 149 y 151. También, en sentido equivalente: </w:t>
      </w:r>
      <w:r w:rsidRPr="00BC57A2">
        <w:rPr>
          <w:i/>
          <w:sz w:val="16"/>
          <w:szCs w:val="16"/>
          <w:lang w:val="es-CR"/>
        </w:rPr>
        <w:t>Caso Comunidad Indígena Yakye Axa Vs. Paraguay</w:t>
      </w:r>
      <w:r w:rsidRPr="00BC57A2">
        <w:rPr>
          <w:sz w:val="16"/>
          <w:szCs w:val="16"/>
          <w:lang w:val="es-CR"/>
        </w:rPr>
        <w:t xml:space="preserve">, párrs. 131 y 132; </w:t>
      </w:r>
      <w:r w:rsidRPr="00BC57A2">
        <w:rPr>
          <w:i/>
          <w:sz w:val="16"/>
          <w:szCs w:val="16"/>
          <w:lang w:val="es-CR"/>
        </w:rPr>
        <w:t>Caso Comunidad Indígena Sawhoyamaxa Vs. Paraguay. Fondo, Reparaciones y Costas</w:t>
      </w:r>
      <w:r w:rsidRPr="00BC57A2">
        <w:rPr>
          <w:sz w:val="16"/>
          <w:szCs w:val="16"/>
          <w:lang w:val="es-CR"/>
        </w:rPr>
        <w:t xml:space="preserve">. Sentencia de 29 de marzo de 2006, Serie C No. 146, párr. 118, y </w:t>
      </w:r>
      <w:r w:rsidRPr="00BC57A2">
        <w:rPr>
          <w:i/>
          <w:sz w:val="16"/>
          <w:szCs w:val="16"/>
          <w:lang w:val="es-CR"/>
        </w:rPr>
        <w:t>Caso del Pueblo Saramaka. Vs. Surinam. Excepciones Preliminares, Fondo, Reparaciones y Costas</w:t>
      </w:r>
      <w:r w:rsidRPr="00BC57A2">
        <w:rPr>
          <w:sz w:val="16"/>
          <w:szCs w:val="16"/>
          <w:lang w:val="es-CR"/>
        </w:rPr>
        <w:t xml:space="preserve">. Sentencia de 28 de noviembre de 2007, Serie C No. 173, párr. 90. En el mismo sentido, pero respecto a un pueblo tribal, se pronunció la Corte, después de su sentencia sobre el caso </w:t>
      </w:r>
      <w:r w:rsidRPr="00BC57A2">
        <w:rPr>
          <w:i/>
          <w:sz w:val="16"/>
          <w:szCs w:val="16"/>
          <w:lang w:val="es-CR"/>
        </w:rPr>
        <w:t>Awas Tingn Vs. Nicaragua</w:t>
      </w:r>
      <w:r w:rsidRPr="00BC57A2">
        <w:rPr>
          <w:sz w:val="16"/>
          <w:szCs w:val="16"/>
          <w:lang w:val="es-CR"/>
        </w:rPr>
        <w:t xml:space="preserve">, respecto al caso </w:t>
      </w:r>
      <w:r w:rsidRPr="00BC57A2">
        <w:rPr>
          <w:i/>
          <w:sz w:val="16"/>
          <w:szCs w:val="16"/>
          <w:lang w:val="es-CR"/>
        </w:rPr>
        <w:t>Comunidad Moiwana Vs. Surinam.</w:t>
      </w:r>
      <w:r w:rsidRPr="00BC57A2">
        <w:rPr>
          <w:sz w:val="16"/>
          <w:szCs w:val="16"/>
          <w:lang w:val="es-CR"/>
        </w:rPr>
        <w:t xml:space="preserve"> Como surge de la sentencia respectiva (</w:t>
      </w:r>
      <w:r w:rsidRPr="00BC57A2">
        <w:rPr>
          <w:i/>
          <w:sz w:val="16"/>
          <w:szCs w:val="16"/>
          <w:lang w:val="es-CR"/>
        </w:rPr>
        <w:t>Excepciones Preliminares, Fondo, Reparaciones y Costas.</w:t>
      </w:r>
      <w:r w:rsidRPr="00BC57A2">
        <w:rPr>
          <w:sz w:val="16"/>
          <w:szCs w:val="16"/>
          <w:lang w:val="es-CR"/>
        </w:rPr>
        <w:t xml:space="preserve"> Sentencia 15 de junio de 2005. Serie C No. 124, párr. 133) “la jurisprudencia de esta Corte en relación con las comunidades indígenas y sus derechos comunales a la propiedad […] debe también aplicarse a los miembros de […] comunidad[es] tribal[es]”. Ya antes de su decisión en el caso </w:t>
      </w:r>
      <w:r w:rsidRPr="00BC57A2">
        <w:rPr>
          <w:i/>
          <w:sz w:val="16"/>
          <w:szCs w:val="16"/>
          <w:lang w:val="es-CR"/>
        </w:rPr>
        <w:t>Awas Tingni Vs. Nicaragua</w:t>
      </w:r>
      <w:r w:rsidRPr="00BC57A2">
        <w:rPr>
          <w:sz w:val="16"/>
          <w:szCs w:val="16"/>
          <w:lang w:val="es-CR"/>
        </w:rPr>
        <w:t xml:space="preserve"> la Corte había advertido la pertinencia de considerar las costumbres de pueblos tribales, en tanto normas </w:t>
      </w:r>
      <w:r>
        <w:rPr>
          <w:sz w:val="16"/>
          <w:szCs w:val="16"/>
          <w:lang w:val="es-CR"/>
        </w:rPr>
        <w:t xml:space="preserve">de </w:t>
      </w:r>
      <w:r w:rsidRPr="00BC57A2">
        <w:rPr>
          <w:sz w:val="16"/>
          <w:szCs w:val="16"/>
          <w:lang w:val="es-CR"/>
        </w:rPr>
        <w:t>eficacia en el ámbito comunitario (</w:t>
      </w:r>
      <w:r w:rsidRPr="00BC57A2">
        <w:rPr>
          <w:i/>
          <w:sz w:val="16"/>
          <w:szCs w:val="16"/>
          <w:lang w:val="es-CR"/>
        </w:rPr>
        <w:t>cfr. Caso Aloeboetoe y otros Vs. Surinam. Reparaciones y Costas.</w:t>
      </w:r>
      <w:r w:rsidRPr="00BC57A2">
        <w:rPr>
          <w:sz w:val="16"/>
          <w:szCs w:val="16"/>
          <w:lang w:val="es-CR"/>
        </w:rPr>
        <w:t xml:space="preserve"> Sentencia de 10 de septiembre de 1993. Serie C No. 15, párr. 62).</w:t>
      </w:r>
    </w:p>
    <w:p w14:paraId="5AC51D2D" w14:textId="77777777" w:rsidR="0023585A" w:rsidRPr="00BC57A2" w:rsidRDefault="0023585A" w:rsidP="009805F2">
      <w:pPr>
        <w:pStyle w:val="Textonotapie"/>
        <w:tabs>
          <w:tab w:val="left" w:pos="709"/>
        </w:tabs>
        <w:rPr>
          <w:sz w:val="16"/>
          <w:szCs w:val="16"/>
          <w:lang w:val="es-CR"/>
        </w:rPr>
      </w:pPr>
    </w:p>
  </w:footnote>
  <w:footnote w:id="94">
    <w:p w14:paraId="56FD2981"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Caso de la Comunidad Mayagna (Sumo) Awas Tingni Vs. Nicaragua</w:t>
      </w:r>
      <w:r w:rsidRPr="00BC57A2">
        <w:rPr>
          <w:sz w:val="16"/>
          <w:szCs w:val="16"/>
          <w:lang w:val="es-CR"/>
        </w:rPr>
        <w:t>, párrs. 148, 149 y 151.</w:t>
      </w:r>
    </w:p>
    <w:p w14:paraId="492E11C1" w14:textId="77777777" w:rsidR="0023585A" w:rsidRPr="00BC57A2" w:rsidRDefault="0023585A" w:rsidP="009805F2">
      <w:pPr>
        <w:pStyle w:val="Textonotapie"/>
        <w:rPr>
          <w:sz w:val="16"/>
          <w:szCs w:val="16"/>
          <w:lang w:val="es-CR"/>
        </w:rPr>
      </w:pPr>
    </w:p>
  </w:footnote>
  <w:footnote w:id="95">
    <w:p w14:paraId="076BF56E" w14:textId="77777777" w:rsidR="0023585A" w:rsidRPr="00BC57A2" w:rsidRDefault="0023585A" w:rsidP="009805F2">
      <w:pPr>
        <w:pStyle w:val="Footnotes"/>
        <w:rPr>
          <w:i w:val="0"/>
          <w:spacing w:val="0"/>
        </w:rPr>
      </w:pPr>
      <w:r w:rsidRPr="00192DFA">
        <w:rPr>
          <w:rStyle w:val="Refdenotaalpie"/>
          <w:rFonts w:eastAsiaTheme="majorEastAsia"/>
          <w:i w:val="0"/>
          <w:szCs w:val="16"/>
        </w:rPr>
        <w:footnoteRef/>
      </w:r>
      <w:r w:rsidRPr="00192DFA">
        <w:rPr>
          <w:i w:val="0"/>
        </w:rPr>
        <w:t xml:space="preserve"> </w:t>
      </w:r>
      <w:r w:rsidRPr="00BC57A2">
        <w:tab/>
        <w:t>Caso Comunidad Indígena Yakye Axa Vs. Paraguay</w:t>
      </w:r>
      <w:r w:rsidRPr="00BC57A2">
        <w:rPr>
          <w:i w:val="0"/>
        </w:rPr>
        <w:t>, párr. 137. En el mismo sentido,</w:t>
      </w:r>
      <w:r w:rsidRPr="00BC57A2">
        <w:t xml:space="preserve"> Caso Pueblo Indígena Kichwa de Sarayaku Vs. Ecuador. Fondo y reparaciones. </w:t>
      </w:r>
      <w:r w:rsidRPr="00BC57A2">
        <w:rPr>
          <w:i w:val="0"/>
        </w:rPr>
        <w:t xml:space="preserve">Sentencia de 27 de junio de 2012. </w:t>
      </w:r>
      <w:r w:rsidRPr="00BC57A2">
        <w:rPr>
          <w:rStyle w:val="Textoennegrita"/>
          <w:rFonts w:eastAsiaTheme="majorEastAsia"/>
          <w:b w:val="0"/>
          <w:i w:val="0"/>
          <w:color w:val="000000"/>
          <w:shd w:val="clear" w:color="auto" w:fill="FFFFFF"/>
        </w:rPr>
        <w:t>Serie C No. 245</w:t>
      </w:r>
      <w:r w:rsidRPr="00BC57A2">
        <w:rPr>
          <w:i w:val="0"/>
        </w:rPr>
        <w:t>, párr. 145</w:t>
      </w:r>
      <w:r w:rsidRPr="00BC57A2">
        <w:t xml:space="preserve">; Caso de los Pueblos Indígenas Kuna de Madungandí y Emberá de Bayano y sus Miembros Vs. Panamá. Excepciones Preliminares, Fondo, Reparaciones y Costas. </w:t>
      </w:r>
      <w:r w:rsidRPr="00BC57A2">
        <w:rPr>
          <w:i w:val="0"/>
        </w:rPr>
        <w:t>Sentencia de 14 de octubre de 2014.</w:t>
      </w:r>
      <w:r w:rsidRPr="00BC57A2">
        <w:t xml:space="preserve"> </w:t>
      </w:r>
      <w:r w:rsidRPr="00BC57A2">
        <w:rPr>
          <w:rStyle w:val="Textoennegrita"/>
          <w:rFonts w:eastAsiaTheme="majorEastAsia"/>
          <w:b w:val="0"/>
          <w:i w:val="0"/>
          <w:color w:val="000000"/>
          <w:shd w:val="clear" w:color="auto" w:fill="FFFFFF"/>
        </w:rPr>
        <w:t>Serie C No. 284</w:t>
      </w:r>
      <w:r w:rsidRPr="00BC57A2">
        <w:t xml:space="preserve">, </w:t>
      </w:r>
      <w:r w:rsidRPr="00BC57A2">
        <w:rPr>
          <w:i w:val="0"/>
        </w:rPr>
        <w:t>párr. 111 y 112;</w:t>
      </w:r>
      <w:r w:rsidRPr="00BC57A2">
        <w:t xml:space="preserve"> Caso Comunidad Garífuna de Punta Piedra y sus Miembros Vs. Honduras. Excepciones Preliminares, Fondo, Reparaciones y Costas. </w:t>
      </w:r>
      <w:r w:rsidRPr="00BC57A2">
        <w:rPr>
          <w:i w:val="0"/>
        </w:rPr>
        <w:t>Sentencia de 8 de octubre de 2015.</w:t>
      </w:r>
      <w:r w:rsidRPr="00BC57A2">
        <w:t xml:space="preserve"> </w:t>
      </w:r>
      <w:r w:rsidRPr="00BC57A2">
        <w:rPr>
          <w:rStyle w:val="Textoennegrita"/>
          <w:rFonts w:eastAsiaTheme="majorEastAsia"/>
          <w:b w:val="0"/>
          <w:i w:val="0"/>
          <w:color w:val="000000"/>
          <w:shd w:val="clear" w:color="auto" w:fill="FFFFFF"/>
        </w:rPr>
        <w:t>Serie C No. 304</w:t>
      </w:r>
      <w:r w:rsidRPr="00BC57A2">
        <w:t xml:space="preserve">, </w:t>
      </w:r>
      <w:r w:rsidRPr="00BC57A2">
        <w:rPr>
          <w:i w:val="0"/>
        </w:rPr>
        <w:t>párr. 165;</w:t>
      </w:r>
      <w:r w:rsidRPr="00BC57A2">
        <w:t xml:space="preserve"> Caso Comunidad Garífuna Triunfo de la Cruz y sus Miembros Vs. Honduras. Fondo, Reparaciones y Costas. </w:t>
      </w:r>
      <w:r w:rsidRPr="00BC57A2">
        <w:rPr>
          <w:i w:val="0"/>
        </w:rPr>
        <w:t>Sentencia de 8 de octubre de 2015.</w:t>
      </w:r>
      <w:r w:rsidRPr="00BC57A2">
        <w:t xml:space="preserve"> </w:t>
      </w:r>
      <w:r w:rsidRPr="00BC57A2">
        <w:rPr>
          <w:rStyle w:val="Textoennegrita"/>
          <w:rFonts w:eastAsiaTheme="majorEastAsia"/>
          <w:b w:val="0"/>
          <w:i w:val="0"/>
          <w:color w:val="000000"/>
          <w:shd w:val="clear" w:color="auto" w:fill="FFFFFF"/>
        </w:rPr>
        <w:t>Serie C No. 324</w:t>
      </w:r>
      <w:r w:rsidRPr="00BC57A2">
        <w:t>,</w:t>
      </w:r>
      <w:r w:rsidRPr="00BC57A2">
        <w:rPr>
          <w:i w:val="0"/>
        </w:rPr>
        <w:t xml:space="preserve"> párr. 100; </w:t>
      </w:r>
      <w:r w:rsidRPr="00BC57A2">
        <w:t xml:space="preserve">Caso Pueblos Kaliña y Lokono Vs. Surinam. Fondo, Reparaciones y Costas. </w:t>
      </w:r>
      <w:r w:rsidRPr="00BC57A2">
        <w:rPr>
          <w:i w:val="0"/>
        </w:rPr>
        <w:t xml:space="preserve">Sentencia de 25 de noviembre de 2015. </w:t>
      </w:r>
      <w:r w:rsidRPr="00BC57A2">
        <w:rPr>
          <w:rStyle w:val="Textoennegrita"/>
          <w:rFonts w:eastAsiaTheme="majorEastAsia"/>
          <w:b w:val="0"/>
          <w:i w:val="0"/>
          <w:color w:val="000000"/>
          <w:shd w:val="clear" w:color="auto" w:fill="FFFFFF"/>
        </w:rPr>
        <w:t>Serie C No. 309</w:t>
      </w:r>
      <w:r w:rsidRPr="00BC57A2">
        <w:t xml:space="preserve">, </w:t>
      </w:r>
      <w:r w:rsidRPr="00BC57A2">
        <w:rPr>
          <w:i w:val="0"/>
        </w:rPr>
        <w:t>párr. 129, y</w:t>
      </w:r>
      <w:r w:rsidRPr="00BC57A2">
        <w:t xml:space="preserve"> </w:t>
      </w:r>
      <w:r w:rsidRPr="00BC57A2">
        <w:rPr>
          <w:spacing w:val="0"/>
        </w:rPr>
        <w:t>Caso Pueblo Indígena Xucuru</w:t>
      </w:r>
      <w:r w:rsidRPr="00BC57A2">
        <w:rPr>
          <w:i w:val="0"/>
          <w:spacing w:val="0"/>
        </w:rPr>
        <w:t>, párr. 115.</w:t>
      </w:r>
    </w:p>
    <w:p w14:paraId="53B3280B" w14:textId="77777777" w:rsidR="0023585A" w:rsidRPr="00BC57A2" w:rsidRDefault="0023585A" w:rsidP="009805F2">
      <w:pPr>
        <w:pStyle w:val="Footnotes"/>
        <w:rPr>
          <w:i w:val="0"/>
          <w:lang w:val="es-CR"/>
        </w:rPr>
      </w:pPr>
    </w:p>
  </w:footnote>
  <w:footnote w:id="96">
    <w:p w14:paraId="1B1418D9"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Caso del Pueblo Saramaka Vs. Surinam</w:t>
      </w:r>
      <w:r w:rsidRPr="00BC57A2">
        <w:rPr>
          <w:sz w:val="16"/>
          <w:szCs w:val="16"/>
          <w:lang w:val="es-CR"/>
        </w:rPr>
        <w:t xml:space="preserve">, párrs. 121 y 122. En el mismo sentido, </w:t>
      </w:r>
      <w:r w:rsidRPr="00BC57A2">
        <w:rPr>
          <w:i/>
          <w:sz w:val="16"/>
          <w:szCs w:val="16"/>
          <w:lang w:val="es-CR"/>
        </w:rPr>
        <w:t>Caso de los Pueblos Indígenas Kuna de Madungandí y Emberá de Bayano y sus Miembros Vs. Panamá</w:t>
      </w:r>
      <w:r w:rsidRPr="00BC57A2">
        <w:rPr>
          <w:sz w:val="16"/>
          <w:szCs w:val="16"/>
          <w:lang w:val="es-CR"/>
        </w:rPr>
        <w:t>, párr. 112.</w:t>
      </w:r>
    </w:p>
    <w:p w14:paraId="6D09F10E" w14:textId="77777777" w:rsidR="0023585A" w:rsidRPr="00BC57A2" w:rsidRDefault="0023585A" w:rsidP="009805F2">
      <w:pPr>
        <w:pStyle w:val="Textonotapie"/>
        <w:rPr>
          <w:sz w:val="16"/>
          <w:szCs w:val="16"/>
          <w:lang w:val="es-CR"/>
        </w:rPr>
      </w:pPr>
    </w:p>
  </w:footnote>
  <w:footnote w:id="97">
    <w:p w14:paraId="31719714"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Caso del Pueblo Saramaka Vs. Surinam</w:t>
      </w:r>
      <w:r w:rsidRPr="00BC57A2">
        <w:rPr>
          <w:sz w:val="16"/>
          <w:szCs w:val="16"/>
          <w:lang w:val="es-CR"/>
        </w:rPr>
        <w:t xml:space="preserve">, párrs. 129 y nota a pie de página 124. </w:t>
      </w:r>
    </w:p>
    <w:p w14:paraId="6DBDB0CE" w14:textId="77777777" w:rsidR="0023585A" w:rsidRPr="00BC57A2" w:rsidRDefault="0023585A" w:rsidP="009805F2">
      <w:pPr>
        <w:pStyle w:val="Textonotapie"/>
        <w:rPr>
          <w:sz w:val="16"/>
          <w:szCs w:val="16"/>
          <w:lang w:val="es-CR"/>
        </w:rPr>
      </w:pPr>
    </w:p>
  </w:footnote>
  <w:footnote w:id="98">
    <w:p w14:paraId="2134C72C"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Caso de la Comunidad Mayagna (Sumo) Awas Tingni Vs. Nicaragua</w:t>
      </w:r>
      <w:r w:rsidRPr="00BC57A2">
        <w:rPr>
          <w:sz w:val="16"/>
          <w:szCs w:val="16"/>
          <w:lang w:val="es-CR"/>
        </w:rPr>
        <w:t>, párrs. 148, 149 y 151.</w:t>
      </w:r>
    </w:p>
    <w:p w14:paraId="00C9B20A" w14:textId="77777777" w:rsidR="0023585A" w:rsidRPr="00BC57A2" w:rsidRDefault="0023585A" w:rsidP="009805F2">
      <w:pPr>
        <w:pStyle w:val="Textonotapie"/>
        <w:rPr>
          <w:sz w:val="16"/>
          <w:szCs w:val="16"/>
          <w:lang w:val="es-CR"/>
        </w:rPr>
      </w:pPr>
    </w:p>
  </w:footnote>
  <w:footnote w:id="99">
    <w:p w14:paraId="54BFCEF2" w14:textId="77777777" w:rsidR="0023585A" w:rsidRPr="00BC57A2" w:rsidRDefault="0023585A" w:rsidP="009805F2">
      <w:pPr>
        <w:spacing w:after="0" w:line="240" w:lineRule="auto"/>
        <w:jc w:val="both"/>
        <w:rPr>
          <w:rFonts w:ascii="Verdana" w:hAnsi="Verdana"/>
          <w:sz w:val="16"/>
          <w:szCs w:val="16"/>
        </w:rPr>
      </w:pPr>
      <w:r w:rsidRPr="00BC57A2">
        <w:rPr>
          <w:rStyle w:val="Refdenotaalpie"/>
          <w:rFonts w:ascii="Verdana" w:hAnsi="Verdana"/>
          <w:sz w:val="16"/>
          <w:szCs w:val="16"/>
        </w:rPr>
        <w:footnoteRef/>
      </w:r>
      <w:r w:rsidRPr="00BC57A2">
        <w:rPr>
          <w:rFonts w:ascii="Verdana" w:hAnsi="Verdana"/>
          <w:sz w:val="16"/>
          <w:szCs w:val="16"/>
        </w:rPr>
        <w:t xml:space="preserve"> </w:t>
      </w:r>
      <w:r w:rsidRPr="00BC57A2">
        <w:rPr>
          <w:rFonts w:ascii="Verdana" w:hAnsi="Verdana"/>
          <w:sz w:val="16"/>
          <w:szCs w:val="16"/>
        </w:rPr>
        <w:tab/>
        <w:t>Así, la Corte ha indicado que “en el caso de comunidades indígenas que han ocupado sus tierras ancestrales de acuerdo con sus prácticas consuetudinarias – pero que carecen de un título formal de propiedad – la posesión de la tierra debería bastar para que obtengan el reconocimiento oficial de dicha propiedad y el consiguiente registro” (</w:t>
      </w:r>
      <w:r w:rsidRPr="00BC57A2">
        <w:rPr>
          <w:rFonts w:ascii="Verdana" w:hAnsi="Verdana"/>
          <w:i/>
          <w:sz w:val="16"/>
          <w:szCs w:val="16"/>
        </w:rPr>
        <w:t>Caso de la Comunidad Moiwana Vs. Surinam</w:t>
      </w:r>
      <w:r w:rsidRPr="00BC57A2">
        <w:rPr>
          <w:rFonts w:ascii="Verdana" w:hAnsi="Verdana"/>
          <w:sz w:val="16"/>
          <w:szCs w:val="16"/>
        </w:rPr>
        <w:t>, párr. 131).</w:t>
      </w:r>
    </w:p>
    <w:p w14:paraId="5D730549" w14:textId="77777777" w:rsidR="0023585A" w:rsidRPr="00BC57A2" w:rsidRDefault="0023585A" w:rsidP="009805F2">
      <w:pPr>
        <w:spacing w:after="0" w:line="240" w:lineRule="auto"/>
        <w:jc w:val="both"/>
        <w:rPr>
          <w:rFonts w:ascii="Verdana" w:hAnsi="Verdana"/>
          <w:sz w:val="16"/>
          <w:szCs w:val="16"/>
          <w:lang w:val="es-CR"/>
        </w:rPr>
      </w:pPr>
    </w:p>
  </w:footnote>
  <w:footnote w:id="100">
    <w:p w14:paraId="209EB1FD"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Caso Comunidad Indígena Yakye Axa Vs. Paraguay</w:t>
      </w:r>
      <w:r w:rsidRPr="00BC57A2">
        <w:rPr>
          <w:sz w:val="16"/>
          <w:szCs w:val="16"/>
          <w:lang w:val="es-CR"/>
        </w:rPr>
        <w:t>, párr. 141.</w:t>
      </w:r>
    </w:p>
    <w:p w14:paraId="031F030B" w14:textId="77777777" w:rsidR="0023585A" w:rsidRPr="00BC57A2" w:rsidRDefault="0023585A" w:rsidP="009805F2">
      <w:pPr>
        <w:pStyle w:val="Textonotapie"/>
        <w:rPr>
          <w:sz w:val="16"/>
          <w:szCs w:val="16"/>
          <w:lang w:val="es-CR"/>
        </w:rPr>
      </w:pPr>
    </w:p>
  </w:footnote>
  <w:footnote w:id="101">
    <w:p w14:paraId="57C45F16"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Cfr. Caso de la Comunidad Moiwana Vs. Suriname</w:t>
      </w:r>
      <w:r w:rsidRPr="00BC57A2">
        <w:rPr>
          <w:sz w:val="16"/>
          <w:szCs w:val="16"/>
          <w:lang w:val="es-CR"/>
        </w:rPr>
        <w:t xml:space="preserve">, párr. 211, y </w:t>
      </w:r>
      <w:r w:rsidRPr="00BC57A2">
        <w:rPr>
          <w:i/>
          <w:sz w:val="16"/>
          <w:szCs w:val="16"/>
          <w:lang w:val="es-CR"/>
        </w:rPr>
        <w:t>Caso Pueblo Indígena Xucuru y sus miembros Vs. Brasil</w:t>
      </w:r>
      <w:r w:rsidRPr="00BC57A2">
        <w:rPr>
          <w:sz w:val="16"/>
          <w:szCs w:val="16"/>
          <w:lang w:val="es-CR"/>
        </w:rPr>
        <w:t>, párr. 117.</w:t>
      </w:r>
    </w:p>
    <w:p w14:paraId="2380C1A3" w14:textId="77777777" w:rsidR="0023585A" w:rsidRPr="00BC57A2" w:rsidRDefault="0023585A" w:rsidP="009805F2">
      <w:pPr>
        <w:pStyle w:val="Textonotapie"/>
        <w:rPr>
          <w:sz w:val="16"/>
          <w:szCs w:val="16"/>
          <w:lang w:val="es-CR"/>
        </w:rPr>
      </w:pPr>
      <w:r w:rsidRPr="00BC57A2">
        <w:rPr>
          <w:sz w:val="16"/>
          <w:szCs w:val="16"/>
          <w:lang w:val="es-CR"/>
        </w:rPr>
        <w:t xml:space="preserve"> </w:t>
      </w:r>
    </w:p>
  </w:footnote>
  <w:footnote w:id="102">
    <w:p w14:paraId="1D915140" w14:textId="77777777" w:rsidR="0023585A" w:rsidRPr="00BC57A2" w:rsidRDefault="0023585A" w:rsidP="009805F2">
      <w:pPr>
        <w:pStyle w:val="Prrafodelista"/>
        <w:autoSpaceDE w:val="0"/>
        <w:autoSpaceDN w:val="0"/>
        <w:adjustRightInd w:val="0"/>
        <w:spacing w:after="0" w:line="240" w:lineRule="auto"/>
        <w:ind w:left="0"/>
        <w:jc w:val="both"/>
        <w:rPr>
          <w:rFonts w:ascii="Verdana" w:eastAsia="Times New Roman" w:hAnsi="Verdana" w:cs="Times New Roman"/>
          <w:color w:val="000000"/>
          <w:sz w:val="16"/>
          <w:szCs w:val="16"/>
        </w:rPr>
      </w:pPr>
      <w:r w:rsidRPr="00BC57A2">
        <w:rPr>
          <w:rStyle w:val="Refdenotaalpie"/>
          <w:rFonts w:ascii="Verdana" w:hAnsi="Verdana"/>
          <w:sz w:val="16"/>
          <w:szCs w:val="16"/>
        </w:rPr>
        <w:footnoteRef/>
      </w:r>
      <w:r w:rsidRPr="00BC57A2">
        <w:rPr>
          <w:rFonts w:ascii="Verdana" w:hAnsi="Verdana"/>
          <w:sz w:val="16"/>
          <w:szCs w:val="16"/>
          <w:lang w:val="es-CR"/>
        </w:rPr>
        <w:t xml:space="preserve"> </w:t>
      </w:r>
      <w:r w:rsidRPr="00BC57A2">
        <w:rPr>
          <w:rFonts w:ascii="Verdana" w:hAnsi="Verdana"/>
          <w:sz w:val="16"/>
          <w:szCs w:val="16"/>
          <w:lang w:val="es-CR"/>
        </w:rPr>
        <w:tab/>
      </w:r>
      <w:r w:rsidRPr="00BC57A2">
        <w:rPr>
          <w:rFonts w:ascii="Verdana" w:hAnsi="Verdana"/>
          <w:sz w:val="16"/>
          <w:szCs w:val="16"/>
        </w:rPr>
        <w:t>De acuerdo con lo que ha señalado la Corte, el derecho de propiedad de pueblos indígenas sobre el territorio se extiende, en principio, a las tierras y recursos que usan en forma actual, como también a aquellas tierras de las que fueron despojados y con las que mantienen una relación (</w:t>
      </w:r>
      <w:r w:rsidRPr="00BC57A2">
        <w:rPr>
          <w:rFonts w:ascii="Verdana" w:eastAsia="Times New Roman" w:hAnsi="Verdana" w:cs="Times New Roman"/>
          <w:i/>
          <w:iCs/>
          <w:color w:val="000000"/>
          <w:sz w:val="16"/>
          <w:szCs w:val="16"/>
        </w:rPr>
        <w:t>cfr. Caso de la Comunidad Mayagna (Sumo) Awas Tingni Vs. Nicaragua</w:t>
      </w:r>
      <w:r w:rsidRPr="00BC57A2">
        <w:rPr>
          <w:rFonts w:ascii="Verdana" w:eastAsia="Times New Roman" w:hAnsi="Verdana" w:cs="Times New Roman"/>
          <w:color w:val="000000"/>
          <w:sz w:val="16"/>
          <w:szCs w:val="16"/>
        </w:rPr>
        <w:t xml:space="preserve">, párr. </w:t>
      </w:r>
      <w:r w:rsidRPr="00BC57A2">
        <w:rPr>
          <w:rFonts w:ascii="Verdana" w:eastAsia="Times New Roman" w:hAnsi="Verdana" w:cs="Times New Roman"/>
          <w:color w:val="000000"/>
          <w:sz w:val="16"/>
          <w:szCs w:val="16"/>
          <w:lang w:val="es-ES"/>
        </w:rPr>
        <w:t xml:space="preserve">153.2, y </w:t>
      </w:r>
      <w:r w:rsidRPr="00BC57A2">
        <w:rPr>
          <w:rFonts w:ascii="Verdana" w:eastAsia="Times New Roman" w:hAnsi="Verdana" w:cs="Times New Roman"/>
          <w:i/>
          <w:iCs/>
          <w:color w:val="000000"/>
          <w:sz w:val="16"/>
          <w:szCs w:val="16"/>
        </w:rPr>
        <w:t>Caso Comunidad Indígena Yakye Axa Vs. Paraguay</w:t>
      </w:r>
      <w:r w:rsidRPr="00BC57A2">
        <w:rPr>
          <w:rFonts w:ascii="Verdana" w:eastAsia="Times New Roman" w:hAnsi="Verdana" w:cs="Times New Roman"/>
          <w:color w:val="000000"/>
          <w:sz w:val="16"/>
          <w:szCs w:val="16"/>
        </w:rPr>
        <w:t xml:space="preserve">, párr. 135). </w:t>
      </w:r>
    </w:p>
    <w:p w14:paraId="6AE6BF37" w14:textId="77777777" w:rsidR="0023585A" w:rsidRPr="00BC57A2" w:rsidRDefault="0023585A" w:rsidP="009805F2">
      <w:pPr>
        <w:pStyle w:val="Prrafodelista"/>
        <w:autoSpaceDE w:val="0"/>
        <w:autoSpaceDN w:val="0"/>
        <w:adjustRightInd w:val="0"/>
        <w:spacing w:after="0" w:line="240" w:lineRule="auto"/>
        <w:ind w:left="0"/>
        <w:jc w:val="both"/>
        <w:rPr>
          <w:rFonts w:ascii="Verdana" w:hAnsi="Verdana"/>
          <w:sz w:val="16"/>
          <w:szCs w:val="16"/>
          <w:lang w:val="es-CR"/>
        </w:rPr>
      </w:pPr>
    </w:p>
  </w:footnote>
  <w:footnote w:id="103">
    <w:p w14:paraId="31429F50" w14:textId="2E37D3C5" w:rsidR="0023585A" w:rsidRPr="00BC57A2" w:rsidRDefault="0023585A" w:rsidP="009805F2">
      <w:pPr>
        <w:spacing w:after="0" w:line="240" w:lineRule="auto"/>
        <w:jc w:val="both"/>
        <w:rPr>
          <w:rFonts w:ascii="Verdana" w:hAnsi="Verdana"/>
          <w:sz w:val="16"/>
          <w:szCs w:val="16"/>
        </w:rPr>
      </w:pPr>
      <w:r w:rsidRPr="00BC57A2">
        <w:rPr>
          <w:rStyle w:val="Refdenotaalpie"/>
          <w:rFonts w:ascii="Verdana" w:hAnsi="Verdana"/>
          <w:sz w:val="16"/>
          <w:szCs w:val="16"/>
        </w:rPr>
        <w:footnoteRef/>
      </w:r>
      <w:r w:rsidRPr="00BC57A2">
        <w:rPr>
          <w:rFonts w:ascii="Verdana" w:hAnsi="Verdana"/>
          <w:sz w:val="16"/>
          <w:szCs w:val="16"/>
        </w:rPr>
        <w:t xml:space="preserve"> </w:t>
      </w:r>
      <w:r w:rsidRPr="00BC57A2">
        <w:rPr>
          <w:rFonts w:ascii="Verdana" w:hAnsi="Verdana"/>
          <w:sz w:val="16"/>
          <w:szCs w:val="16"/>
        </w:rPr>
        <w:tab/>
      </w:r>
      <w:r w:rsidRPr="00BC57A2">
        <w:rPr>
          <w:rFonts w:ascii="Verdana" w:hAnsi="Verdana"/>
          <w:i/>
          <w:sz w:val="16"/>
          <w:szCs w:val="16"/>
        </w:rPr>
        <w:t>Caso Comunidad Indígena Sawhoyamaxa Vs. Paraguay</w:t>
      </w:r>
      <w:r w:rsidRPr="00BC57A2">
        <w:rPr>
          <w:rFonts w:ascii="Verdana" w:hAnsi="Verdana"/>
          <w:sz w:val="16"/>
          <w:szCs w:val="16"/>
        </w:rPr>
        <w:t xml:space="preserve">, párr. 128, también </w:t>
      </w:r>
      <w:r w:rsidRPr="00BC57A2">
        <w:rPr>
          <w:rFonts w:ascii="Verdana" w:eastAsia="Times New Roman" w:hAnsi="Verdana" w:cs="Times New Roman"/>
          <w:i/>
          <w:color w:val="000000"/>
          <w:sz w:val="16"/>
          <w:szCs w:val="16"/>
        </w:rPr>
        <w:t>Caso Pueblo Indígena Xucuru y sus miembros Vs. Brasil</w:t>
      </w:r>
      <w:r w:rsidRPr="00BC57A2">
        <w:rPr>
          <w:rFonts w:ascii="Verdana" w:eastAsia="Times New Roman" w:hAnsi="Verdana" w:cs="Times New Roman"/>
          <w:color w:val="000000"/>
          <w:sz w:val="16"/>
          <w:szCs w:val="16"/>
        </w:rPr>
        <w:t>, párr. 117.</w:t>
      </w:r>
      <w:r w:rsidRPr="00BC57A2">
        <w:rPr>
          <w:rFonts w:ascii="Verdana" w:hAnsi="Verdana"/>
          <w:sz w:val="16"/>
          <w:szCs w:val="16"/>
        </w:rPr>
        <w:t xml:space="preserve"> Es preciso explicar, a propósito de la mención a “terceros inocentes”, que la Corte ha notado en su jurisprudencia que puede haber contradicción entre la propiedad comunitaria indígena y la propiedad privada particular. Al respecto, lo indicado debe entenderse considerando también otras puntualizaciones efectuadas por la Corte en su jurisprudencia. En ese sentido, este Tribunal ha dicho que las eventuales restricciones a la propiedad comunitaria indígena pueden ser convencionalmente admisibles, siempre que obedezcan ciertas pautas: a) “estar establecidas por ley”; b) tener “el fin de lograr un objetivo legítimo en una sociedad democrática”, es decir, un “objetivo […] colectivo […] que, por su importancia, prepondere […] claramente sobre la necesidad del pleno goce del derecho restringido”; c) ser “necesarias” para “satisfacer un interés público imperativo”, y d) ser “proporcionales”, en el sentido de “ajustarse estrechamente al logro de[l] legítimo objetivo, interfiriendo en la menor medida posible en el efectivo ejercicio del derecho restringido”. Teniendo en cuenta lo anterior es que los Estados deben valorar, caso a caso, la contradicción entre derechos de propiedad cuando esté involucrada la propiedad comunitaria y las “restricciones que resultarían del reconocimiento de un derecho sobre otro”. Al hacerlo, deben tener en cuenta que “los derechos territoriales indígenas abarcan un concepto más amplio y diferente que está relacionado con el derecho colectivo a la supervivencia como pueblo organizado, con el control de su hábitat como una condición necesaria para la reproducción de su cultura, para su propio desarrollo y para llevar a cabo sus planes de vida</w:t>
      </w:r>
      <w:r>
        <w:rPr>
          <w:rFonts w:ascii="Verdana" w:hAnsi="Verdana"/>
          <w:sz w:val="16"/>
          <w:szCs w:val="16"/>
        </w:rPr>
        <w:t>[; que l]</w:t>
      </w:r>
      <w:r w:rsidRPr="00BC57A2">
        <w:rPr>
          <w:rFonts w:ascii="Verdana" w:hAnsi="Verdana"/>
          <w:sz w:val="16"/>
          <w:szCs w:val="16"/>
        </w:rPr>
        <w:t>a propiedad sobre la tierra garantiza que los miembros de las comunidades indígenas conserven su patrimonio cultural”, y que preservar la identidad cultural de los pueblos o comunidades indígenas puede ser un “objetivo colectivo” que haga necesaria la restricción a derechos de particulares. Esto no significa que siempre deba prevalecer la propiedad comunitaria indígena sobre la particular, pero en los casos en que justificadamente las comunidades indígenas se vean privadas de su territorio tradicional, dichas comunidades deben, de ser posible, conforme indica el artículo 16.4 del Convenio 169, “recibir tierras cuya calidad y cuyo estatuto jurídico sean por lo menos iguales a los de las tierras que ocupaban anteriormente, y que les permitan subvenir a sus necesidades y garantizar su desarrollo futuro. Cuando los pueblos interesados prefieran recibir una indemnización en dinero o en especie, deberá concedérseles dicha indemnización, con las garantías apropiadas”. La Corte ha expresado que “[l]a elección y entrega de tierras alternativas, el pago de una justa indemnización o ambos no quedan sujetas a criterios meramente discrecionales del Estado, deben ser, conforme a una interpretación integral del Convenio No. 169 de la OIT y de la Convención Americana, consensuadas con los pueblos interesados, conforme a sus propios procedimientos de consulta, valores, usos y derecho consuetudinario” (</w:t>
      </w:r>
      <w:r w:rsidRPr="00BC57A2">
        <w:rPr>
          <w:rFonts w:ascii="Verdana" w:hAnsi="Verdana"/>
          <w:i/>
          <w:sz w:val="16"/>
          <w:szCs w:val="16"/>
        </w:rPr>
        <w:t>cfr. Caso Comunidad Indígena Yakye Axa Vs. Paraguay</w:t>
      </w:r>
      <w:r w:rsidRPr="00BC57A2">
        <w:rPr>
          <w:rFonts w:ascii="Verdana" w:hAnsi="Verdana"/>
          <w:sz w:val="16"/>
          <w:szCs w:val="16"/>
        </w:rPr>
        <w:t>, párrs. 144, 145, 146, 148 y 151</w:t>
      </w:r>
      <w:r>
        <w:rPr>
          <w:rFonts w:ascii="Verdana" w:hAnsi="Verdana"/>
          <w:sz w:val="16"/>
          <w:szCs w:val="16"/>
        </w:rPr>
        <w:t>,</w:t>
      </w:r>
      <w:r w:rsidRPr="00BC57A2">
        <w:rPr>
          <w:rFonts w:ascii="Verdana" w:hAnsi="Verdana"/>
          <w:sz w:val="16"/>
          <w:szCs w:val="16"/>
        </w:rPr>
        <w:t xml:space="preserve"> y </w:t>
      </w:r>
      <w:r w:rsidRPr="00BC57A2">
        <w:rPr>
          <w:rFonts w:ascii="Verdana" w:hAnsi="Verdana"/>
          <w:i/>
          <w:sz w:val="16"/>
          <w:szCs w:val="16"/>
        </w:rPr>
        <w:t>Caso del Pueblo Saramaka Vs. Surinam</w:t>
      </w:r>
      <w:r w:rsidRPr="00BC57A2">
        <w:rPr>
          <w:rFonts w:ascii="Verdana" w:hAnsi="Verdana"/>
          <w:sz w:val="16"/>
          <w:szCs w:val="16"/>
        </w:rPr>
        <w:t>, párr. 127).</w:t>
      </w:r>
    </w:p>
    <w:p w14:paraId="63E67D21" w14:textId="77777777" w:rsidR="0023585A" w:rsidRPr="00BC57A2" w:rsidRDefault="0023585A" w:rsidP="009805F2">
      <w:pPr>
        <w:spacing w:after="0" w:line="240" w:lineRule="auto"/>
        <w:jc w:val="both"/>
        <w:rPr>
          <w:rFonts w:ascii="Verdana" w:hAnsi="Verdana"/>
          <w:sz w:val="16"/>
          <w:szCs w:val="16"/>
        </w:rPr>
      </w:pPr>
    </w:p>
  </w:footnote>
  <w:footnote w:id="104">
    <w:p w14:paraId="1C5B3641"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Caso de la Comunidad Mayagna (Sumo) Awas Tingni Vs. Nicaragua</w:t>
      </w:r>
      <w:r w:rsidRPr="00BC57A2">
        <w:rPr>
          <w:sz w:val="16"/>
          <w:szCs w:val="16"/>
          <w:lang w:val="es-CR"/>
        </w:rPr>
        <w:t>, párr. 153. La Corte tuvo oportunidad de explicar, en relación con un caso puntual, que las obligaciones estatales son “secuenciales”, y rigen tanto respecto del territorio tradicional como de tierras “alternativas”: “primero se debe identificar el territorio de la Comunidad, lo que a su vez significa establecer sus límites y demarcaciones, así como su extensión. Concluida la identificación del territorio y sus límites, de resultar que el mismo se encuentra en manos privadas, el Estado debe iniciar los procedimientos para su compra o valorar la conveniencia de expropiarlo […]. De darse motivos objetivos y fundamentados que imposibiliten que el Estado reivindique el territorio identificado como el tradicional de la Comunidad, deberá entregarle tierras alternativas, que serán electas de manera consensuada. Finalmente, sea que se expropien o se elijan de manera consensuada las tierras, el Estado debe titularlas y entregarlas física y formalmente a la Comunidad” (</w:t>
      </w:r>
      <w:r w:rsidRPr="00BC57A2">
        <w:rPr>
          <w:i/>
          <w:sz w:val="16"/>
          <w:szCs w:val="16"/>
          <w:lang w:val="es-CR"/>
        </w:rPr>
        <w:t>Caso Comunidad Indígena Yakye Axa Vs. Paraguay. Interpretación de la Sentencia de Fondo, Reparaciones y Costas</w:t>
      </w:r>
      <w:r w:rsidRPr="00BC57A2">
        <w:rPr>
          <w:sz w:val="16"/>
          <w:szCs w:val="16"/>
          <w:lang w:val="es-CR"/>
        </w:rPr>
        <w:t>. Sentencia de 6 de febrero de 2006, párr. 34). Estos señalamientos, efectuados en relación con un caso específico, son, en principio, generalizables. Por otra parte, la Corte también ha tenido ocasión de conocer hechos concretos que denotaban que la falta de continuidad del territorio titulado, o su división y fraccionamiento, de modo que no pueda darse una “prolongación geográfica” de los distintos lotes que lo integran, impactó negativamente en el uso y goce de dicho territorio (</w:t>
      </w:r>
      <w:r w:rsidRPr="00BC57A2">
        <w:rPr>
          <w:i/>
          <w:sz w:val="16"/>
          <w:szCs w:val="16"/>
          <w:lang w:val="es-CR"/>
        </w:rPr>
        <w:t>Caso Comunidad Garífuna Triunfo de la Cruz y sus Miembros Vs. Honduras</w:t>
      </w:r>
      <w:r w:rsidRPr="00BC57A2">
        <w:rPr>
          <w:sz w:val="16"/>
          <w:szCs w:val="16"/>
          <w:lang w:val="es-CR"/>
        </w:rPr>
        <w:t>, párr. 127).</w:t>
      </w:r>
    </w:p>
    <w:p w14:paraId="723D183A" w14:textId="77777777" w:rsidR="0023585A" w:rsidRPr="00BC57A2" w:rsidRDefault="0023585A" w:rsidP="009805F2">
      <w:pPr>
        <w:pStyle w:val="Textonotapie"/>
        <w:rPr>
          <w:sz w:val="16"/>
          <w:szCs w:val="16"/>
          <w:lang w:val="es-CR"/>
        </w:rPr>
      </w:pPr>
      <w:r w:rsidRPr="00BC57A2">
        <w:rPr>
          <w:sz w:val="16"/>
          <w:szCs w:val="16"/>
          <w:lang w:val="es-CR"/>
        </w:rPr>
        <w:t xml:space="preserve">  </w:t>
      </w:r>
    </w:p>
  </w:footnote>
  <w:footnote w:id="105">
    <w:p w14:paraId="2CD76740"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Caso de los Pueblos Indígenas Kuna de Madungandí y Emberá de Bayano y sus Miembros Vs. Panamá</w:t>
      </w:r>
      <w:r w:rsidRPr="00BC57A2">
        <w:rPr>
          <w:sz w:val="16"/>
          <w:szCs w:val="16"/>
          <w:lang w:val="es-CR"/>
        </w:rPr>
        <w:t xml:space="preserve">, párr. 119. En el mismo sentido se pronunció la Corte con posterioridad: </w:t>
      </w:r>
      <w:r w:rsidRPr="00BC57A2">
        <w:rPr>
          <w:i/>
          <w:sz w:val="16"/>
          <w:szCs w:val="16"/>
          <w:lang w:val="es-CR"/>
        </w:rPr>
        <w:t>cfr. Caso Comunidad Garífuna Triunfo de la Cruz y sus Miembros Vs. Honduras</w:t>
      </w:r>
      <w:r w:rsidRPr="00BC57A2">
        <w:rPr>
          <w:sz w:val="16"/>
          <w:szCs w:val="16"/>
          <w:lang w:val="es-CR"/>
        </w:rPr>
        <w:t xml:space="preserve">, párr. 120, y </w:t>
      </w:r>
      <w:r w:rsidRPr="00BC57A2">
        <w:rPr>
          <w:i/>
          <w:sz w:val="16"/>
          <w:szCs w:val="16"/>
          <w:lang w:val="es-CR"/>
        </w:rPr>
        <w:t>Caso Pueblo Indígena Xucuru y sus miembros Vs. Brasil</w:t>
      </w:r>
      <w:r w:rsidRPr="00BC57A2">
        <w:rPr>
          <w:sz w:val="16"/>
          <w:szCs w:val="16"/>
          <w:lang w:val="es-CR"/>
        </w:rPr>
        <w:t xml:space="preserve">, párr. 118. </w:t>
      </w:r>
    </w:p>
    <w:p w14:paraId="5EA0D797" w14:textId="77777777" w:rsidR="0023585A" w:rsidRPr="00BC57A2" w:rsidRDefault="0023585A" w:rsidP="009805F2">
      <w:pPr>
        <w:pStyle w:val="Textonotapie"/>
        <w:rPr>
          <w:sz w:val="16"/>
          <w:szCs w:val="16"/>
          <w:lang w:val="es-CR"/>
        </w:rPr>
      </w:pPr>
    </w:p>
  </w:footnote>
  <w:footnote w:id="106">
    <w:p w14:paraId="5B7BB7C9" w14:textId="77777777" w:rsidR="0023585A" w:rsidRPr="00BC57A2" w:rsidRDefault="0023585A" w:rsidP="009805F2">
      <w:pPr>
        <w:pStyle w:val="Textonotapie"/>
        <w:rPr>
          <w:sz w:val="16"/>
          <w:szCs w:val="16"/>
          <w:lang w:val="es-ES"/>
        </w:rPr>
      </w:pPr>
      <w:r w:rsidRPr="00BC57A2">
        <w:rPr>
          <w:rStyle w:val="Refdenotaalpie"/>
          <w:sz w:val="16"/>
          <w:szCs w:val="16"/>
        </w:rPr>
        <w:footnoteRef/>
      </w:r>
      <w:r w:rsidRPr="00BC57A2">
        <w:rPr>
          <w:sz w:val="16"/>
          <w:szCs w:val="16"/>
          <w:lang w:val="es-ES"/>
        </w:rPr>
        <w:t xml:space="preserve"> </w:t>
      </w:r>
      <w:r w:rsidRPr="00BC57A2">
        <w:rPr>
          <w:sz w:val="16"/>
          <w:szCs w:val="16"/>
          <w:lang w:val="es-ES"/>
        </w:rPr>
        <w:tab/>
      </w:r>
      <w:r w:rsidRPr="00BC57A2">
        <w:rPr>
          <w:rStyle w:val="Textoennegrita"/>
          <w:b w:val="0"/>
          <w:i/>
          <w:color w:val="000000"/>
          <w:sz w:val="16"/>
          <w:szCs w:val="16"/>
          <w:shd w:val="clear" w:color="auto" w:fill="FFFFFF"/>
          <w:lang w:val="es-CR"/>
        </w:rPr>
        <w:t>Caso Pueblo Indígena Xucuru y sus miembros Vs. Brasil</w:t>
      </w:r>
      <w:r w:rsidRPr="00BC57A2">
        <w:rPr>
          <w:sz w:val="16"/>
          <w:szCs w:val="16"/>
          <w:lang w:val="es-CR"/>
        </w:rPr>
        <w:t xml:space="preserve">, párr. </w:t>
      </w:r>
      <w:r w:rsidRPr="00BC57A2">
        <w:rPr>
          <w:sz w:val="16"/>
          <w:szCs w:val="16"/>
          <w:lang w:val="es-ES"/>
        </w:rPr>
        <w:t xml:space="preserve">119.  </w:t>
      </w:r>
    </w:p>
    <w:p w14:paraId="3446847E" w14:textId="77777777" w:rsidR="0023585A" w:rsidRPr="00BC57A2" w:rsidRDefault="0023585A" w:rsidP="009805F2">
      <w:pPr>
        <w:pStyle w:val="Textonotapie"/>
        <w:rPr>
          <w:sz w:val="16"/>
          <w:szCs w:val="16"/>
          <w:lang w:val="es-ES"/>
        </w:rPr>
      </w:pPr>
    </w:p>
  </w:footnote>
  <w:footnote w:id="107">
    <w:p w14:paraId="1055B3E3"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Caso Pueblos Kaliña y Lokono Vs. Surinam</w:t>
      </w:r>
      <w:r w:rsidRPr="00BC57A2">
        <w:rPr>
          <w:sz w:val="16"/>
          <w:szCs w:val="16"/>
          <w:lang w:val="es-CR"/>
        </w:rPr>
        <w:t>, párr. 133.</w:t>
      </w:r>
    </w:p>
    <w:p w14:paraId="42E2C456" w14:textId="77777777" w:rsidR="0023585A" w:rsidRPr="00BC57A2" w:rsidRDefault="0023585A" w:rsidP="009805F2">
      <w:pPr>
        <w:pStyle w:val="Textonotapie"/>
        <w:rPr>
          <w:sz w:val="16"/>
          <w:szCs w:val="16"/>
          <w:lang w:val="es-CR"/>
        </w:rPr>
      </w:pPr>
    </w:p>
  </w:footnote>
  <w:footnote w:id="108">
    <w:p w14:paraId="1092EBEA"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Cfr. caso Pueblo Indígena Xucuru y sus miembros Vs. Brasil</w:t>
      </w:r>
      <w:r w:rsidRPr="00BC57A2">
        <w:rPr>
          <w:sz w:val="16"/>
          <w:szCs w:val="16"/>
          <w:lang w:val="es-CR"/>
        </w:rPr>
        <w:t>, párr. 119.</w:t>
      </w:r>
    </w:p>
    <w:p w14:paraId="6F712D39" w14:textId="77777777" w:rsidR="0023585A" w:rsidRPr="00BC57A2" w:rsidRDefault="0023585A" w:rsidP="009805F2">
      <w:pPr>
        <w:pStyle w:val="Textonotapie"/>
        <w:rPr>
          <w:sz w:val="16"/>
          <w:szCs w:val="16"/>
          <w:lang w:val="es-CR"/>
        </w:rPr>
      </w:pPr>
    </w:p>
  </w:footnote>
  <w:footnote w:id="109">
    <w:p w14:paraId="63E0CCE8" w14:textId="77777777" w:rsidR="0023585A" w:rsidRPr="00BC57A2" w:rsidRDefault="0023585A" w:rsidP="009805F2">
      <w:pPr>
        <w:pStyle w:val="Footnotes"/>
        <w:rPr>
          <w:rStyle w:val="apple-style-span"/>
          <w:spacing w:val="0"/>
        </w:rPr>
      </w:pPr>
      <w:r w:rsidRPr="00AF0065">
        <w:rPr>
          <w:rStyle w:val="Refdenotaalpie"/>
          <w:rFonts w:eastAsia="Batang"/>
          <w:i w:val="0"/>
          <w:spacing w:val="0"/>
          <w:szCs w:val="16"/>
        </w:rPr>
        <w:footnoteRef/>
      </w:r>
      <w:r w:rsidRPr="00AF0065">
        <w:rPr>
          <w:i w:val="0"/>
          <w:spacing w:val="0"/>
        </w:rPr>
        <w:t xml:space="preserve"> </w:t>
      </w:r>
      <w:r w:rsidRPr="00BC57A2">
        <w:rPr>
          <w:spacing w:val="0"/>
        </w:rPr>
        <w:tab/>
      </w:r>
      <w:r w:rsidRPr="00BC57A2">
        <w:rPr>
          <w:rFonts w:cs="Times New Roman"/>
          <w:spacing w:val="0"/>
          <w:lang w:val="es-CR"/>
        </w:rPr>
        <w:t>Cfr. Caso de la Comunidad Mayagna (Sumo) Awas Tingni Vs. Nicaragua</w:t>
      </w:r>
      <w:r w:rsidRPr="00BC57A2">
        <w:rPr>
          <w:rFonts w:cs="Times New Roman"/>
          <w:i w:val="0"/>
          <w:lang w:val="es-CR"/>
        </w:rPr>
        <w:t xml:space="preserve">, </w:t>
      </w:r>
      <w:r w:rsidRPr="00BC57A2">
        <w:rPr>
          <w:rFonts w:cs="Times New Roman"/>
          <w:i w:val="0"/>
          <w:spacing w:val="0"/>
          <w:lang w:val="es-CR"/>
        </w:rPr>
        <w:t>párr. 164</w:t>
      </w:r>
      <w:r w:rsidRPr="00BC57A2">
        <w:rPr>
          <w:rStyle w:val="apple-style-span"/>
          <w:i w:val="0"/>
          <w:spacing w:val="0"/>
        </w:rPr>
        <w:t xml:space="preserve">, y </w:t>
      </w:r>
      <w:r w:rsidRPr="00BC57A2">
        <w:rPr>
          <w:spacing w:val="0"/>
        </w:rPr>
        <w:t>Caso Pueblo Indígena Xucuru y sus miembros Vs. Brasil</w:t>
      </w:r>
      <w:r w:rsidRPr="00BC57A2">
        <w:rPr>
          <w:i w:val="0"/>
        </w:rPr>
        <w:t>, párr. 117</w:t>
      </w:r>
      <w:r w:rsidRPr="00BC57A2">
        <w:rPr>
          <w:rStyle w:val="apple-style-span"/>
          <w:i w:val="0"/>
          <w:spacing w:val="0"/>
        </w:rPr>
        <w:t>. En ese sentido, la perita Yáñez Fuenzalida afirmó que “[t]ratandose de tierras no tituladas, la obligación internacional del Estado es demarcar y titular los territorios indígenas para proveer certeza jurídica sobre el dominio ancestral indígena”.</w:t>
      </w:r>
      <w:r w:rsidRPr="00BC57A2">
        <w:rPr>
          <w:rStyle w:val="apple-style-span"/>
          <w:spacing w:val="0"/>
        </w:rPr>
        <w:t xml:space="preserve"> </w:t>
      </w:r>
    </w:p>
    <w:p w14:paraId="4221BB05" w14:textId="77777777" w:rsidR="0023585A" w:rsidRPr="00BC57A2" w:rsidRDefault="0023585A" w:rsidP="009805F2">
      <w:pPr>
        <w:pStyle w:val="Footnotes"/>
        <w:rPr>
          <w:spacing w:val="0"/>
        </w:rPr>
      </w:pPr>
    </w:p>
  </w:footnote>
  <w:footnote w:id="110">
    <w:p w14:paraId="23108762" w14:textId="77777777" w:rsidR="0023585A" w:rsidRPr="00BC57A2" w:rsidRDefault="0023585A" w:rsidP="009805F2">
      <w:pPr>
        <w:spacing w:after="0" w:line="240" w:lineRule="auto"/>
        <w:jc w:val="both"/>
        <w:rPr>
          <w:rStyle w:val="apple-style-span"/>
          <w:rFonts w:ascii="Verdana" w:hAnsi="Verdana"/>
          <w:sz w:val="16"/>
          <w:szCs w:val="16"/>
        </w:rPr>
      </w:pPr>
      <w:r w:rsidRPr="00BC57A2">
        <w:rPr>
          <w:rStyle w:val="Refdenotaalpie"/>
          <w:rFonts w:ascii="Verdana" w:hAnsi="Verdana"/>
          <w:sz w:val="16"/>
          <w:szCs w:val="16"/>
        </w:rPr>
        <w:footnoteRef/>
      </w:r>
      <w:r w:rsidRPr="00BC57A2">
        <w:rPr>
          <w:rFonts w:ascii="Verdana" w:hAnsi="Verdana"/>
          <w:sz w:val="16"/>
          <w:szCs w:val="16"/>
        </w:rPr>
        <w:t xml:space="preserve"> </w:t>
      </w:r>
      <w:r w:rsidRPr="00BC57A2">
        <w:rPr>
          <w:rFonts w:ascii="Verdana" w:hAnsi="Verdana"/>
          <w:sz w:val="16"/>
          <w:szCs w:val="16"/>
        </w:rPr>
        <w:tab/>
      </w:r>
      <w:r w:rsidRPr="00BC57A2">
        <w:rPr>
          <w:rFonts w:ascii="Verdana" w:hAnsi="Verdana"/>
          <w:i/>
          <w:sz w:val="16"/>
          <w:szCs w:val="16"/>
        </w:rPr>
        <w:t>Cfr. Comunidad Mayagna (Sumo) Awas Tingni Vs. Nicaragua,</w:t>
      </w:r>
      <w:r w:rsidRPr="00BC57A2">
        <w:rPr>
          <w:rFonts w:ascii="Verdana" w:hAnsi="Verdana"/>
          <w:sz w:val="16"/>
          <w:szCs w:val="16"/>
        </w:rPr>
        <w:t xml:space="preserve"> párr. 164, y </w:t>
      </w:r>
      <w:r w:rsidRPr="00BC57A2">
        <w:rPr>
          <w:rFonts w:ascii="Verdana" w:hAnsi="Verdana"/>
          <w:i/>
          <w:sz w:val="16"/>
          <w:szCs w:val="16"/>
        </w:rPr>
        <w:t>Caso Pueblo Indígena Xucuru y sus miembros Vs. Brasil</w:t>
      </w:r>
      <w:r w:rsidRPr="00BC57A2">
        <w:rPr>
          <w:rFonts w:ascii="Verdana" w:hAnsi="Verdana"/>
          <w:sz w:val="16"/>
          <w:szCs w:val="16"/>
        </w:rPr>
        <w:t>, párr. 117</w:t>
      </w:r>
      <w:r w:rsidRPr="00BC57A2">
        <w:rPr>
          <w:rStyle w:val="apple-style-span"/>
          <w:rFonts w:ascii="Verdana" w:hAnsi="Verdana"/>
          <w:sz w:val="16"/>
          <w:szCs w:val="16"/>
        </w:rPr>
        <w:t>.</w:t>
      </w:r>
    </w:p>
    <w:p w14:paraId="4C2688E7" w14:textId="77777777" w:rsidR="0023585A" w:rsidRPr="00AF0065" w:rsidRDefault="0023585A" w:rsidP="009805F2">
      <w:pPr>
        <w:spacing w:after="0" w:line="240" w:lineRule="auto"/>
        <w:jc w:val="both"/>
        <w:rPr>
          <w:rFonts w:ascii="Verdana" w:hAnsi="Verdana"/>
          <w:b/>
          <w:sz w:val="16"/>
          <w:szCs w:val="16"/>
        </w:rPr>
      </w:pPr>
    </w:p>
  </w:footnote>
  <w:footnote w:id="111">
    <w:p w14:paraId="7D5ED8A3" w14:textId="19459E4B" w:rsidR="0023585A" w:rsidRPr="00BC57A2" w:rsidRDefault="0023585A" w:rsidP="009805F2">
      <w:pPr>
        <w:pStyle w:val="Footnotes"/>
        <w:rPr>
          <w:i w:val="0"/>
        </w:rPr>
      </w:pPr>
      <w:r w:rsidRPr="00AF0065">
        <w:rPr>
          <w:rStyle w:val="Refdenotaalpie"/>
          <w:rFonts w:eastAsiaTheme="majorEastAsia"/>
          <w:i w:val="0"/>
          <w:spacing w:val="0"/>
          <w:szCs w:val="16"/>
        </w:rPr>
        <w:footnoteRef/>
      </w:r>
      <w:r w:rsidRPr="00AF0065">
        <w:rPr>
          <w:i w:val="0"/>
          <w:spacing w:val="0"/>
        </w:rPr>
        <w:t xml:space="preserve"> </w:t>
      </w:r>
      <w:r w:rsidRPr="00BC57A2">
        <w:rPr>
          <w:spacing w:val="0"/>
        </w:rPr>
        <w:tab/>
        <w:t>Cfr. Caso Comunidad Indígena Yakye Axa Vs. Paraguay</w:t>
      </w:r>
      <w:r w:rsidRPr="00BC57A2">
        <w:rPr>
          <w:i w:val="0"/>
          <w:spacing w:val="0"/>
        </w:rPr>
        <w:t>, párr. 137</w:t>
      </w:r>
      <w:r w:rsidRPr="00BC57A2">
        <w:t xml:space="preserve">; </w:t>
      </w:r>
      <w:r w:rsidRPr="00BC57A2">
        <w:rPr>
          <w:rStyle w:val="Textoennegrita"/>
          <w:b w:val="0"/>
          <w:color w:val="000000"/>
          <w:spacing w:val="0"/>
          <w:shd w:val="clear" w:color="auto" w:fill="FFFFFF"/>
        </w:rPr>
        <w:t>Caso Pueblo Indígena Kichwa de Sarayaku Vs. Ecuador</w:t>
      </w:r>
      <w:r w:rsidRPr="00BC57A2">
        <w:rPr>
          <w:rStyle w:val="Textoennegrita"/>
          <w:b w:val="0"/>
          <w:i w:val="0"/>
          <w:color w:val="000000"/>
          <w:spacing w:val="0"/>
          <w:shd w:val="clear" w:color="auto" w:fill="FFFFFF"/>
        </w:rPr>
        <w:t>, párr.</w:t>
      </w:r>
      <w:r w:rsidRPr="00BC57A2">
        <w:rPr>
          <w:rStyle w:val="Textoennegrita"/>
          <w:i w:val="0"/>
          <w:color w:val="000000"/>
          <w:spacing w:val="0"/>
          <w:shd w:val="clear" w:color="auto" w:fill="FFFFFF"/>
        </w:rPr>
        <w:t xml:space="preserve"> </w:t>
      </w:r>
      <w:r w:rsidRPr="00BC57A2">
        <w:rPr>
          <w:i w:val="0"/>
          <w:spacing w:val="0"/>
          <w:lang w:val="es-ES_tradnl"/>
        </w:rPr>
        <w:t>146,</w:t>
      </w:r>
      <w:r w:rsidRPr="00BC57A2">
        <w:rPr>
          <w:i w:val="0"/>
          <w:spacing w:val="0"/>
        </w:rPr>
        <w:t xml:space="preserve"> y</w:t>
      </w:r>
      <w:r w:rsidRPr="00BC57A2">
        <w:rPr>
          <w:spacing w:val="0"/>
        </w:rPr>
        <w:t xml:space="preserve"> Caso Pueblo Indígena Xucuru y sus miembros Vs. Brasil,</w:t>
      </w:r>
      <w:r w:rsidRPr="00BC57A2">
        <w:rPr>
          <w:i w:val="0"/>
        </w:rPr>
        <w:t xml:space="preserve"> párr. 117. Esto es consistente con el artículo 26.1 de la Declaración de las Naciones Unidas de Derechos de los Pueblos Indígenas. En el mismo sentido, el Comité para la Eliminación de todas las formas de Discriminación Racial exhortó a los Estados a que “reconozcan y protejan los derechos de los pueblos indígenas a poseer, explotar, controlar y utilizar sus tierras, territorios y recursos comunales” (</w:t>
      </w:r>
      <w:r w:rsidRPr="00BC57A2">
        <w:t>Recomendación General No. 23, relativa a los derechos de los pueblos indígenas.</w:t>
      </w:r>
      <w:r w:rsidRPr="00BC57A2">
        <w:rPr>
          <w:i w:val="0"/>
        </w:rPr>
        <w:t xml:space="preserve"> 51º período de sesiones (1997). Doc. A/52/18, anexo V, párr. 5).  </w:t>
      </w:r>
    </w:p>
    <w:p w14:paraId="3AA9D36F" w14:textId="77777777" w:rsidR="0023585A" w:rsidRPr="00BC57A2" w:rsidRDefault="0023585A" w:rsidP="009805F2">
      <w:pPr>
        <w:pStyle w:val="Footnotes"/>
      </w:pPr>
    </w:p>
  </w:footnote>
  <w:footnote w:id="112">
    <w:p w14:paraId="20212AA9" w14:textId="77777777" w:rsidR="0023585A" w:rsidRPr="00BC57A2" w:rsidRDefault="0023585A" w:rsidP="009805F2">
      <w:pPr>
        <w:pStyle w:val="Footnotes"/>
        <w:rPr>
          <w:rStyle w:val="Textoennegrita"/>
          <w:i w:val="0"/>
          <w:color w:val="000000"/>
          <w:shd w:val="clear" w:color="auto" w:fill="FFFFFF"/>
          <w:lang w:val="es-CR"/>
        </w:rPr>
      </w:pPr>
      <w:r w:rsidRPr="00AF0065">
        <w:rPr>
          <w:rStyle w:val="Refdenotaalpie"/>
          <w:rFonts w:eastAsiaTheme="majorEastAsia"/>
          <w:i w:val="0"/>
          <w:spacing w:val="0"/>
          <w:szCs w:val="16"/>
        </w:rPr>
        <w:footnoteRef/>
      </w:r>
      <w:r w:rsidRPr="00AF0065">
        <w:rPr>
          <w:b/>
          <w:i w:val="0"/>
          <w:spacing w:val="0"/>
        </w:rPr>
        <w:t xml:space="preserve"> </w:t>
      </w:r>
      <w:r w:rsidRPr="00BC57A2">
        <w:rPr>
          <w:b/>
          <w:spacing w:val="0"/>
        </w:rPr>
        <w:tab/>
      </w:r>
      <w:r w:rsidRPr="00BC57A2">
        <w:rPr>
          <w:spacing w:val="0"/>
        </w:rPr>
        <w:t>Cfr.</w:t>
      </w:r>
      <w:r w:rsidRPr="00BC57A2">
        <w:rPr>
          <w:b/>
          <w:spacing w:val="0"/>
        </w:rPr>
        <w:t xml:space="preserve"> </w:t>
      </w:r>
      <w:r w:rsidRPr="00BC57A2">
        <w:rPr>
          <w:rStyle w:val="Textoennegrita"/>
          <w:b w:val="0"/>
          <w:color w:val="000000"/>
          <w:spacing w:val="0"/>
          <w:shd w:val="clear" w:color="auto" w:fill="FFFFFF"/>
        </w:rPr>
        <w:t>Caso del Pueblo Saramaka Vs. Suriname</w:t>
      </w:r>
      <w:r w:rsidRPr="00BC57A2">
        <w:rPr>
          <w:rStyle w:val="Textoennegrita"/>
          <w:b w:val="0"/>
          <w:i w:val="0"/>
          <w:color w:val="000000"/>
          <w:spacing w:val="0"/>
          <w:shd w:val="clear" w:color="auto" w:fill="FFFFFF"/>
        </w:rPr>
        <w:t>, párr. 115 y</w:t>
      </w:r>
      <w:r w:rsidRPr="00BC57A2">
        <w:rPr>
          <w:rStyle w:val="Textoennegrita"/>
          <w:color w:val="000000"/>
          <w:spacing w:val="0"/>
          <w:shd w:val="clear" w:color="auto" w:fill="FFFFFF"/>
        </w:rPr>
        <w:t xml:space="preserve"> </w:t>
      </w:r>
      <w:r w:rsidRPr="00BC57A2">
        <w:rPr>
          <w:spacing w:val="0"/>
        </w:rPr>
        <w:t>Caso Pueblo Indígena Xucuru y sus miembros Vs. Brasil</w:t>
      </w:r>
      <w:r w:rsidRPr="00BC57A2">
        <w:rPr>
          <w:i w:val="0"/>
        </w:rPr>
        <w:t>, párr. 117</w:t>
      </w:r>
      <w:r w:rsidRPr="005B2C74">
        <w:rPr>
          <w:rStyle w:val="Textoennegrita"/>
          <w:b w:val="0"/>
          <w:i w:val="0"/>
          <w:color w:val="000000"/>
          <w:shd w:val="clear" w:color="auto" w:fill="FFFFFF"/>
          <w:lang w:val="es-CR"/>
        </w:rPr>
        <w:t>.</w:t>
      </w:r>
    </w:p>
    <w:p w14:paraId="336E4700" w14:textId="77777777" w:rsidR="0023585A" w:rsidRPr="00BC57A2" w:rsidRDefault="0023585A" w:rsidP="009805F2">
      <w:pPr>
        <w:pStyle w:val="Footnotes"/>
        <w:rPr>
          <w:b/>
          <w:i w:val="0"/>
          <w:spacing w:val="0"/>
        </w:rPr>
      </w:pPr>
    </w:p>
  </w:footnote>
  <w:footnote w:id="113">
    <w:p w14:paraId="28A687EB" w14:textId="1FCD338E"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En este marco, la Comisión señaló que hubo “seis variaciones sucesivas en procedimientos aplicables”</w:t>
      </w:r>
      <w:r>
        <w:rPr>
          <w:sz w:val="16"/>
          <w:szCs w:val="16"/>
          <w:lang w:val="es-CR"/>
        </w:rPr>
        <w:t>,</w:t>
      </w:r>
      <w:r w:rsidRPr="00BC57A2">
        <w:rPr>
          <w:sz w:val="16"/>
          <w:szCs w:val="16"/>
          <w:lang w:val="es-CR"/>
        </w:rPr>
        <w:t xml:space="preserve"> que incluyeron un “curso de acción” dirigido a “asignar parcelas a familias criollas e indígenas”. Entre dichos procedimientos, incluyó el referéndum realizado en 2005.</w:t>
      </w:r>
      <w:r w:rsidRPr="00BC57A2">
        <w:rPr>
          <w:b/>
          <w:sz w:val="16"/>
          <w:szCs w:val="16"/>
          <w:lang w:val="es-CR"/>
        </w:rPr>
        <w:t xml:space="preserve"> </w:t>
      </w:r>
      <w:r w:rsidRPr="00BC57A2">
        <w:rPr>
          <w:sz w:val="16"/>
          <w:szCs w:val="16"/>
          <w:lang w:val="es-CR"/>
        </w:rPr>
        <w:t>La Comisión adujo que el referéndum “no [fue] equivale[nte] a un proceso de consulta previa sobre [la] decisión de adjudicación territorial”, y que mediante tal acto “se sujetó la decisión sobre un asunto que afectaba directamente a la población indígena, a la manifestación de voluntad de la población en general”.</w:t>
      </w:r>
    </w:p>
    <w:p w14:paraId="17B90FB3" w14:textId="77777777" w:rsidR="0023585A" w:rsidRPr="00BC57A2" w:rsidRDefault="0023585A" w:rsidP="009805F2">
      <w:pPr>
        <w:pStyle w:val="Textonotapie"/>
        <w:rPr>
          <w:sz w:val="16"/>
          <w:szCs w:val="16"/>
          <w:lang w:val="es-CR"/>
        </w:rPr>
      </w:pPr>
    </w:p>
  </w:footnote>
  <w:footnote w:id="114">
    <w:p w14:paraId="319C0AE3" w14:textId="06A103A6"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Debe aclararse que al efectuar su examen del último punto citado en el Informe de Fondo</w:t>
      </w:r>
      <w:r>
        <w:rPr>
          <w:sz w:val="16"/>
          <w:szCs w:val="16"/>
          <w:lang w:val="es-CR"/>
        </w:rPr>
        <w:t>,</w:t>
      </w:r>
      <w:r w:rsidRPr="00BC57A2">
        <w:rPr>
          <w:sz w:val="16"/>
          <w:szCs w:val="16"/>
          <w:lang w:val="es-CR"/>
        </w:rPr>
        <w:t xml:space="preserve"> la Comisión hizo referencia al artículo 2 de la Convención Americana. No obstante, no aludió a dicha norma en sus conclusiones sobre tal aspecto (expresadas en el punto 3 de las “Conclusiones” del Informe de Fondo). En los alegatos finales escritos aclaró que “en su Informe de Fondo […] la Comisión concluyó que el Estado […] violó los derechos consagrados en los artículos 8 y 25 de la Convención […] en conexión con el artículo 21 y con el artículo 2 de la misma, toda vez que no se cumplieron los derechos legalmente reconocidos a las comunidades mediante decretos provinciales, ni se proveyó a las comunidades de un procedimiento específico, claramente regulado e idóneo para hacer valer su derecho a la propiedad colectiva”. </w:t>
      </w:r>
    </w:p>
    <w:p w14:paraId="4A5A7D88" w14:textId="77777777" w:rsidR="0023585A" w:rsidRPr="00BC57A2" w:rsidRDefault="0023585A" w:rsidP="009805F2">
      <w:pPr>
        <w:pStyle w:val="Textonotapie"/>
        <w:rPr>
          <w:sz w:val="16"/>
          <w:szCs w:val="16"/>
          <w:lang w:val="es-CR"/>
        </w:rPr>
      </w:pPr>
    </w:p>
  </w:footnote>
  <w:footnote w:id="115">
    <w:p w14:paraId="0C8EA6CC" w14:textId="77777777" w:rsidR="0023585A" w:rsidRPr="00BC57A2" w:rsidRDefault="0023585A" w:rsidP="009805F2">
      <w:pPr>
        <w:pStyle w:val="Prrafodelista"/>
        <w:tabs>
          <w:tab w:val="left" w:pos="1134"/>
        </w:tabs>
        <w:spacing w:after="0" w:line="240" w:lineRule="auto"/>
        <w:ind w:left="0"/>
        <w:jc w:val="both"/>
        <w:rPr>
          <w:rFonts w:ascii="Verdana" w:hAnsi="Verdana"/>
          <w:sz w:val="16"/>
          <w:szCs w:val="16"/>
        </w:rPr>
      </w:pPr>
      <w:r w:rsidRPr="00BC57A2">
        <w:rPr>
          <w:rStyle w:val="Refdenotaalpie"/>
          <w:rFonts w:ascii="Verdana" w:hAnsi="Verdana"/>
          <w:sz w:val="16"/>
          <w:szCs w:val="16"/>
        </w:rPr>
        <w:footnoteRef/>
      </w:r>
      <w:r w:rsidRPr="00BC57A2">
        <w:rPr>
          <w:rFonts w:ascii="Verdana" w:hAnsi="Verdana"/>
          <w:sz w:val="16"/>
          <w:szCs w:val="16"/>
        </w:rPr>
        <w:t xml:space="preserve"> </w:t>
      </w:r>
      <w:r w:rsidRPr="00BC57A2">
        <w:rPr>
          <w:rFonts w:ascii="Verdana" w:hAnsi="Verdana"/>
          <w:sz w:val="16"/>
          <w:szCs w:val="16"/>
        </w:rPr>
        <w:tab/>
        <w:t xml:space="preserve">La Comisión notó que dada la diferencia entre el modo de vida cazador-recolector, pescador y nómada de las comunidades indígenas, y el modo de vida ganadero de la población criolla, que degrada su hábitat natural, han surgido conflictos y tensiones por causa del uso de la tierra y el acceso a los recursos naturales. Uno de los principales problemas es el de la apropiación de tierras y el tendido de cercas de alambre por parte de los criollos, que impiden, restringen y coartan la movilidad de los indígenas. </w:t>
      </w:r>
    </w:p>
    <w:p w14:paraId="57A19229" w14:textId="77777777" w:rsidR="0023585A" w:rsidRPr="00BC57A2" w:rsidRDefault="0023585A" w:rsidP="009805F2">
      <w:pPr>
        <w:pStyle w:val="Prrafodelista"/>
        <w:tabs>
          <w:tab w:val="left" w:pos="1134"/>
        </w:tabs>
        <w:spacing w:after="0" w:line="240" w:lineRule="auto"/>
        <w:ind w:left="0"/>
        <w:jc w:val="both"/>
        <w:rPr>
          <w:rFonts w:ascii="Verdana" w:hAnsi="Verdana"/>
          <w:sz w:val="16"/>
          <w:szCs w:val="16"/>
        </w:rPr>
      </w:pPr>
    </w:p>
  </w:footnote>
  <w:footnote w:id="116">
    <w:p w14:paraId="6C71159E"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Cabe aclarar que los representantes al referirse a la violación de los derechos a las garantías judiciales y a la protección judicial, a diferencia de la Comisión, lo hicieron respecto a acciones administrativas y judiciales presentadas para reclamar la defensa del derecho de propiedad en distintos aspectos. La presente Sentencia incluye un capítulo relativo al examen de acciones judiciales (</w:t>
      </w:r>
      <w:r w:rsidRPr="00BC57A2">
        <w:rPr>
          <w:i/>
          <w:sz w:val="16"/>
          <w:szCs w:val="16"/>
          <w:lang w:val="es-CR"/>
        </w:rPr>
        <w:t>infra</w:t>
      </w:r>
      <w:r w:rsidRPr="00BC57A2">
        <w:rPr>
          <w:sz w:val="16"/>
          <w:szCs w:val="16"/>
          <w:lang w:val="es-CR"/>
        </w:rPr>
        <w:t xml:space="preserve">, Capítulo VII.3). </w:t>
      </w:r>
    </w:p>
    <w:p w14:paraId="49574FB9" w14:textId="77777777" w:rsidR="0023585A" w:rsidRPr="00BC57A2" w:rsidRDefault="0023585A" w:rsidP="009805F2">
      <w:pPr>
        <w:pStyle w:val="Textonotapie"/>
        <w:rPr>
          <w:i/>
          <w:sz w:val="16"/>
          <w:szCs w:val="16"/>
          <w:lang w:val="es-CR"/>
        </w:rPr>
      </w:pPr>
    </w:p>
  </w:footnote>
  <w:footnote w:id="117">
    <w:p w14:paraId="359A59D4" w14:textId="77777777" w:rsidR="0023585A" w:rsidRPr="00BC57A2" w:rsidRDefault="0023585A" w:rsidP="009805F2">
      <w:pPr>
        <w:pStyle w:val="Textonotapie"/>
        <w:rPr>
          <w:rFonts w:cs="ArialNarrow"/>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Explicaron que el modo de vida de las comunidades implica la libertad de circular por todo el territorio, y que si el título no fuera como lo señalan sólo se “[c]</w:t>
      </w:r>
      <w:r w:rsidRPr="00BC57A2">
        <w:rPr>
          <w:rFonts w:cs="ArialNarrow-Bold"/>
          <w:bCs/>
          <w:sz w:val="16"/>
          <w:szCs w:val="16"/>
          <w:lang w:val="es-CR"/>
        </w:rPr>
        <w:t>ambiar[ía]n los alambrados criollos por propiedades parceladas”. En otro orden de cosas, respecto al reclamo de un título “único” y el hecho de que hay comunidades no vinculadas a Lhaka Honhat, aseveraron que “</w:t>
      </w:r>
      <w:r w:rsidRPr="00BC57A2">
        <w:rPr>
          <w:rFonts w:cs="ArialNarrow"/>
          <w:sz w:val="16"/>
          <w:szCs w:val="16"/>
          <w:lang w:val="es-CR"/>
        </w:rPr>
        <w:t>todas las comunidades indígenas tienen pretensiones territoriales y que, en el peor de los casos, [… los] conflictos internos […] deberán ser resueltos por ell[a]s conforme los mecanismos propios de resolución de conflictos”.</w:t>
      </w:r>
    </w:p>
    <w:p w14:paraId="7D74E9E3" w14:textId="77777777" w:rsidR="0023585A" w:rsidRPr="00BC57A2" w:rsidRDefault="0023585A" w:rsidP="009805F2">
      <w:pPr>
        <w:pStyle w:val="Textonotapie"/>
        <w:rPr>
          <w:sz w:val="16"/>
          <w:szCs w:val="16"/>
          <w:lang w:val="es-CR"/>
        </w:rPr>
      </w:pPr>
    </w:p>
  </w:footnote>
  <w:footnote w:id="118">
    <w:p w14:paraId="093D9B6F"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 xml:space="preserve">Además, los representantes criticaron esta metodología aseverando que “ha sido el mismo Estado quien: a) no [ha] realiz[ado] las obras de infraestructura necesarias para lograr los traslados de las familias criollas con las que se hubiere arribado a un acuerdo […] y b) no realizó ninguna acción efectiva para erradicar alambrados del territorio ancestral a fin de menguar las tremendas consecuencias sobre la forma tradicional de vida de las comunidades indígenas”. </w:t>
      </w:r>
    </w:p>
    <w:p w14:paraId="1B80AF71" w14:textId="77777777" w:rsidR="0023585A" w:rsidRPr="00BC57A2" w:rsidRDefault="0023585A" w:rsidP="009805F2">
      <w:pPr>
        <w:pStyle w:val="Textonotapie"/>
        <w:rPr>
          <w:sz w:val="16"/>
          <w:szCs w:val="16"/>
          <w:lang w:val="es-CR"/>
        </w:rPr>
      </w:pPr>
    </w:p>
  </w:footnote>
  <w:footnote w:id="119">
    <w:p w14:paraId="32D74BC8" w14:textId="5E782E76"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 xml:space="preserve">De modo adicional, manifestaron que para el aseguramiento de la democracia y, por tanto, de los derechos humanos, es indispensable que las elecciones sean “auténticas” y reflejen efectivamente la voluntad de los electores. </w:t>
      </w:r>
      <w:r w:rsidRPr="00BC57A2">
        <w:rPr>
          <w:sz w:val="16"/>
          <w:szCs w:val="16"/>
          <w:lang w:val="es-ES_tradnl"/>
        </w:rPr>
        <w:t>Al respecto, sostuvieron que</w:t>
      </w:r>
      <w:r w:rsidRPr="00BC57A2">
        <w:rPr>
          <w:b/>
          <w:sz w:val="16"/>
          <w:szCs w:val="16"/>
          <w:lang w:val="es-ES_tradnl"/>
        </w:rPr>
        <w:t xml:space="preserve"> </w:t>
      </w:r>
      <w:r w:rsidRPr="00BC57A2">
        <w:rPr>
          <w:sz w:val="16"/>
          <w:szCs w:val="16"/>
          <w:lang w:val="es-CR"/>
        </w:rPr>
        <w:t xml:space="preserve">en el referéndum cuestionado se verificaron al menos dos irregularidades que impiden considerarla como “auténtica” y genuina expresión de la voluntad popular, lo que implica una violación del artículo 23 de la Convención: la utilización de boletas de votación con mensajes engañosos que realizan promesas de bienestar económico y el cálculo fraudulento del quórum necesario para la validez de la votación. </w:t>
      </w:r>
    </w:p>
    <w:p w14:paraId="0883074F" w14:textId="77777777" w:rsidR="0023585A" w:rsidRPr="00BC57A2" w:rsidRDefault="0023585A" w:rsidP="009805F2">
      <w:pPr>
        <w:pStyle w:val="Textonotapie"/>
        <w:rPr>
          <w:sz w:val="16"/>
          <w:szCs w:val="16"/>
          <w:lang w:val="es-CR"/>
        </w:rPr>
      </w:pPr>
    </w:p>
  </w:footnote>
  <w:footnote w:id="120">
    <w:p w14:paraId="25BC1866" w14:textId="77777777" w:rsidR="0023585A" w:rsidRPr="00BC57A2" w:rsidRDefault="0023585A" w:rsidP="009805F2">
      <w:pPr>
        <w:pStyle w:val="Textonotapie"/>
        <w:rPr>
          <w:rFonts w:cs="ArialNarrow"/>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Se refirieron en particular a los artículos 6, 7 y 8 de la Resolución citada, aseverando que “</w:t>
      </w:r>
      <w:r w:rsidRPr="00BC57A2">
        <w:rPr>
          <w:rFonts w:cs="ArialNarrow"/>
          <w:sz w:val="16"/>
          <w:szCs w:val="16"/>
          <w:lang w:val="es-CR"/>
        </w:rPr>
        <w:t>[l]as exigencias establecidas […] representan una imposición sobre maneras y formas de organización que no son compatibles con la identidad cultural de los pueblos indígenas ni, menos aún, con el modo en que la organización Lhaka Honhat ya venía funcionando. El sistema de mayorías y minorías descripto en la resolución del INAI es absolutamente incompatible con el modo de funcionamiento de la organización referida”.</w:t>
      </w:r>
    </w:p>
    <w:p w14:paraId="3C00CB76" w14:textId="77777777" w:rsidR="0023585A" w:rsidRPr="00BC57A2" w:rsidRDefault="0023585A" w:rsidP="009805F2">
      <w:pPr>
        <w:pStyle w:val="Textonotapie"/>
        <w:rPr>
          <w:sz w:val="16"/>
          <w:szCs w:val="16"/>
          <w:lang w:val="es-CR"/>
        </w:rPr>
      </w:pPr>
    </w:p>
  </w:footnote>
  <w:footnote w:id="121">
    <w:p w14:paraId="058A2F82" w14:textId="08514D8D"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 xml:space="preserve">Argentina enumeró los siguientes actos: acta de 5 de diciembre de 1991, Decretos 2609/91, 18/93 y 3097/95, acuerdo de abril de 1996, Decreto 461/99, el proceso de solución amistosa, Decreto 295/02, conformación del equipo técnico “Grupo de Trabajo” el 4 de octubre de 2002, propuestas provinciales de 16 de noviembre y 22 de diciembre de 2004, reunión de trabajo ante la Comisión de 2 de marzo de 2005, reunión de 14 de marzo de 2006, Decretos  2786/07, 2398/12 y 1498/14 y la propuesta de plan de trabajo integral de 2017. </w:t>
      </w:r>
    </w:p>
    <w:p w14:paraId="214D4633" w14:textId="77777777" w:rsidR="0023585A" w:rsidRPr="00BC57A2" w:rsidRDefault="0023585A" w:rsidP="009805F2">
      <w:pPr>
        <w:pStyle w:val="Textonotapie"/>
        <w:rPr>
          <w:b/>
          <w:sz w:val="16"/>
          <w:szCs w:val="16"/>
          <w:lang w:val="es-CR"/>
        </w:rPr>
      </w:pPr>
    </w:p>
  </w:footnote>
  <w:footnote w:id="122">
    <w:p w14:paraId="2C8AE04E" w14:textId="6A86FFD4" w:rsidR="0023585A" w:rsidRPr="00BC57A2" w:rsidRDefault="0023585A" w:rsidP="009805F2">
      <w:pPr>
        <w:pStyle w:val="Prrafodelista"/>
        <w:autoSpaceDE w:val="0"/>
        <w:autoSpaceDN w:val="0"/>
        <w:adjustRightInd w:val="0"/>
        <w:spacing w:after="0" w:line="240" w:lineRule="auto"/>
        <w:ind w:left="0"/>
        <w:jc w:val="both"/>
        <w:rPr>
          <w:rFonts w:ascii="Verdana" w:hAnsi="Verdana"/>
          <w:sz w:val="16"/>
          <w:szCs w:val="16"/>
        </w:rPr>
      </w:pPr>
      <w:r w:rsidRPr="00BC57A2">
        <w:rPr>
          <w:rStyle w:val="Refdenotaalpie"/>
          <w:rFonts w:ascii="Verdana" w:hAnsi="Verdana"/>
          <w:sz w:val="16"/>
          <w:szCs w:val="16"/>
        </w:rPr>
        <w:footnoteRef/>
      </w:r>
      <w:r w:rsidRPr="00BC57A2">
        <w:rPr>
          <w:rFonts w:ascii="Verdana" w:hAnsi="Verdana"/>
          <w:sz w:val="16"/>
          <w:szCs w:val="16"/>
        </w:rPr>
        <w:t xml:space="preserve"> </w:t>
      </w:r>
      <w:r w:rsidRPr="00BC57A2">
        <w:rPr>
          <w:rFonts w:ascii="Verdana" w:hAnsi="Verdana"/>
          <w:sz w:val="16"/>
          <w:szCs w:val="16"/>
        </w:rPr>
        <w:tab/>
        <w:t xml:space="preserve">Además, </w:t>
      </w:r>
      <w:r>
        <w:rPr>
          <w:rFonts w:ascii="Verdana" w:hAnsi="Verdana"/>
          <w:sz w:val="16"/>
          <w:szCs w:val="16"/>
        </w:rPr>
        <w:t>sostuvo</w:t>
      </w:r>
      <w:r w:rsidRPr="00BC57A2">
        <w:rPr>
          <w:rFonts w:ascii="Verdana" w:hAnsi="Verdana"/>
          <w:sz w:val="16"/>
          <w:szCs w:val="16"/>
        </w:rPr>
        <w:t xml:space="preserve"> que “[l]os derechos políticos de l[a]s [comunidades] han recibido siempre el debido cuidado” de Salta, al “facilitar los espacios para libre elección de sus autoridades, los caciques”. </w:t>
      </w:r>
    </w:p>
    <w:p w14:paraId="66CBD8A4" w14:textId="77777777" w:rsidR="0023585A" w:rsidRPr="00BC57A2" w:rsidRDefault="0023585A" w:rsidP="009805F2">
      <w:pPr>
        <w:pStyle w:val="Prrafodelista"/>
        <w:autoSpaceDE w:val="0"/>
        <w:autoSpaceDN w:val="0"/>
        <w:adjustRightInd w:val="0"/>
        <w:spacing w:after="0" w:line="240" w:lineRule="auto"/>
        <w:ind w:left="0"/>
        <w:jc w:val="both"/>
        <w:rPr>
          <w:rFonts w:ascii="Verdana" w:hAnsi="Verdana"/>
          <w:sz w:val="16"/>
          <w:szCs w:val="16"/>
        </w:rPr>
      </w:pPr>
    </w:p>
  </w:footnote>
  <w:footnote w:id="123">
    <w:p w14:paraId="3542F048"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 xml:space="preserve">“La metodología”, explicó el Estado, “consiste fundamentalmente en el diálogo entre las comunidades indígenas y las familias criollas, garantizado y coordinado por la UEP”. </w:t>
      </w:r>
    </w:p>
    <w:p w14:paraId="6408D8CA" w14:textId="77777777" w:rsidR="0023585A" w:rsidRPr="00BC57A2" w:rsidRDefault="0023585A" w:rsidP="009805F2">
      <w:pPr>
        <w:pStyle w:val="Textonotapie"/>
        <w:rPr>
          <w:sz w:val="16"/>
          <w:szCs w:val="16"/>
          <w:lang w:val="es-CR"/>
        </w:rPr>
      </w:pPr>
      <w:r w:rsidRPr="00BC57A2">
        <w:rPr>
          <w:sz w:val="16"/>
          <w:szCs w:val="16"/>
          <w:lang w:val="es-CR"/>
        </w:rPr>
        <w:t xml:space="preserve"> </w:t>
      </w:r>
    </w:p>
  </w:footnote>
  <w:footnote w:id="124">
    <w:p w14:paraId="4271A708" w14:textId="47585ECF"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 xml:space="preserve">Explicó que “la relocalización es el proceso por el cual las familias criollas que se encuentran en el territorio reclamado por las comunidades […], se trasladan hacia la zona libre de reclamo indígena, […] en la que el Estado debe garantizar […] las condiciones mínimas para el desarrollo de sus unidades de producción y de habitabilidad necesaria para hacer efectiva la reubicación. El proceso implica transformar la forma de producción ganadera de cada familia criolla, acondicionando la nueva superficie a través de inversiones en la Unidad de Producción para encerrar los animales, pasturas, alambrados, asistencia técnica y capacitación principalmente, y </w:t>
      </w:r>
      <w:r>
        <w:rPr>
          <w:sz w:val="16"/>
          <w:szCs w:val="16"/>
          <w:lang w:val="es-CR"/>
        </w:rPr>
        <w:t xml:space="preserve">[…] </w:t>
      </w:r>
      <w:r w:rsidRPr="00BC57A2">
        <w:rPr>
          <w:sz w:val="16"/>
          <w:szCs w:val="16"/>
          <w:lang w:val="es-CR"/>
        </w:rPr>
        <w:t>garantizar</w:t>
      </w:r>
      <w:r>
        <w:rPr>
          <w:sz w:val="16"/>
          <w:szCs w:val="16"/>
          <w:lang w:val="es-CR"/>
        </w:rPr>
        <w:t xml:space="preserve"> […]</w:t>
      </w:r>
      <w:r w:rsidRPr="00BC57A2">
        <w:rPr>
          <w:sz w:val="16"/>
          <w:szCs w:val="16"/>
          <w:lang w:val="es-CR"/>
        </w:rPr>
        <w:t xml:space="preserve"> a su vez, el acceso al agua para consumo animal y consumo humano. La descripción por etapas de proceso no da cuenta de los traumas que se generan a pobladores criollos, tal como lo describen en sus declaraciones testimoniales y que se vinculan a las incertidumbres de padres sobre la educación de sus hijos, las implicancias de re-comenzar una vida en la etapa final de la misma para la población de adultos mayores y por supuesto, la supervivencia de los animales al estrés de la reubicación en tierras que no necesariamente reúne las condiciones ambientales adecuadas”. </w:t>
      </w:r>
    </w:p>
    <w:p w14:paraId="1D21BC18" w14:textId="77777777" w:rsidR="0023585A" w:rsidRPr="00BC57A2" w:rsidRDefault="0023585A" w:rsidP="009805F2">
      <w:pPr>
        <w:pStyle w:val="Textonotapie"/>
        <w:rPr>
          <w:sz w:val="16"/>
          <w:szCs w:val="16"/>
          <w:lang w:val="es-CR"/>
        </w:rPr>
      </w:pPr>
    </w:p>
  </w:footnote>
  <w:footnote w:id="125">
    <w:p w14:paraId="3239A48F"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 xml:space="preserve">El Estado destacó que hay “en la actualidad miradas diferentes sobre el título de propiedad, dado que algunas [comunidades] solicitan el título único e indivisible, [y] otras quisieran que se diera un título de propiedad comunitaria por comunidad a efectos de evitar conflictos futuros”. </w:t>
      </w:r>
    </w:p>
    <w:p w14:paraId="686AD27F" w14:textId="77777777" w:rsidR="0023585A" w:rsidRPr="00BC57A2" w:rsidRDefault="0023585A" w:rsidP="009805F2">
      <w:pPr>
        <w:pStyle w:val="Textonotapie"/>
        <w:rPr>
          <w:sz w:val="16"/>
          <w:szCs w:val="16"/>
          <w:lang w:val="es-CR"/>
        </w:rPr>
      </w:pPr>
    </w:p>
  </w:footnote>
  <w:footnote w:id="126">
    <w:p w14:paraId="651A3617" w14:textId="77777777" w:rsidR="0023585A" w:rsidRPr="00BC57A2" w:rsidRDefault="0023585A" w:rsidP="009805F2">
      <w:pPr>
        <w:pStyle w:val="Textonotapie"/>
        <w:rPr>
          <w:rStyle w:val="Textoennegrita"/>
          <w:b w:val="0"/>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iCs/>
          <w:sz w:val="16"/>
          <w:szCs w:val="16"/>
          <w:lang w:val="es-CR"/>
        </w:rPr>
        <w:t xml:space="preserve">Caso Comunidad Indígena Yakye Axa </w:t>
      </w:r>
      <w:r w:rsidRPr="00BC57A2">
        <w:rPr>
          <w:rFonts w:eastAsia="Times New Roman" w:cs="Times New Roman"/>
          <w:i/>
          <w:iCs/>
          <w:color w:val="000000"/>
          <w:sz w:val="16"/>
          <w:szCs w:val="16"/>
          <w:lang w:val="es-ES_tradnl"/>
        </w:rPr>
        <w:t>Vs. Paraguay</w:t>
      </w:r>
      <w:r w:rsidRPr="00BC57A2">
        <w:rPr>
          <w:rFonts w:eastAsia="Times New Roman" w:cs="Times New Roman"/>
          <w:color w:val="000000"/>
          <w:sz w:val="16"/>
          <w:szCs w:val="16"/>
          <w:lang w:val="es-ES_tradnl"/>
        </w:rPr>
        <w:t>,</w:t>
      </w:r>
      <w:r w:rsidRPr="00BC57A2">
        <w:rPr>
          <w:sz w:val="16"/>
          <w:szCs w:val="16"/>
          <w:lang w:val="es-CR"/>
        </w:rPr>
        <w:t xml:space="preserve"> párr. 143, y </w:t>
      </w:r>
      <w:r w:rsidRPr="00BC57A2">
        <w:rPr>
          <w:rStyle w:val="Textoennegrita"/>
          <w:b w:val="0"/>
          <w:i/>
          <w:sz w:val="16"/>
          <w:szCs w:val="16"/>
          <w:lang w:val="es-CR"/>
        </w:rPr>
        <w:t>Caso Pueblos Kaliña y Lokono Vs. Surinam</w:t>
      </w:r>
      <w:r w:rsidRPr="00BC57A2">
        <w:rPr>
          <w:rStyle w:val="Textoennegrita"/>
          <w:b w:val="0"/>
          <w:sz w:val="16"/>
          <w:szCs w:val="16"/>
          <w:lang w:val="es-CR"/>
        </w:rPr>
        <w:t>, párr. 133.</w:t>
      </w:r>
    </w:p>
    <w:p w14:paraId="3999F609" w14:textId="77777777" w:rsidR="0023585A" w:rsidRPr="00BC57A2" w:rsidRDefault="0023585A" w:rsidP="009805F2">
      <w:pPr>
        <w:pStyle w:val="Textonotapie"/>
        <w:rPr>
          <w:sz w:val="16"/>
          <w:szCs w:val="16"/>
          <w:lang w:val="es-CR"/>
        </w:rPr>
      </w:pPr>
    </w:p>
  </w:footnote>
  <w:footnote w:id="127">
    <w:p w14:paraId="62807D67"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color w:val="000000"/>
          <w:sz w:val="16"/>
          <w:szCs w:val="16"/>
          <w:lang w:val="es-CR"/>
        </w:rPr>
        <w:t xml:space="preserve">En ese sentido, la Corte ha dicho </w:t>
      </w:r>
      <w:r w:rsidRPr="00BC57A2">
        <w:rPr>
          <w:sz w:val="16"/>
          <w:szCs w:val="16"/>
          <w:lang w:val="es-CR"/>
        </w:rPr>
        <w:t>que: “1) la posesión tradicional de los indígenas sobre sus tierras tiene efectos equivalentes al título de pleno dominio que otorga el Estado; 2) la posesión tradicional otorga a los indígenas el derecho a exigir el reconocimiento oficial de propiedad y su registro” (</w:t>
      </w:r>
      <w:r w:rsidRPr="00BC57A2">
        <w:rPr>
          <w:i/>
          <w:sz w:val="16"/>
          <w:szCs w:val="16"/>
          <w:lang w:val="es-CR"/>
        </w:rPr>
        <w:t>Caso Comunidad Indígena Sawhoyamaxa Vs. Paraguay</w:t>
      </w:r>
      <w:r w:rsidRPr="00BC57A2">
        <w:rPr>
          <w:sz w:val="16"/>
          <w:szCs w:val="16"/>
          <w:lang w:val="es-CR"/>
        </w:rPr>
        <w:t>, párr. 128).</w:t>
      </w:r>
    </w:p>
    <w:p w14:paraId="7657B2DA" w14:textId="77777777" w:rsidR="0023585A" w:rsidRPr="00BC57A2" w:rsidRDefault="0023585A" w:rsidP="009805F2">
      <w:pPr>
        <w:pStyle w:val="Textonotapie"/>
        <w:rPr>
          <w:color w:val="000000"/>
          <w:sz w:val="16"/>
          <w:szCs w:val="16"/>
          <w:lang w:val="es-CR"/>
        </w:rPr>
      </w:pPr>
    </w:p>
  </w:footnote>
  <w:footnote w:id="128">
    <w:p w14:paraId="1D755E9E" w14:textId="77777777" w:rsidR="0023585A" w:rsidRPr="00BC57A2" w:rsidRDefault="0023585A" w:rsidP="009805F2">
      <w:pPr>
        <w:pStyle w:val="Textonotapie"/>
        <w:rPr>
          <w:rStyle w:val="Textoennegrita"/>
          <w:b w:val="0"/>
          <w:color w:val="000000"/>
          <w:sz w:val="16"/>
          <w:szCs w:val="16"/>
          <w:shd w:val="clear" w:color="auto" w:fill="FFFFFF"/>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rFonts w:cs="Arial"/>
          <w:i/>
          <w:color w:val="000000"/>
          <w:sz w:val="16"/>
          <w:szCs w:val="16"/>
          <w:lang w:val="es-ES"/>
        </w:rPr>
        <w:t>Cfr.</w:t>
      </w:r>
      <w:r w:rsidRPr="00BC57A2">
        <w:rPr>
          <w:rFonts w:cs="Arial"/>
          <w:color w:val="000000"/>
          <w:sz w:val="16"/>
          <w:szCs w:val="16"/>
          <w:lang w:val="es-ES"/>
        </w:rPr>
        <w:t xml:space="preserve"> </w:t>
      </w:r>
      <w:r w:rsidRPr="00BC57A2">
        <w:rPr>
          <w:rFonts w:cs="Arial"/>
          <w:bCs/>
          <w:i/>
          <w:color w:val="000000"/>
          <w:sz w:val="16"/>
          <w:szCs w:val="16"/>
          <w:lang w:val="es-ES"/>
        </w:rPr>
        <w:t>Caso de la Comunidad Mayagna (Sumo) Awas Tingni Vs. Nicaragua</w:t>
      </w:r>
      <w:r w:rsidRPr="00BC57A2">
        <w:rPr>
          <w:rFonts w:eastAsia="Times New Roman" w:cs="Times New Roman"/>
          <w:color w:val="000000"/>
          <w:sz w:val="16"/>
          <w:szCs w:val="16"/>
          <w:lang w:val="es-CR"/>
        </w:rPr>
        <w:t xml:space="preserve">, </w:t>
      </w:r>
      <w:r w:rsidRPr="00BC57A2">
        <w:rPr>
          <w:rFonts w:cs="Arial"/>
          <w:color w:val="000000"/>
          <w:sz w:val="16"/>
          <w:szCs w:val="16"/>
          <w:lang w:val="es-ES"/>
        </w:rPr>
        <w:t xml:space="preserve">párr. 138, </w:t>
      </w:r>
      <w:r w:rsidRPr="00BC57A2">
        <w:rPr>
          <w:sz w:val="16"/>
          <w:szCs w:val="16"/>
          <w:lang w:val="es-CR"/>
        </w:rPr>
        <w:t xml:space="preserve">y </w:t>
      </w:r>
      <w:r w:rsidRPr="00BC57A2">
        <w:rPr>
          <w:rStyle w:val="Textoennegrita"/>
          <w:b w:val="0"/>
          <w:i/>
          <w:color w:val="000000"/>
          <w:sz w:val="16"/>
          <w:szCs w:val="16"/>
          <w:shd w:val="clear" w:color="auto" w:fill="FFFFFF"/>
          <w:lang w:val="es-CR"/>
        </w:rPr>
        <w:t>Caso Pueblo Indígena Xucuru y sus miembros Vs. Brasil</w:t>
      </w:r>
      <w:r w:rsidRPr="00BC57A2">
        <w:rPr>
          <w:rStyle w:val="Textoennegrita"/>
          <w:b w:val="0"/>
          <w:color w:val="000000"/>
          <w:sz w:val="16"/>
          <w:szCs w:val="16"/>
          <w:shd w:val="clear" w:color="auto" w:fill="FFFFFF"/>
          <w:lang w:val="es-CR"/>
        </w:rPr>
        <w:t>, párr. 130.</w:t>
      </w:r>
    </w:p>
    <w:p w14:paraId="3ABB8BF8" w14:textId="77777777" w:rsidR="0023585A" w:rsidRPr="00BC57A2" w:rsidRDefault="0023585A" w:rsidP="009805F2">
      <w:pPr>
        <w:pStyle w:val="Textonotapie"/>
        <w:rPr>
          <w:sz w:val="16"/>
          <w:szCs w:val="16"/>
          <w:lang w:val="es-CR"/>
        </w:rPr>
      </w:pPr>
    </w:p>
  </w:footnote>
  <w:footnote w:id="129">
    <w:p w14:paraId="47F58841" w14:textId="77777777" w:rsidR="0023585A" w:rsidRPr="00BC57A2" w:rsidRDefault="0023585A" w:rsidP="009805F2">
      <w:pPr>
        <w:pStyle w:val="Prrafodelista"/>
        <w:autoSpaceDE w:val="0"/>
        <w:autoSpaceDN w:val="0"/>
        <w:adjustRightInd w:val="0"/>
        <w:spacing w:after="0" w:line="240" w:lineRule="auto"/>
        <w:ind w:left="0"/>
        <w:jc w:val="both"/>
        <w:rPr>
          <w:rFonts w:ascii="Verdana" w:hAnsi="Verdana"/>
          <w:sz w:val="16"/>
          <w:szCs w:val="16"/>
        </w:rPr>
      </w:pPr>
      <w:r w:rsidRPr="00BC57A2">
        <w:rPr>
          <w:rStyle w:val="Refdenotaalpie"/>
          <w:rFonts w:ascii="Verdana" w:hAnsi="Verdana"/>
          <w:sz w:val="16"/>
          <w:szCs w:val="16"/>
        </w:rPr>
        <w:footnoteRef/>
      </w:r>
      <w:r w:rsidRPr="00BC57A2">
        <w:rPr>
          <w:rFonts w:ascii="Verdana" w:hAnsi="Verdana"/>
          <w:sz w:val="16"/>
          <w:szCs w:val="16"/>
        </w:rPr>
        <w:t xml:space="preserve"> </w:t>
      </w:r>
      <w:r w:rsidRPr="00BC57A2">
        <w:rPr>
          <w:rFonts w:ascii="Verdana" w:hAnsi="Verdana"/>
          <w:sz w:val="16"/>
          <w:szCs w:val="16"/>
        </w:rPr>
        <w:tab/>
        <w:t>“En relación con el artículo 2 de la Convención Americana, el Tribunal ha indicado que el mismo obliga a los Estados Parte a adoptar, con arreglo a sus procedimientos constitucionales y a las disposiciones de la Convención, las medidas legislativas o de otro carácter que fueren necesarias para hacer efectivos los derechos y libertades protegidos por la Convención. Es decir, ‘[e]l deber general [derivado de este artículo] implica la adopción de medidas en dos vertientes. Por una parte, la supresión de las normas y prácticas de cualquier naturaleza que entrañen violación a las garantías previstas en la Convención. Por la otra, la expedición de normas y el desarrollo de prácticas conducentes a la efectiva observancia de dichas garantías’” (</w:t>
      </w:r>
      <w:r w:rsidRPr="00BC57A2">
        <w:rPr>
          <w:rFonts w:ascii="Verdana" w:hAnsi="Verdana"/>
          <w:i/>
          <w:sz w:val="16"/>
          <w:szCs w:val="16"/>
        </w:rPr>
        <w:t>Caso Comunidad Garífuna de Punta Piedra y sus miembros Vs. Honduras</w:t>
      </w:r>
      <w:r w:rsidRPr="00BC57A2">
        <w:rPr>
          <w:rFonts w:ascii="Verdana" w:hAnsi="Verdana"/>
          <w:sz w:val="16"/>
          <w:szCs w:val="16"/>
        </w:rPr>
        <w:t xml:space="preserve">, párr. 206. Allí se cita: </w:t>
      </w:r>
      <w:r w:rsidRPr="00BC57A2">
        <w:rPr>
          <w:rFonts w:ascii="Verdana" w:hAnsi="Verdana"/>
          <w:i/>
          <w:sz w:val="16"/>
          <w:szCs w:val="16"/>
        </w:rPr>
        <w:t>Caso Genie Lacayo Vs. Nicaragua. Fondo, Reparaciones y Costas.</w:t>
      </w:r>
      <w:r w:rsidRPr="00BC57A2">
        <w:rPr>
          <w:rFonts w:ascii="Verdana" w:hAnsi="Verdana"/>
          <w:sz w:val="16"/>
          <w:szCs w:val="16"/>
        </w:rPr>
        <w:t xml:space="preserve"> Sentencia de 29 de enero de 1997. Serie C No. 30, párr. 51; Caso </w:t>
      </w:r>
      <w:r w:rsidRPr="00BC57A2">
        <w:rPr>
          <w:rFonts w:ascii="Verdana" w:hAnsi="Verdana"/>
          <w:i/>
          <w:sz w:val="16"/>
          <w:szCs w:val="16"/>
        </w:rPr>
        <w:t>Castillo Petruzzi y otros Vs. Perú. Fondo, Reparaciones y Costas.</w:t>
      </w:r>
      <w:r w:rsidRPr="00BC57A2">
        <w:rPr>
          <w:rFonts w:ascii="Verdana" w:hAnsi="Verdana"/>
          <w:sz w:val="16"/>
          <w:szCs w:val="16"/>
        </w:rPr>
        <w:t xml:space="preserve"> Sentencia de 30 de mayo de 1999. Serie C No. 52, párr. 207</w:t>
      </w:r>
      <w:r w:rsidRPr="00BC57A2">
        <w:rPr>
          <w:rFonts w:ascii="Verdana" w:hAnsi="Verdana"/>
          <w:i/>
          <w:sz w:val="16"/>
          <w:szCs w:val="16"/>
        </w:rPr>
        <w:t>; Caso de los Pueblos Indígenas Kuna de Madungandí y Emberá de Bayano y sus miembros Vs. Panamá</w:t>
      </w:r>
      <w:r w:rsidRPr="00BC57A2">
        <w:rPr>
          <w:rFonts w:ascii="Verdana" w:hAnsi="Verdana"/>
          <w:sz w:val="16"/>
          <w:szCs w:val="16"/>
        </w:rPr>
        <w:t xml:space="preserve">, párr. 192, y </w:t>
      </w:r>
      <w:r w:rsidRPr="00BC57A2">
        <w:rPr>
          <w:rFonts w:ascii="Verdana" w:hAnsi="Verdana"/>
          <w:i/>
          <w:sz w:val="16"/>
          <w:szCs w:val="16"/>
        </w:rPr>
        <w:t>Caso Tarazona Arrieta y Otros Vs. Perú. Excepción Preliminar, Fondo, Reparaciones y Costas.</w:t>
      </w:r>
      <w:r w:rsidRPr="00BC57A2">
        <w:rPr>
          <w:rFonts w:ascii="Verdana" w:hAnsi="Verdana"/>
          <w:sz w:val="16"/>
          <w:szCs w:val="16"/>
        </w:rPr>
        <w:t xml:space="preserve"> Sentencia de 15 de octubre de 2014. Serie C No. 286, párr. 153). </w:t>
      </w:r>
    </w:p>
    <w:p w14:paraId="3178F351" w14:textId="77777777" w:rsidR="0023585A" w:rsidRPr="00BC57A2" w:rsidRDefault="0023585A" w:rsidP="009805F2">
      <w:pPr>
        <w:pStyle w:val="Prrafodelista"/>
        <w:autoSpaceDE w:val="0"/>
        <w:autoSpaceDN w:val="0"/>
        <w:adjustRightInd w:val="0"/>
        <w:spacing w:after="0" w:line="240" w:lineRule="auto"/>
        <w:ind w:left="0"/>
        <w:jc w:val="both"/>
        <w:rPr>
          <w:rFonts w:ascii="Verdana" w:hAnsi="Verdana"/>
          <w:sz w:val="16"/>
          <w:szCs w:val="16"/>
        </w:rPr>
      </w:pPr>
    </w:p>
  </w:footnote>
  <w:footnote w:id="130">
    <w:p w14:paraId="081B2BC4" w14:textId="77777777" w:rsidR="0023585A" w:rsidRPr="00BC57A2" w:rsidRDefault="0023585A" w:rsidP="009805F2">
      <w:pPr>
        <w:pStyle w:val="Textonotapie"/>
        <w:tabs>
          <w:tab w:val="left" w:pos="0"/>
          <w:tab w:val="left" w:pos="360"/>
          <w:tab w:val="left" w:pos="720"/>
        </w:tabs>
        <w:rPr>
          <w:sz w:val="16"/>
          <w:szCs w:val="16"/>
          <w:lang w:val="es-CR"/>
        </w:rPr>
      </w:pPr>
      <w:r w:rsidRPr="00BC57A2">
        <w:rPr>
          <w:rStyle w:val="Refdenotaalpie"/>
          <w:rFonts w:cs="Arial"/>
          <w:sz w:val="16"/>
          <w:szCs w:val="16"/>
        </w:rPr>
        <w:footnoteRef/>
      </w:r>
      <w:r w:rsidRPr="00BC57A2">
        <w:rPr>
          <w:rFonts w:cs="Arial"/>
          <w:sz w:val="16"/>
          <w:szCs w:val="16"/>
          <w:lang w:val="es-ES"/>
        </w:rPr>
        <w:t xml:space="preserve"> </w:t>
      </w:r>
      <w:r w:rsidRPr="00BC57A2">
        <w:rPr>
          <w:rFonts w:cs="Arial"/>
          <w:sz w:val="16"/>
          <w:szCs w:val="16"/>
          <w:lang w:val="es-ES"/>
        </w:rPr>
        <w:tab/>
      </w:r>
      <w:r w:rsidRPr="00BC57A2">
        <w:rPr>
          <w:rFonts w:cs="Arial"/>
          <w:sz w:val="16"/>
          <w:szCs w:val="16"/>
          <w:lang w:val="es-ES"/>
        </w:rPr>
        <w:tab/>
      </w:r>
      <w:r w:rsidRPr="00BC57A2">
        <w:rPr>
          <w:rFonts w:cs="Arial"/>
          <w:i/>
          <w:color w:val="000000"/>
          <w:sz w:val="16"/>
          <w:szCs w:val="16"/>
          <w:lang w:val="es-ES"/>
        </w:rPr>
        <w:t>Cfr.</w:t>
      </w:r>
      <w:r w:rsidRPr="00BC57A2">
        <w:rPr>
          <w:rFonts w:cs="Arial"/>
          <w:color w:val="000000"/>
          <w:sz w:val="16"/>
          <w:szCs w:val="16"/>
          <w:lang w:val="es-ES"/>
        </w:rPr>
        <w:t xml:space="preserve"> </w:t>
      </w:r>
      <w:r w:rsidRPr="00BC57A2">
        <w:rPr>
          <w:i/>
          <w:sz w:val="16"/>
          <w:szCs w:val="16"/>
          <w:lang w:val="es-CR"/>
        </w:rPr>
        <w:t>Caso Godínez Cruz Vs. Honduras. Excepciones Preliminares</w:t>
      </w:r>
      <w:r w:rsidRPr="00BC57A2">
        <w:rPr>
          <w:sz w:val="16"/>
          <w:szCs w:val="16"/>
          <w:lang w:val="es-CR"/>
        </w:rPr>
        <w:t xml:space="preserve">. Sentencia de 26 de junio de 1987. Serie C No. 3, párr. 92, y </w:t>
      </w:r>
      <w:r w:rsidRPr="00BC57A2">
        <w:rPr>
          <w:rStyle w:val="Textoennegrita"/>
          <w:b w:val="0"/>
          <w:i/>
          <w:color w:val="000000"/>
          <w:sz w:val="16"/>
          <w:szCs w:val="16"/>
          <w:shd w:val="clear" w:color="auto" w:fill="FFFFFF"/>
          <w:lang w:val="es-CR"/>
        </w:rPr>
        <w:t>Caso Pueblo Indígena Xucuru y sus miembros Vs. Brasil</w:t>
      </w:r>
      <w:r w:rsidRPr="00BC57A2">
        <w:rPr>
          <w:sz w:val="16"/>
          <w:szCs w:val="16"/>
          <w:lang w:val="es-CR"/>
        </w:rPr>
        <w:t xml:space="preserve">, párrs. 130 y 132. </w:t>
      </w:r>
    </w:p>
    <w:p w14:paraId="156AC0AB" w14:textId="77777777" w:rsidR="0023585A" w:rsidRPr="00BC57A2" w:rsidRDefault="0023585A" w:rsidP="009805F2">
      <w:pPr>
        <w:pStyle w:val="Textonotapie"/>
        <w:tabs>
          <w:tab w:val="left" w:pos="0"/>
          <w:tab w:val="left" w:pos="360"/>
          <w:tab w:val="left" w:pos="720"/>
        </w:tabs>
        <w:rPr>
          <w:rFonts w:cs="Arial"/>
          <w:sz w:val="16"/>
          <w:szCs w:val="16"/>
          <w:lang w:val="es-ES"/>
        </w:rPr>
      </w:pPr>
    </w:p>
  </w:footnote>
  <w:footnote w:id="131">
    <w:p w14:paraId="3B6E1805"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A efectos de evaluar lo referido, debe considerarse que el control efectivo del territorio, sin interferencias, en determinadas circunstancias, puede implicar una labor compleja. Esto, atendiendo a factores tales como la dimensión del territorio, sus características geográficas, la cantidad de terceros presentes en él, su perfil o características, entre otros (</w:t>
      </w:r>
      <w:r w:rsidRPr="00BC57A2">
        <w:rPr>
          <w:i/>
          <w:sz w:val="16"/>
          <w:szCs w:val="16"/>
          <w:lang w:val="es-CR"/>
        </w:rPr>
        <w:t>cfr</w:t>
      </w:r>
      <w:r w:rsidRPr="00BC57A2">
        <w:rPr>
          <w:sz w:val="16"/>
          <w:szCs w:val="16"/>
          <w:lang w:val="es-CR"/>
        </w:rPr>
        <w:t xml:space="preserve">. </w:t>
      </w:r>
      <w:r w:rsidRPr="00BC57A2">
        <w:rPr>
          <w:i/>
          <w:iCs/>
          <w:sz w:val="16"/>
          <w:szCs w:val="16"/>
          <w:lang w:val="es-CR"/>
        </w:rPr>
        <w:t xml:space="preserve">Caso Comunidad Indígena Yakye Axa </w:t>
      </w:r>
      <w:r w:rsidRPr="00BC57A2">
        <w:rPr>
          <w:rFonts w:eastAsia="Times New Roman" w:cs="Times New Roman"/>
          <w:i/>
          <w:iCs/>
          <w:color w:val="000000"/>
          <w:sz w:val="16"/>
          <w:szCs w:val="16"/>
          <w:lang w:val="es-ES_tradnl"/>
        </w:rPr>
        <w:t>Vs. Paraguay</w:t>
      </w:r>
      <w:r w:rsidRPr="00BC57A2">
        <w:rPr>
          <w:rFonts w:eastAsia="Times New Roman" w:cs="Times New Roman"/>
          <w:color w:val="000000"/>
          <w:sz w:val="16"/>
          <w:szCs w:val="16"/>
          <w:lang w:val="es-ES_tradnl"/>
        </w:rPr>
        <w:t>,</w:t>
      </w:r>
      <w:r w:rsidRPr="00BC57A2">
        <w:rPr>
          <w:sz w:val="16"/>
          <w:szCs w:val="16"/>
          <w:lang w:val="es-CR"/>
        </w:rPr>
        <w:t xml:space="preserve"> párr. 85. En ese sentido, </w:t>
      </w:r>
      <w:r w:rsidRPr="00BC57A2">
        <w:rPr>
          <w:rStyle w:val="Textoennegrita"/>
          <w:b w:val="0"/>
          <w:i/>
          <w:color w:val="000000"/>
          <w:sz w:val="16"/>
          <w:szCs w:val="16"/>
          <w:shd w:val="clear" w:color="auto" w:fill="FFFFFF"/>
          <w:lang w:val="es-CR"/>
        </w:rPr>
        <w:t>Caso Pueblo Indígena Xucuru y sus miembros Vs. Brasil</w:t>
      </w:r>
      <w:r w:rsidRPr="00BC57A2">
        <w:rPr>
          <w:sz w:val="16"/>
          <w:szCs w:val="16"/>
          <w:lang w:val="es-CR"/>
        </w:rPr>
        <w:t>, párr. 139).</w:t>
      </w:r>
    </w:p>
    <w:p w14:paraId="099C3EA1" w14:textId="77777777" w:rsidR="0023585A" w:rsidRPr="00BC57A2" w:rsidRDefault="0023585A" w:rsidP="009805F2">
      <w:pPr>
        <w:pStyle w:val="Textonotapie"/>
        <w:rPr>
          <w:sz w:val="16"/>
          <w:szCs w:val="16"/>
          <w:lang w:val="es-CR"/>
        </w:rPr>
      </w:pPr>
    </w:p>
  </w:footnote>
  <w:footnote w:id="132">
    <w:p w14:paraId="4A1B4C8D" w14:textId="4CBF8AF9"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En ese sentido, la Corte ha señalado que el artículo 2 de la Convención manda no solo la “expedición de normas”, sino también “el desarrollo de prácticas conducentes a la efectiva observancia” de los las “garantías” convencionales (</w:t>
      </w:r>
      <w:r w:rsidRPr="00BC57A2">
        <w:rPr>
          <w:i/>
          <w:sz w:val="16"/>
          <w:szCs w:val="16"/>
          <w:lang w:val="es-CR"/>
        </w:rPr>
        <w:t>Cfr. Caso Cantoral Benavides Vs. Perú. Excepciones Preliminares</w:t>
      </w:r>
      <w:r w:rsidRPr="00BC57A2">
        <w:rPr>
          <w:sz w:val="16"/>
          <w:szCs w:val="16"/>
          <w:lang w:val="es-CR"/>
        </w:rPr>
        <w:t xml:space="preserve">. Sentencia de 3 de septiembre de 1998. Serie C No. 40, párr. 178, y </w:t>
      </w:r>
      <w:r w:rsidRPr="00BC57A2">
        <w:rPr>
          <w:i/>
          <w:sz w:val="16"/>
          <w:szCs w:val="16"/>
          <w:lang w:val="es-CR"/>
        </w:rPr>
        <w:t>Caso Ramírez Escobar y otros Vs. Guatemala. Fondo, Reparaciones y Costas</w:t>
      </w:r>
      <w:r w:rsidRPr="00BC57A2">
        <w:rPr>
          <w:sz w:val="16"/>
          <w:szCs w:val="16"/>
          <w:lang w:val="es-CR"/>
        </w:rPr>
        <w:t xml:space="preserve">. Sentencia de 9 de marzo de 2018. Serie C No. 351, párr. 243). La actuación estatal para concretar lo ordenado en su propia normativa interna, cuando esto refiere a la </w:t>
      </w:r>
      <w:r>
        <w:rPr>
          <w:sz w:val="16"/>
          <w:szCs w:val="16"/>
          <w:lang w:val="es-CR"/>
        </w:rPr>
        <w:t xml:space="preserve">adecuada </w:t>
      </w:r>
      <w:r w:rsidRPr="00BC57A2">
        <w:rPr>
          <w:sz w:val="16"/>
          <w:szCs w:val="16"/>
          <w:lang w:val="es-CR"/>
        </w:rPr>
        <w:t xml:space="preserve">observancia de un derecho convencional, es una “práctica” en el sentido expresado. La noción de “práctica”, o de medidas de carácter distinto a las medidas legislativas, en los términos del artículo 2 de la Convención, no se asimilan al mero acto de aplicación directa o puntual de una disposición normativa  </w:t>
      </w:r>
    </w:p>
    <w:p w14:paraId="1454A18E" w14:textId="77777777" w:rsidR="0023585A" w:rsidRPr="00BC57A2" w:rsidRDefault="0023585A" w:rsidP="009805F2">
      <w:pPr>
        <w:pStyle w:val="Textonotapie"/>
        <w:rPr>
          <w:sz w:val="16"/>
          <w:szCs w:val="16"/>
          <w:lang w:val="es-CR"/>
        </w:rPr>
      </w:pPr>
      <w:r w:rsidRPr="00BC57A2">
        <w:rPr>
          <w:sz w:val="16"/>
          <w:szCs w:val="16"/>
          <w:lang w:val="es-CR"/>
        </w:rPr>
        <w:t xml:space="preserve"> </w:t>
      </w:r>
    </w:p>
  </w:footnote>
  <w:footnote w:id="133">
    <w:p w14:paraId="0DC68062" w14:textId="77777777" w:rsidR="0023585A" w:rsidRPr="00BC57A2" w:rsidRDefault="0023585A" w:rsidP="009805F2">
      <w:pPr>
        <w:pStyle w:val="Prrafodelista"/>
        <w:autoSpaceDE w:val="0"/>
        <w:autoSpaceDN w:val="0"/>
        <w:adjustRightInd w:val="0"/>
        <w:spacing w:after="0" w:line="240" w:lineRule="auto"/>
        <w:ind w:left="0"/>
        <w:jc w:val="both"/>
        <w:rPr>
          <w:rFonts w:ascii="Verdana" w:hAnsi="Verdana"/>
          <w:sz w:val="16"/>
          <w:szCs w:val="16"/>
        </w:rPr>
      </w:pPr>
      <w:r w:rsidRPr="00BC57A2">
        <w:rPr>
          <w:rStyle w:val="Refdenotaalpie"/>
          <w:rFonts w:ascii="Verdana" w:hAnsi="Verdana"/>
          <w:sz w:val="16"/>
          <w:szCs w:val="16"/>
        </w:rPr>
        <w:footnoteRef/>
      </w:r>
      <w:r w:rsidRPr="00BC57A2">
        <w:rPr>
          <w:rFonts w:ascii="Verdana" w:hAnsi="Verdana"/>
          <w:sz w:val="16"/>
          <w:szCs w:val="16"/>
          <w:lang w:val="es-CR"/>
        </w:rPr>
        <w:t xml:space="preserve"> </w:t>
      </w:r>
      <w:r w:rsidRPr="00BC57A2">
        <w:rPr>
          <w:rFonts w:ascii="Verdana" w:hAnsi="Verdana"/>
          <w:sz w:val="16"/>
          <w:szCs w:val="16"/>
          <w:lang w:val="es-CR"/>
        </w:rPr>
        <w:tab/>
      </w:r>
      <w:r w:rsidRPr="00BC57A2">
        <w:rPr>
          <w:rFonts w:ascii="Verdana" w:hAnsi="Verdana"/>
          <w:sz w:val="16"/>
          <w:szCs w:val="16"/>
        </w:rPr>
        <w:t xml:space="preserve">A su vez, se ha indicado la interferencia al goce de la propiedad no solo por la presencia criolla, sino también por la actividad ganadera, la instalación de alambrados y la tala ilegal, cuestiones que se examinan más adelante, en el capítulo VII.2 de esta sentencia. </w:t>
      </w:r>
    </w:p>
    <w:p w14:paraId="1337E122" w14:textId="77777777" w:rsidR="0023585A" w:rsidRPr="00BC57A2" w:rsidRDefault="0023585A" w:rsidP="009805F2">
      <w:pPr>
        <w:pStyle w:val="Prrafodelista"/>
        <w:autoSpaceDE w:val="0"/>
        <w:autoSpaceDN w:val="0"/>
        <w:adjustRightInd w:val="0"/>
        <w:spacing w:after="0" w:line="240" w:lineRule="auto"/>
        <w:ind w:left="0"/>
        <w:jc w:val="both"/>
        <w:rPr>
          <w:rFonts w:ascii="Verdana" w:hAnsi="Verdana"/>
          <w:sz w:val="16"/>
          <w:szCs w:val="16"/>
        </w:rPr>
      </w:pPr>
    </w:p>
  </w:footnote>
  <w:footnote w:id="134">
    <w:p w14:paraId="61C48B4C" w14:textId="77777777" w:rsidR="0023585A" w:rsidRPr="00BC57A2" w:rsidRDefault="0023585A" w:rsidP="009805F2">
      <w:pPr>
        <w:pStyle w:val="Prrafodelista"/>
        <w:autoSpaceDE w:val="0"/>
        <w:autoSpaceDN w:val="0"/>
        <w:adjustRightInd w:val="0"/>
        <w:spacing w:after="0" w:line="240" w:lineRule="auto"/>
        <w:ind w:left="0"/>
        <w:jc w:val="both"/>
        <w:rPr>
          <w:rFonts w:ascii="Verdana" w:hAnsi="Verdana"/>
          <w:sz w:val="16"/>
          <w:szCs w:val="16"/>
          <w:lang w:val="es-ES"/>
        </w:rPr>
      </w:pPr>
      <w:r w:rsidRPr="00BC57A2">
        <w:rPr>
          <w:rStyle w:val="Refdenotaalpie"/>
          <w:rFonts w:ascii="Verdana" w:hAnsi="Verdana"/>
          <w:sz w:val="16"/>
          <w:szCs w:val="16"/>
        </w:rPr>
        <w:footnoteRef/>
      </w:r>
      <w:r w:rsidRPr="00BC57A2">
        <w:rPr>
          <w:rFonts w:ascii="Verdana" w:hAnsi="Verdana"/>
          <w:sz w:val="16"/>
          <w:szCs w:val="16"/>
          <w:lang w:val="es-CR"/>
        </w:rPr>
        <w:t xml:space="preserve"> </w:t>
      </w:r>
      <w:r w:rsidRPr="00BC57A2">
        <w:rPr>
          <w:rFonts w:ascii="Verdana" w:hAnsi="Verdana"/>
          <w:sz w:val="16"/>
          <w:szCs w:val="16"/>
          <w:lang w:val="es-CR"/>
        </w:rPr>
        <w:tab/>
      </w:r>
      <w:r w:rsidRPr="00BC57A2">
        <w:rPr>
          <w:rFonts w:ascii="Verdana" w:hAnsi="Verdana"/>
          <w:sz w:val="16"/>
          <w:szCs w:val="16"/>
        </w:rPr>
        <w:t xml:space="preserve">El reconocimiento efectivamente realizado por el Decreto 2609/91 del derecho de propiedad de las comunidades, por sí mismo, resultó insuficiente. Los actos posteriores muestran que el propio Estado lo consideró así. En efecto, los fundamentos del Decreto 18/93 señalan que el Instituto Provincial del Aborigen no había podido “concretar el objetivo perseguido”. Para lograrlo, el Decreto creó una Comisión Asesora para la “regularización” de los asentamientos poblacionales del lote 55. Luego, en abril de 1996, se firmó un Acta-Acuerdo en que la Provincia convino en </w:t>
      </w:r>
      <w:r w:rsidRPr="00BC57A2">
        <w:rPr>
          <w:rFonts w:ascii="Verdana" w:hAnsi="Verdana"/>
          <w:sz w:val="16"/>
          <w:szCs w:val="16"/>
          <w:lang w:val="es-ES"/>
        </w:rPr>
        <w:t>la creación de una Unidad Coordinadora para avanzar en la “regularización” y en septiembre de 1996 el Gobernador asumió un compromiso similar.</w:t>
      </w:r>
    </w:p>
    <w:p w14:paraId="4C20DA6B" w14:textId="77777777" w:rsidR="0023585A" w:rsidRPr="00BC57A2" w:rsidRDefault="0023585A" w:rsidP="009805F2">
      <w:pPr>
        <w:pStyle w:val="Prrafodelista"/>
        <w:autoSpaceDE w:val="0"/>
        <w:autoSpaceDN w:val="0"/>
        <w:adjustRightInd w:val="0"/>
        <w:spacing w:after="0" w:line="240" w:lineRule="auto"/>
        <w:ind w:left="0"/>
        <w:jc w:val="both"/>
        <w:rPr>
          <w:rFonts w:ascii="Verdana" w:hAnsi="Verdana"/>
          <w:sz w:val="16"/>
          <w:szCs w:val="16"/>
        </w:rPr>
      </w:pPr>
      <w:r w:rsidRPr="00BC57A2">
        <w:rPr>
          <w:rFonts w:ascii="Verdana" w:hAnsi="Verdana"/>
          <w:sz w:val="16"/>
          <w:szCs w:val="16"/>
          <w:lang w:val="es-ES"/>
        </w:rPr>
        <w:t xml:space="preserve"> </w:t>
      </w:r>
    </w:p>
  </w:footnote>
  <w:footnote w:id="135">
    <w:p w14:paraId="236825B9" w14:textId="77777777" w:rsidR="0023585A" w:rsidRPr="00BC57A2" w:rsidRDefault="0023585A" w:rsidP="009805F2">
      <w:pPr>
        <w:spacing w:after="0" w:line="240" w:lineRule="auto"/>
        <w:jc w:val="both"/>
        <w:rPr>
          <w:rFonts w:ascii="Verdana" w:hAnsi="Verdana"/>
          <w:sz w:val="16"/>
          <w:szCs w:val="16"/>
          <w:lang w:val="es-ES"/>
        </w:rPr>
      </w:pPr>
      <w:r w:rsidRPr="00BC57A2">
        <w:rPr>
          <w:rStyle w:val="Refdenotaalpie"/>
          <w:rFonts w:ascii="Verdana" w:hAnsi="Verdana"/>
          <w:sz w:val="16"/>
          <w:szCs w:val="16"/>
        </w:rPr>
        <w:footnoteRef/>
      </w:r>
      <w:r w:rsidRPr="00BC57A2">
        <w:rPr>
          <w:rFonts w:ascii="Verdana" w:hAnsi="Verdana"/>
          <w:sz w:val="16"/>
          <w:szCs w:val="16"/>
        </w:rPr>
        <w:t xml:space="preserve"> </w:t>
      </w:r>
      <w:r w:rsidRPr="00BC57A2">
        <w:rPr>
          <w:rFonts w:ascii="Verdana" w:hAnsi="Verdana"/>
          <w:sz w:val="16"/>
          <w:szCs w:val="16"/>
        </w:rPr>
        <w:tab/>
      </w:r>
      <w:r w:rsidRPr="00BC57A2">
        <w:rPr>
          <w:rFonts w:ascii="Verdana" w:hAnsi="Verdana"/>
          <w:sz w:val="16"/>
          <w:szCs w:val="16"/>
          <w:lang w:val="es-ES"/>
        </w:rPr>
        <w:t xml:space="preserve">La Comisión Interamericana señaló que en enero de 2001, el Defensor del Pueblo de la República Argentina le remitió copia de 18 comunicaciones enviadas entre 1996 y 1998 al Gobernador de Salta, al Director del INAI, al Ministro de Gobierno y al Presidente de la Republica, entre otros. </w:t>
      </w:r>
    </w:p>
    <w:p w14:paraId="6D7BDE6E" w14:textId="77777777" w:rsidR="0023585A" w:rsidRPr="00BC57A2" w:rsidRDefault="0023585A" w:rsidP="009805F2">
      <w:pPr>
        <w:spacing w:after="0" w:line="240" w:lineRule="auto"/>
        <w:jc w:val="both"/>
        <w:rPr>
          <w:rFonts w:ascii="Verdana" w:hAnsi="Verdana"/>
          <w:sz w:val="16"/>
          <w:szCs w:val="16"/>
        </w:rPr>
      </w:pPr>
    </w:p>
  </w:footnote>
  <w:footnote w:id="136">
    <w:p w14:paraId="441112F4" w14:textId="6486D27F" w:rsidR="0023585A" w:rsidRPr="00BC57A2" w:rsidRDefault="0023585A" w:rsidP="009805F2">
      <w:pPr>
        <w:pStyle w:val="Textonotapie"/>
        <w:rPr>
          <w:b/>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Pr>
          <w:sz w:val="16"/>
          <w:szCs w:val="16"/>
          <w:lang w:val="es-CR"/>
        </w:rPr>
        <w:t>Como se indicó (</w:t>
      </w:r>
      <w:r>
        <w:rPr>
          <w:i/>
          <w:sz w:val="16"/>
          <w:szCs w:val="16"/>
          <w:lang w:val="es-CR"/>
        </w:rPr>
        <w:t xml:space="preserve">supra </w:t>
      </w:r>
      <w:r w:rsidRPr="00810815">
        <w:rPr>
          <w:sz w:val="16"/>
          <w:szCs w:val="16"/>
          <w:lang w:val="es-CR"/>
        </w:rPr>
        <w:t>párr 65</w:t>
      </w:r>
      <w:r>
        <w:rPr>
          <w:i/>
          <w:sz w:val="16"/>
          <w:szCs w:val="16"/>
          <w:lang w:val="es-CR"/>
        </w:rPr>
        <w:t xml:space="preserve"> y </w:t>
      </w:r>
      <w:r>
        <w:rPr>
          <w:sz w:val="16"/>
          <w:szCs w:val="16"/>
          <w:lang w:val="es-CR"/>
        </w:rPr>
        <w:t>nota a pie de página 56), se realizaron adjudicaciones al menos a tres personas y cinco comunidades indígenas</w:t>
      </w:r>
      <w:r w:rsidRPr="00BC57A2">
        <w:rPr>
          <w:sz w:val="16"/>
          <w:szCs w:val="16"/>
          <w:lang w:val="es-CR"/>
        </w:rPr>
        <w:t>.</w:t>
      </w:r>
      <w:r w:rsidRPr="00BC57A2">
        <w:rPr>
          <w:b/>
          <w:sz w:val="16"/>
          <w:szCs w:val="16"/>
          <w:lang w:val="es-CR"/>
        </w:rPr>
        <w:t xml:space="preserve"> </w:t>
      </w:r>
    </w:p>
    <w:p w14:paraId="5E10F12E" w14:textId="77777777" w:rsidR="0023585A" w:rsidRPr="00BC57A2" w:rsidRDefault="0023585A" w:rsidP="009805F2">
      <w:pPr>
        <w:pStyle w:val="Textonotapie"/>
        <w:rPr>
          <w:sz w:val="16"/>
          <w:szCs w:val="16"/>
          <w:lang w:val="es-CR"/>
        </w:rPr>
      </w:pPr>
    </w:p>
  </w:footnote>
  <w:footnote w:id="137">
    <w:p w14:paraId="4B016A0C"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Causa “Asociación de Comunidades Aborígenes Lhaka Honhat vs. Poder Ejecutivo de la Provincia de Salta”, Sentencia de la CJS de 8 de mayo de 2007. Expediente de prueba, anexo F.6 al escrito de solicitudes y argumentos, fs. 30.875 a 30.881. En tanto el Decreto 461/99 fue dejado sin efecto, no hace falta que la Corte Interamericana se pronuncie sobre su compatibilidad con la Convención; baste con señalar que no fue un acto por el cual se concretara un reconocimiento válido de la propiedad de las comunidades indígenas sobre su territorio.</w:t>
      </w:r>
    </w:p>
    <w:p w14:paraId="104E1D43" w14:textId="77777777" w:rsidR="0023585A" w:rsidRPr="00BC57A2" w:rsidRDefault="0023585A" w:rsidP="009805F2">
      <w:pPr>
        <w:pStyle w:val="Textonotapie"/>
        <w:rPr>
          <w:sz w:val="16"/>
          <w:szCs w:val="16"/>
          <w:lang w:val="es-CR"/>
        </w:rPr>
      </w:pPr>
    </w:p>
  </w:footnote>
  <w:footnote w:id="138">
    <w:p w14:paraId="1FC55115" w14:textId="3315AEB9" w:rsidR="0023585A" w:rsidRPr="00BC57A2" w:rsidRDefault="0023585A" w:rsidP="009805F2">
      <w:pPr>
        <w:pStyle w:val="Textonotapie"/>
        <w:rPr>
          <w:sz w:val="16"/>
          <w:szCs w:val="16"/>
          <w:lang w:val="es-ES_tradnl"/>
        </w:rPr>
      </w:pPr>
      <w:r w:rsidRPr="00BC57A2">
        <w:rPr>
          <w:rStyle w:val="Refdenotaalpie"/>
          <w:sz w:val="16"/>
          <w:szCs w:val="16"/>
        </w:rPr>
        <w:footnoteRef/>
      </w:r>
      <w:r w:rsidRPr="00BC57A2">
        <w:rPr>
          <w:sz w:val="16"/>
          <w:szCs w:val="16"/>
          <w:lang w:val="es-CR"/>
        </w:rPr>
        <w:t xml:space="preserve"> </w:t>
      </w:r>
      <w:r w:rsidRPr="00BC57A2">
        <w:rPr>
          <w:sz w:val="16"/>
          <w:szCs w:val="16"/>
          <w:lang w:val="es-CR"/>
        </w:rPr>
        <w:tab/>
        <w:t>En ese marco además, como ya se dijo</w:t>
      </w:r>
      <w:r>
        <w:rPr>
          <w:sz w:val="16"/>
          <w:szCs w:val="16"/>
          <w:lang w:val="es-CR"/>
        </w:rPr>
        <w:t xml:space="preserve"> (</w:t>
      </w:r>
      <w:r>
        <w:rPr>
          <w:i/>
          <w:sz w:val="16"/>
          <w:szCs w:val="16"/>
          <w:lang w:val="es-CR"/>
        </w:rPr>
        <w:t xml:space="preserve">supra </w:t>
      </w:r>
      <w:r>
        <w:rPr>
          <w:sz w:val="16"/>
          <w:szCs w:val="16"/>
          <w:lang w:val="es-CR"/>
        </w:rPr>
        <w:t>párr. 10)</w:t>
      </w:r>
      <w:r w:rsidRPr="00BC57A2">
        <w:rPr>
          <w:sz w:val="16"/>
          <w:szCs w:val="16"/>
          <w:lang w:val="es-CR"/>
        </w:rPr>
        <w:t>, la delegación del Tribunal mantuvo una reunión con representantes de organizaciones y familias criollas. En ella, centralmente,</w:t>
      </w:r>
      <w:r w:rsidRPr="00BC57A2">
        <w:rPr>
          <w:sz w:val="16"/>
          <w:szCs w:val="16"/>
          <w:lang w:val="es-ES_tradnl"/>
        </w:rPr>
        <w:t xml:space="preserve"> representantes criollos expresaron que han participado de los procesos de acuerdos, y que el mayor problema es que no ha terminado de definirse el espacio correspondiente a cada una de las familias criollas. Mencionaron que el traslado de las personas criollas que se encuentran en tierra reclamada por comunidades indígenas está unido al compromiso de que el Estado brinde las mejoras adecuadas en los lugares que se determinen y a que se puedan definir los lugares de la mejor manera, para que todas las familias resulten beneficiadas. Consideraron también, que al Estado le falta una propuesta de trabajo “seria” en la cual brinde garantías para todas las familias que se tienen que trasladar. Destacaron la importancia del “acompañamiento” del Estado, tanto nacional como provincial, para que puedan seguir avanzando los acuerdos, así como para la readecuación o adaptación de las actividades de la población criolla, pues, conforme indicaron, el manejo del ganado deberá ser distinto en un ámbito territorial más reducido.</w:t>
      </w:r>
    </w:p>
    <w:p w14:paraId="6FC45FE1" w14:textId="77777777" w:rsidR="0023585A" w:rsidRPr="00BC57A2" w:rsidRDefault="0023585A" w:rsidP="009805F2">
      <w:pPr>
        <w:pStyle w:val="Textonotapie"/>
        <w:rPr>
          <w:sz w:val="16"/>
          <w:szCs w:val="16"/>
          <w:lang w:val="es-CR"/>
        </w:rPr>
      </w:pPr>
    </w:p>
  </w:footnote>
  <w:footnote w:id="139">
    <w:p w14:paraId="5B9F1EFE"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 xml:space="preserve">ONU. Asamblea General. Resolución A/RES/73/165, aprobada el 17 de diciembre de 2018. </w:t>
      </w:r>
      <w:r w:rsidRPr="00BC57A2">
        <w:rPr>
          <w:i/>
          <w:sz w:val="16"/>
          <w:szCs w:val="16"/>
          <w:lang w:val="es-CR"/>
        </w:rPr>
        <w:t xml:space="preserve">Declaración de las Naciones Unidas sobre los Derechos de los Campesinos y de Otras Personas que Trabajan en las Zonas Rurales. </w:t>
      </w:r>
      <w:r w:rsidRPr="00BC57A2">
        <w:rPr>
          <w:sz w:val="16"/>
          <w:szCs w:val="16"/>
          <w:lang w:val="es-CR"/>
        </w:rPr>
        <w:t>El artículo 1 define al individuo campesino como “toda persona que se dedique o pretenda dedicarse, ya sea de manera individual o en asociación con otras o como comunidad, a la producción agrícola en pequeña escala para subsistir o comerciar y que para ello recurra en gran medida, aunque no necesariamente en exclusiva, a la mano de obra de los miembros de su familia o su hogar y a otras formas no monetarias de organización del trabajo, y que tenga un vínculo especial de dependencia y apego a la tierra”. Es pertinente destacar que el texto aclara que su contenido se aplica también, entre otros, a “los pueblos indígenas y las comunidades locales que trabajan la tierra, a las comunidades trashumantes, nómadas y seminómadas”.</w:t>
      </w:r>
    </w:p>
    <w:p w14:paraId="0274D19D" w14:textId="77777777" w:rsidR="0023585A" w:rsidRPr="00BC57A2" w:rsidRDefault="0023585A" w:rsidP="009805F2">
      <w:pPr>
        <w:pStyle w:val="Textonotapie"/>
        <w:rPr>
          <w:sz w:val="16"/>
          <w:szCs w:val="16"/>
          <w:lang w:val="es-CR"/>
        </w:rPr>
      </w:pPr>
    </w:p>
  </w:footnote>
  <w:footnote w:id="140">
    <w:p w14:paraId="569A379F" w14:textId="77777777" w:rsidR="0023585A" w:rsidRPr="00BC57A2" w:rsidRDefault="0023585A" w:rsidP="009805F2">
      <w:pPr>
        <w:pStyle w:val="Textonotapie"/>
        <w:rPr>
          <w:b/>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 xml:space="preserve">Los representantes explicaron que “la definición de los límites del territorio ancestral como los traslados de familias criollas tienen en común que se definen en la medida en que hubiere acuerdos entre indígenas y criollos. En caso de existir acuerdos sobre límites o traslados, se realiza un escrito firmado por las partes y un croquis; luego se lo protocoliza mediante la intervención de la Escribanía de Gobierno de la Provincia de Salta. A partir de esa información, debería iniciarse la etapa de los trabajos de agrimensura, en la que se dan los límites precisos del acuerdo que se hubiere realizado, se plasma en un plano especial con los puntos de coordenadas correspondientes para que la Dirección General de Inmuebles de la Provincia de Salta asiente y registre la información [de] los inmuebles respectivos”. </w:t>
      </w:r>
    </w:p>
    <w:p w14:paraId="7554A275" w14:textId="77777777" w:rsidR="0023585A" w:rsidRPr="00BC57A2" w:rsidRDefault="0023585A" w:rsidP="009805F2">
      <w:pPr>
        <w:pStyle w:val="Textonotapie"/>
        <w:rPr>
          <w:sz w:val="16"/>
          <w:szCs w:val="16"/>
          <w:lang w:val="es-CR"/>
        </w:rPr>
      </w:pPr>
    </w:p>
  </w:footnote>
  <w:footnote w:id="141">
    <w:p w14:paraId="4AE94F39" w14:textId="77777777" w:rsidR="0023585A" w:rsidRPr="00BC57A2" w:rsidRDefault="0023585A" w:rsidP="009805F2">
      <w:pPr>
        <w:pStyle w:val="Prrafodelista"/>
        <w:spacing w:after="0" w:line="240" w:lineRule="auto"/>
        <w:ind w:left="0"/>
        <w:jc w:val="both"/>
        <w:rPr>
          <w:rFonts w:ascii="Verdana" w:hAnsi="Verdana"/>
          <w:sz w:val="16"/>
          <w:szCs w:val="16"/>
          <w:lang w:val="es-CR"/>
        </w:rPr>
      </w:pPr>
      <w:r w:rsidRPr="00BC57A2">
        <w:rPr>
          <w:rStyle w:val="Refdenotaalpie"/>
          <w:rFonts w:ascii="Verdana" w:hAnsi="Verdana"/>
          <w:sz w:val="16"/>
          <w:szCs w:val="16"/>
        </w:rPr>
        <w:footnoteRef/>
      </w:r>
      <w:r w:rsidRPr="00BC57A2">
        <w:rPr>
          <w:rFonts w:ascii="Verdana" w:hAnsi="Verdana"/>
          <w:sz w:val="16"/>
          <w:szCs w:val="16"/>
        </w:rPr>
        <w:t xml:space="preserve"> </w:t>
      </w:r>
      <w:r w:rsidRPr="00BC57A2">
        <w:rPr>
          <w:rFonts w:ascii="Verdana" w:hAnsi="Verdana"/>
          <w:sz w:val="16"/>
          <w:szCs w:val="16"/>
        </w:rPr>
        <w:tab/>
        <w:t xml:space="preserve">Los representantes han señalado que “hay múltiples familias criollas que han manifestado su decisión de no trasladarse ni llegar a un acuerdo”. </w:t>
      </w:r>
    </w:p>
    <w:p w14:paraId="73912D1F" w14:textId="77777777" w:rsidR="0023585A" w:rsidRPr="00BC57A2" w:rsidRDefault="0023585A" w:rsidP="009805F2">
      <w:pPr>
        <w:pStyle w:val="Prrafodelista"/>
        <w:spacing w:after="0" w:line="240" w:lineRule="auto"/>
        <w:ind w:left="0"/>
        <w:jc w:val="both"/>
        <w:rPr>
          <w:rFonts w:ascii="Verdana" w:hAnsi="Verdana"/>
          <w:sz w:val="16"/>
          <w:szCs w:val="16"/>
        </w:rPr>
      </w:pPr>
    </w:p>
  </w:footnote>
  <w:footnote w:id="142">
    <w:p w14:paraId="237D024A" w14:textId="77777777" w:rsidR="0023585A" w:rsidRPr="00BC57A2" w:rsidRDefault="0023585A" w:rsidP="009805F2">
      <w:pPr>
        <w:pStyle w:val="Textonotapie"/>
        <w:rPr>
          <w:b/>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 xml:space="preserve">La Corte comparte la aseveración de la perita Yáñez Fuenzalida: que el traslado de los criollos “constituya una obligación estatal implica que el Estado debe implementar políticas públicas para su concreción. Incumple la obligación […] el Estado que trasfiere a los particulares esta obligación […] somet[iendo] el proceso a la voluntad unilateral de las partes”. Consideraciones equivalentes fueron indicadas en el escrito de </w:t>
      </w:r>
      <w:r w:rsidRPr="00BC57A2">
        <w:rPr>
          <w:i/>
          <w:sz w:val="16"/>
          <w:szCs w:val="16"/>
          <w:lang w:val="es-CR"/>
        </w:rPr>
        <w:t xml:space="preserve">amicus curiae </w:t>
      </w:r>
      <w:r w:rsidRPr="00BC57A2">
        <w:rPr>
          <w:sz w:val="16"/>
          <w:szCs w:val="16"/>
          <w:lang w:val="es-CR"/>
        </w:rPr>
        <w:t>remitido por la Pontificia Universidad Católica del Ecuador, con base en el estudio de estándares internacionales.</w:t>
      </w:r>
      <w:r w:rsidRPr="00BC57A2">
        <w:rPr>
          <w:b/>
          <w:sz w:val="16"/>
          <w:szCs w:val="16"/>
          <w:lang w:val="es-CR"/>
        </w:rPr>
        <w:t xml:space="preserve"> </w:t>
      </w:r>
    </w:p>
    <w:p w14:paraId="0DCD8676" w14:textId="77777777" w:rsidR="0023585A" w:rsidRPr="00BC57A2" w:rsidRDefault="0023585A" w:rsidP="009805F2">
      <w:pPr>
        <w:pStyle w:val="Textonotapie"/>
        <w:rPr>
          <w:sz w:val="16"/>
          <w:szCs w:val="16"/>
          <w:lang w:val="es-CR"/>
        </w:rPr>
      </w:pPr>
    </w:p>
  </w:footnote>
  <w:footnote w:id="143">
    <w:p w14:paraId="20AC0B7A" w14:textId="6B00D936"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 xml:space="preserve">En ese sentido, el escrito de </w:t>
      </w:r>
      <w:r w:rsidRPr="00BC57A2">
        <w:rPr>
          <w:i/>
          <w:sz w:val="16"/>
          <w:szCs w:val="16"/>
          <w:lang w:val="es-CR"/>
        </w:rPr>
        <w:t>amicus curiae</w:t>
      </w:r>
      <w:r w:rsidRPr="00BC57A2">
        <w:rPr>
          <w:sz w:val="16"/>
          <w:szCs w:val="16"/>
          <w:lang w:val="es-CR"/>
        </w:rPr>
        <w:t xml:space="preserve"> presentado por DPLF y otras entidades hizo notar que la OIT ha “reconocido las complejidades y demandas de tiempo que involucra la regularización de la propiedad de la tierra, recomendando así la adopción de medidas transitorias de protección de los derechos sobre la tierra de los pueblos indígenas mientras se espera la resolución final”. Por otra parte, la Corte aclara que, como se dijo, el Decreto 1498/14 es en sí un acto que prevé acciones que todavía no se han completado y, además</w:t>
      </w:r>
      <w:r>
        <w:rPr>
          <w:sz w:val="16"/>
          <w:szCs w:val="16"/>
          <w:lang w:val="es-CR"/>
        </w:rPr>
        <w:t>,</w:t>
      </w:r>
      <w:r w:rsidRPr="00BC57A2">
        <w:rPr>
          <w:sz w:val="16"/>
          <w:szCs w:val="16"/>
          <w:lang w:val="es-CR"/>
        </w:rPr>
        <w:t xml:space="preserve"> el último de otros actos que implicaron, en el caso concreto, un reconocimiento de propiedad. Por ello, no resulta necesario un examen pormenorizado de la compatibilidad de cada uno de esos actos con la Convención, sino que basta examinar en forma unificada el proceso que se ha seguido en el caso, integrado por los actos aludidos. Este modo de examen es común a todos los aspectos de fondo tratados en esta Sentencia: la sucesión de actos a lo largo de más de 28 años se examina en forma unificada, teniendo en cuenta los resultados de la misma o la situación actual. </w:t>
      </w:r>
    </w:p>
    <w:p w14:paraId="0340FA0D" w14:textId="77777777" w:rsidR="0023585A" w:rsidRPr="00BC57A2" w:rsidRDefault="0023585A" w:rsidP="009805F2">
      <w:pPr>
        <w:pStyle w:val="Textonotapie"/>
        <w:rPr>
          <w:sz w:val="16"/>
          <w:szCs w:val="16"/>
          <w:lang w:val="es-CR"/>
        </w:rPr>
      </w:pPr>
    </w:p>
  </w:footnote>
  <w:footnote w:id="144">
    <w:p w14:paraId="6EC57712" w14:textId="7477DF1C" w:rsidR="0023585A" w:rsidRPr="00BC57A2" w:rsidRDefault="0023585A" w:rsidP="009805F2">
      <w:pPr>
        <w:pStyle w:val="Prrafodelista"/>
        <w:spacing w:after="0" w:line="240" w:lineRule="auto"/>
        <w:ind w:left="0"/>
        <w:jc w:val="both"/>
        <w:rPr>
          <w:rFonts w:ascii="Verdana" w:hAnsi="Verdana"/>
          <w:sz w:val="16"/>
          <w:szCs w:val="16"/>
          <w:lang w:val="es-CR"/>
        </w:rPr>
      </w:pPr>
      <w:r w:rsidRPr="00BC57A2">
        <w:rPr>
          <w:rStyle w:val="Refdenotaalpie"/>
          <w:rFonts w:ascii="Verdana" w:hAnsi="Verdana"/>
          <w:sz w:val="16"/>
          <w:szCs w:val="16"/>
        </w:rPr>
        <w:footnoteRef/>
      </w:r>
      <w:r w:rsidRPr="00BC57A2">
        <w:rPr>
          <w:rFonts w:ascii="Verdana" w:hAnsi="Verdana"/>
          <w:sz w:val="16"/>
          <w:szCs w:val="16"/>
        </w:rPr>
        <w:t xml:space="preserve"> </w:t>
      </w:r>
      <w:r w:rsidRPr="00BC57A2">
        <w:rPr>
          <w:rFonts w:ascii="Verdana" w:hAnsi="Verdana"/>
          <w:sz w:val="16"/>
          <w:szCs w:val="16"/>
        </w:rPr>
        <w:tab/>
        <w:t>Los representantes expresaron que a) hay 282 familias criollas que deben ser relocalizadas; b) en varios casos hay acuerdo, pero no se ha hecho el croquis ni los pasos subsiguientes; c) 192 familias criollas que se encuentran en el territorio correspondientes a comunidades indígenas no cuentan con mensura ni protocolización; d) otras 90 sí cuentan con mensuras realizadas, y e) 42 ya poseen el título correspondiente a las tierras a las que deben trasladarse. Indicaron también que solo en la zona norte de los lotes 14 y 55 ha habido algunos avances respecto a relocalizaciones, siendo nueve las familias que van a relocalizarse, de las cuales solo tres han concretado el traslado (una sólo en forma parcial, pues falta el traslado de parte del ganado).</w:t>
      </w:r>
      <w:r>
        <w:rPr>
          <w:rFonts w:ascii="Verdana" w:hAnsi="Verdana"/>
          <w:sz w:val="16"/>
          <w:szCs w:val="16"/>
        </w:rPr>
        <w:t xml:space="preserve"> </w:t>
      </w:r>
      <w:r w:rsidRPr="00BC57A2">
        <w:rPr>
          <w:rFonts w:ascii="Verdana" w:hAnsi="Verdana"/>
          <w:sz w:val="16"/>
          <w:szCs w:val="16"/>
        </w:rPr>
        <w:t>Como conclusión, notaron que menos del 1% del total de las 282 familias criollas que deben relocalizarse han completado el proceso. El Estado en su contestación de 4 de septiembre de 2018, informó lo siguiente: “Situación de las [f]amilias [c]riollas”: “a relocalizarse: 123”; “con mensuras finalizadas: 130”; “con escrituras entregadas: 42”; “con escrituras finalizadas para entregar: 57”; “con escrituras en proceso de elaboración: 31”. Por otra parte, el Estado ha reconocido que la “demarcación” no se ha concretado en su totalidad. D</w:t>
      </w:r>
      <w:r w:rsidRPr="00BC57A2">
        <w:rPr>
          <w:rFonts w:ascii="Verdana" w:hAnsi="Verdana"/>
          <w:sz w:val="16"/>
          <w:szCs w:val="16"/>
          <w:lang w:val="es-CR"/>
        </w:rPr>
        <w:t>el Decreto 1498/14 surge que para el momento de su emisión estaban pendientes acciones de “determinación” y “delimitación”. Después, en 2015</w:t>
      </w:r>
      <w:r>
        <w:rPr>
          <w:rFonts w:ascii="Verdana" w:hAnsi="Verdana"/>
          <w:sz w:val="16"/>
          <w:szCs w:val="16"/>
          <w:lang w:val="es-CR"/>
        </w:rPr>
        <w:t>,</w:t>
      </w:r>
      <w:r w:rsidRPr="00BC57A2">
        <w:rPr>
          <w:rFonts w:ascii="Verdana" w:hAnsi="Verdana"/>
          <w:sz w:val="16"/>
          <w:szCs w:val="16"/>
          <w:lang w:val="es-CR"/>
        </w:rPr>
        <w:t xml:space="preserve"> se realizaron algunas acciones de “amojonamiento”. El Estado señaló que para septiembre de 2018 (fecha de su escrito de contestación) había un grado de “[a]vance” en la “[d]emarcación de las 400.000 hectáreas [indígenas]” de “70%”. En los alegatos finales escritos, los representantes afirmaron que no se ha terminado con los trabajos de demarcación y delimitación, y el Estado señaló trabajos pendientes de “mensura” y “amojonamiento”.</w:t>
      </w:r>
    </w:p>
    <w:p w14:paraId="2875F025" w14:textId="77777777" w:rsidR="0023585A" w:rsidRPr="00BC57A2" w:rsidRDefault="0023585A" w:rsidP="009805F2">
      <w:pPr>
        <w:pStyle w:val="Prrafodelista"/>
        <w:spacing w:after="0" w:line="240" w:lineRule="auto"/>
        <w:ind w:left="0"/>
        <w:jc w:val="both"/>
        <w:rPr>
          <w:rFonts w:ascii="Verdana" w:hAnsi="Verdana"/>
          <w:sz w:val="16"/>
          <w:szCs w:val="16"/>
        </w:rPr>
      </w:pPr>
    </w:p>
  </w:footnote>
  <w:footnote w:id="145">
    <w:p w14:paraId="4F8A768F" w14:textId="4D4E7AAA" w:rsidR="0023585A" w:rsidRPr="00BC57A2" w:rsidRDefault="0023585A" w:rsidP="009805F2">
      <w:pPr>
        <w:pStyle w:val="Textonotapie"/>
        <w:rPr>
          <w:sz w:val="16"/>
          <w:szCs w:val="16"/>
          <w:lang w:val="es-ES"/>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 xml:space="preserve">Caso de la Comunidad Mayagna (Sumo) </w:t>
      </w:r>
      <w:r w:rsidRPr="00BC57A2">
        <w:rPr>
          <w:i/>
          <w:sz w:val="16"/>
          <w:szCs w:val="16"/>
          <w:lang w:val="es-ES"/>
        </w:rPr>
        <w:t>Awas Tingni Vs. Nicaragua,</w:t>
      </w:r>
      <w:r w:rsidRPr="00BC57A2">
        <w:rPr>
          <w:sz w:val="16"/>
          <w:szCs w:val="16"/>
          <w:lang w:val="es-ES"/>
        </w:rPr>
        <w:t xml:space="preserve"> párr. 149; </w:t>
      </w:r>
      <w:r w:rsidRPr="00BC57A2">
        <w:rPr>
          <w:i/>
          <w:iCs/>
          <w:sz w:val="16"/>
          <w:szCs w:val="16"/>
          <w:lang w:val="es-CR"/>
        </w:rPr>
        <w:t>Caso Pueblo Indígena Kichwa de Sarayaku Vs. Ecuador</w:t>
      </w:r>
      <w:r w:rsidRPr="00BC57A2">
        <w:rPr>
          <w:sz w:val="16"/>
          <w:szCs w:val="16"/>
          <w:lang w:val="es-CR"/>
        </w:rPr>
        <w:t>, párrs. 145 y 231</w:t>
      </w:r>
      <w:r>
        <w:rPr>
          <w:rFonts w:cs="Arial"/>
          <w:color w:val="545454"/>
          <w:sz w:val="16"/>
          <w:szCs w:val="16"/>
          <w:shd w:val="clear" w:color="auto" w:fill="FFFFFF"/>
          <w:lang w:val="es-ES"/>
        </w:rPr>
        <w:t>,</w:t>
      </w:r>
      <w:r w:rsidRPr="00BC57A2">
        <w:rPr>
          <w:sz w:val="16"/>
          <w:szCs w:val="16"/>
          <w:lang w:val="es-CR"/>
        </w:rPr>
        <w:t xml:space="preserve"> y </w:t>
      </w:r>
      <w:r w:rsidRPr="00BC57A2">
        <w:rPr>
          <w:i/>
          <w:sz w:val="16"/>
          <w:szCs w:val="16"/>
          <w:lang w:val="es-CR"/>
        </w:rPr>
        <w:t>Titularidad de derechos de las personas jurídicas en el Sistema Interamericano de Derechos Humanos (Interpretación y alcance del artículo 1.2, en relación con los artículos 1.1, 8, 11.2, 13, 16, 21, 24, 25, 29, 30, 44, 46, y 62.3 de la Convención Americana sobre Derechos Humanos, así como del artículo 8.1 A y B del Protocolo de San Salvador). Opinión Consultiva OC-22/16</w:t>
      </w:r>
      <w:r w:rsidRPr="00BC57A2">
        <w:rPr>
          <w:sz w:val="16"/>
          <w:szCs w:val="16"/>
          <w:lang w:val="es-CR"/>
        </w:rPr>
        <w:t>, párr. 75</w:t>
      </w:r>
      <w:r w:rsidRPr="00BC57A2">
        <w:rPr>
          <w:sz w:val="16"/>
          <w:szCs w:val="16"/>
          <w:lang w:val="es-ES"/>
        </w:rPr>
        <w:t xml:space="preserve">. </w:t>
      </w:r>
    </w:p>
    <w:p w14:paraId="0DF331DB" w14:textId="77777777" w:rsidR="0023585A" w:rsidRPr="00BC57A2" w:rsidRDefault="0023585A" w:rsidP="009805F2">
      <w:pPr>
        <w:pStyle w:val="Textonotapie"/>
        <w:rPr>
          <w:sz w:val="16"/>
          <w:szCs w:val="16"/>
          <w:lang w:val="es-CR"/>
        </w:rPr>
      </w:pPr>
    </w:p>
  </w:footnote>
  <w:footnote w:id="146">
    <w:p w14:paraId="45CC533C"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Caso del Pueblo Saramaka Vs. Surinam</w:t>
      </w:r>
      <w:r w:rsidRPr="00BC57A2">
        <w:rPr>
          <w:sz w:val="16"/>
          <w:szCs w:val="16"/>
          <w:lang w:val="es-CR"/>
        </w:rPr>
        <w:t xml:space="preserve">, párr. 93, y </w:t>
      </w:r>
      <w:r w:rsidRPr="00BC57A2">
        <w:rPr>
          <w:i/>
          <w:sz w:val="16"/>
          <w:szCs w:val="16"/>
          <w:lang w:val="es-CR"/>
        </w:rPr>
        <w:t>Caso Pueblos Kaliña y Lokono Vs. Surinam</w:t>
      </w:r>
      <w:r w:rsidRPr="00BC57A2">
        <w:rPr>
          <w:sz w:val="16"/>
          <w:szCs w:val="16"/>
          <w:lang w:val="es-CR"/>
        </w:rPr>
        <w:t xml:space="preserve">, párr. 122. </w:t>
      </w:r>
    </w:p>
    <w:p w14:paraId="4AA1F2DF" w14:textId="77777777" w:rsidR="0023585A" w:rsidRPr="00BC57A2" w:rsidRDefault="0023585A" w:rsidP="009805F2">
      <w:pPr>
        <w:pStyle w:val="Textonotapie"/>
        <w:rPr>
          <w:sz w:val="16"/>
          <w:szCs w:val="16"/>
          <w:lang w:val="es-CR"/>
        </w:rPr>
      </w:pPr>
    </w:p>
  </w:footnote>
  <w:footnote w:id="147">
    <w:p w14:paraId="41EF3931" w14:textId="77777777" w:rsidR="0023585A" w:rsidRPr="00BC57A2" w:rsidRDefault="0023585A" w:rsidP="009805F2">
      <w:pPr>
        <w:pStyle w:val="Textonotapie"/>
        <w:rPr>
          <w:sz w:val="16"/>
          <w:szCs w:val="16"/>
          <w:lang w:val="es-CR"/>
        </w:rPr>
      </w:pPr>
      <w:r w:rsidRPr="00BC57A2">
        <w:rPr>
          <w:rStyle w:val="Refdenotaalpie"/>
          <w:i/>
          <w:sz w:val="16"/>
          <w:szCs w:val="16"/>
        </w:rPr>
        <w:footnoteRef/>
      </w:r>
      <w:r w:rsidRPr="00BC57A2">
        <w:rPr>
          <w:i/>
          <w:sz w:val="16"/>
          <w:szCs w:val="16"/>
          <w:lang w:val="es-CR"/>
        </w:rPr>
        <w:t xml:space="preserve"> </w:t>
      </w:r>
      <w:r w:rsidRPr="00BC57A2">
        <w:rPr>
          <w:i/>
          <w:sz w:val="16"/>
          <w:szCs w:val="16"/>
          <w:lang w:val="es-CR"/>
        </w:rPr>
        <w:tab/>
        <w:t>Caso del Pueblo Saramaka Vs. Surinam</w:t>
      </w:r>
      <w:r w:rsidRPr="00BC57A2">
        <w:rPr>
          <w:sz w:val="16"/>
          <w:szCs w:val="16"/>
          <w:lang w:val="es-CR"/>
        </w:rPr>
        <w:t xml:space="preserve">, párr. 172, y </w:t>
      </w:r>
      <w:r w:rsidRPr="00BC57A2">
        <w:rPr>
          <w:i/>
          <w:sz w:val="16"/>
          <w:szCs w:val="16"/>
          <w:lang w:val="es-CR"/>
        </w:rPr>
        <w:t>Caso Pueblos Kaliña y Lokono Vs. Surinam</w:t>
      </w:r>
      <w:r w:rsidRPr="00BC57A2">
        <w:rPr>
          <w:sz w:val="16"/>
          <w:szCs w:val="16"/>
          <w:lang w:val="es-CR"/>
        </w:rPr>
        <w:t xml:space="preserve">, párr. 107. </w:t>
      </w:r>
    </w:p>
    <w:p w14:paraId="1171E106" w14:textId="77777777" w:rsidR="0023585A" w:rsidRPr="00BC57A2" w:rsidRDefault="0023585A" w:rsidP="009805F2">
      <w:pPr>
        <w:pStyle w:val="Textonotapie"/>
        <w:rPr>
          <w:sz w:val="16"/>
          <w:szCs w:val="16"/>
          <w:lang w:val="es-CR"/>
        </w:rPr>
      </w:pPr>
    </w:p>
  </w:footnote>
  <w:footnote w:id="148">
    <w:p w14:paraId="58D25CF3" w14:textId="35BBC2F5"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Resulta ilustrativo</w:t>
      </w:r>
      <w:r>
        <w:rPr>
          <w:sz w:val="16"/>
          <w:szCs w:val="16"/>
          <w:lang w:val="es-CR"/>
        </w:rPr>
        <w:t>,</w:t>
      </w:r>
      <w:r w:rsidRPr="00BC57A2">
        <w:rPr>
          <w:sz w:val="16"/>
          <w:szCs w:val="16"/>
          <w:lang w:val="es-CR"/>
        </w:rPr>
        <w:t xml:space="preserve"> sobre lo dicho</w:t>
      </w:r>
      <w:r>
        <w:rPr>
          <w:sz w:val="16"/>
          <w:szCs w:val="16"/>
          <w:lang w:val="es-CR"/>
        </w:rPr>
        <w:t>,</w:t>
      </w:r>
      <w:r w:rsidRPr="00BC57A2">
        <w:rPr>
          <w:sz w:val="16"/>
          <w:szCs w:val="16"/>
          <w:lang w:val="es-CR"/>
        </w:rPr>
        <w:t xml:space="preserve"> recordar apreciaciones hechas por la Corte respecto a circunstancias del caso </w:t>
      </w:r>
      <w:r>
        <w:rPr>
          <w:sz w:val="16"/>
          <w:szCs w:val="16"/>
          <w:lang w:val="es-CR"/>
        </w:rPr>
        <w:t xml:space="preserve">del </w:t>
      </w:r>
      <w:r w:rsidRPr="00DE5855">
        <w:rPr>
          <w:i/>
          <w:sz w:val="16"/>
          <w:szCs w:val="16"/>
          <w:lang w:val="es-CR"/>
        </w:rPr>
        <w:t xml:space="preserve">Pueblo </w:t>
      </w:r>
      <w:r w:rsidRPr="00BC57A2">
        <w:rPr>
          <w:i/>
          <w:sz w:val="16"/>
          <w:szCs w:val="16"/>
          <w:lang w:val="es-CR"/>
        </w:rPr>
        <w:t>Saramaka</w:t>
      </w:r>
      <w:r>
        <w:rPr>
          <w:i/>
          <w:sz w:val="16"/>
          <w:szCs w:val="16"/>
          <w:lang w:val="es-CR"/>
        </w:rPr>
        <w:t xml:space="preserve"> Vs. Surinam</w:t>
      </w:r>
      <w:r w:rsidRPr="00BC57A2">
        <w:rPr>
          <w:sz w:val="16"/>
          <w:szCs w:val="16"/>
          <w:lang w:val="es-CR"/>
        </w:rPr>
        <w:t>: “el reconocimiento del derecho a la personalidad jurídica del pueblo Saramaka como un conjunto ayudaría a evitar […] situaciones [de conflicto], ya que los representantes verdaderos de la personalidad jurídica serían elegidos conforme a sus propias tradiciones y autoridades locales, y las decisiones que afecten la propiedad sería la responsabilidad de aquellas autoridades y no la de los miembros individuales”. En ese caso, el Estado involucrado había “objetado si los doce capitanes de los doce clanes (lös) Saramaka verdaderamente representa[ban] la voluntad de la comunidad en su conjunto […]. El Estado, además, alegó que el verdadero representante de la comunidad debería ser [uno] y no otros”. La Corte entendió que “[e]sta controversia sobre quién realmente representa[ba] al pueblo Saramaka e[ra] una consecuencia natural de la falta de reconocimiento de su personalidad jurídica” (</w:t>
      </w:r>
      <w:r w:rsidRPr="00BC57A2">
        <w:rPr>
          <w:i/>
          <w:sz w:val="16"/>
          <w:szCs w:val="16"/>
          <w:lang w:val="es-CR"/>
        </w:rPr>
        <w:t>Caso del Pueblo Saramaka Vs. Surinam</w:t>
      </w:r>
      <w:r w:rsidRPr="00BC57A2">
        <w:rPr>
          <w:sz w:val="16"/>
          <w:szCs w:val="16"/>
          <w:lang w:val="es-CR"/>
        </w:rPr>
        <w:t>, párrs. 169 y 170).</w:t>
      </w:r>
    </w:p>
    <w:p w14:paraId="1944B1D8" w14:textId="77777777" w:rsidR="0023585A" w:rsidRPr="00BC57A2" w:rsidRDefault="0023585A" w:rsidP="009805F2">
      <w:pPr>
        <w:pStyle w:val="Textonotapie"/>
        <w:rPr>
          <w:sz w:val="16"/>
          <w:szCs w:val="16"/>
          <w:lang w:val="es-CR"/>
        </w:rPr>
      </w:pPr>
    </w:p>
  </w:footnote>
  <w:footnote w:id="149">
    <w:p w14:paraId="7B675D98"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Consta, como cuestión de hecho, que la Asociación Civil Lhaka Honhat solicitó, en 2017, a las autoridades de Salta, su reconocimiento como organización indígena y que esa solicitud no fue resuelta (</w:t>
      </w:r>
      <w:r w:rsidRPr="00BC57A2">
        <w:rPr>
          <w:i/>
          <w:sz w:val="16"/>
          <w:szCs w:val="16"/>
          <w:lang w:val="es-CR"/>
        </w:rPr>
        <w:t>supra</w:t>
      </w:r>
      <w:r w:rsidRPr="00BC57A2">
        <w:rPr>
          <w:sz w:val="16"/>
          <w:szCs w:val="16"/>
          <w:lang w:val="es-CR"/>
        </w:rPr>
        <w:t xml:space="preserve"> párr. 88). En atención a lo que se ha determinado, la Corte entiende que no es pertinente examinar esta circunstancia en relación con los derechos a la personalidad jurídica o a la libertad de asociación. Tampoco corresponde examinarla en relación con otros derechos cuya vulneración fue alegada. Al respecto, es preciso dejar sentado, en particular, que los representantes, en su escrito de solicitudes y argumentos, no presentaron argumentos que vincularan la cuestión de hecho referida con los derechos a las garantías judiciales o a la protección judicial. </w:t>
      </w:r>
    </w:p>
    <w:p w14:paraId="477E7DEA" w14:textId="77777777" w:rsidR="0023585A" w:rsidRPr="00BC57A2" w:rsidRDefault="0023585A" w:rsidP="009805F2">
      <w:pPr>
        <w:pStyle w:val="Textonotapie"/>
        <w:rPr>
          <w:sz w:val="16"/>
          <w:szCs w:val="16"/>
          <w:lang w:val="es-CR"/>
        </w:rPr>
      </w:pPr>
    </w:p>
  </w:footnote>
  <w:footnote w:id="150">
    <w:p w14:paraId="5AB150D9" w14:textId="7F85A8EC"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 xml:space="preserve">La Corte nota que la redacción del artículo 15 de la Constitución de Salta </w:t>
      </w:r>
      <w:r>
        <w:rPr>
          <w:sz w:val="16"/>
          <w:szCs w:val="16"/>
          <w:lang w:val="es-CR"/>
        </w:rPr>
        <w:t>(</w:t>
      </w:r>
      <w:r>
        <w:rPr>
          <w:i/>
          <w:sz w:val="16"/>
          <w:szCs w:val="16"/>
          <w:lang w:val="es-CR"/>
        </w:rPr>
        <w:t xml:space="preserve">supra </w:t>
      </w:r>
      <w:r>
        <w:rPr>
          <w:sz w:val="16"/>
          <w:szCs w:val="16"/>
          <w:lang w:val="es-CR"/>
        </w:rPr>
        <w:t xml:space="preserve">párr. 55) </w:t>
      </w:r>
      <w:r w:rsidRPr="00BC57A2">
        <w:rPr>
          <w:sz w:val="16"/>
          <w:szCs w:val="16"/>
          <w:lang w:val="es-CR"/>
        </w:rPr>
        <w:t>parece limitar el reconocimiento del derecho de propiedad comunitaria indígena solo a tierras “fiscales”, pero no examinará tal presunta limitación en forma puntual, por no ser relevante en el caso.</w:t>
      </w:r>
    </w:p>
    <w:p w14:paraId="5F7782AD" w14:textId="77777777" w:rsidR="0023585A" w:rsidRPr="00BC57A2" w:rsidRDefault="0023585A" w:rsidP="009805F2">
      <w:pPr>
        <w:pStyle w:val="Textonotapie"/>
        <w:rPr>
          <w:sz w:val="16"/>
          <w:szCs w:val="16"/>
          <w:lang w:val="es-CR"/>
        </w:rPr>
      </w:pPr>
    </w:p>
  </w:footnote>
  <w:footnote w:id="151">
    <w:p w14:paraId="06DD0BA1" w14:textId="5028B1FB" w:rsidR="0023585A" w:rsidRPr="00BC57A2" w:rsidRDefault="0023585A" w:rsidP="009805F2">
      <w:pPr>
        <w:pStyle w:val="Textonotapie"/>
        <w:rPr>
          <w:sz w:val="16"/>
          <w:szCs w:val="16"/>
          <w:lang w:val="es-A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 xml:space="preserve">La </w:t>
      </w:r>
      <w:r w:rsidRPr="00BC57A2">
        <w:rPr>
          <w:rFonts w:cs="Segoe UI"/>
          <w:color w:val="201F1E"/>
          <w:sz w:val="16"/>
          <w:szCs w:val="16"/>
          <w:bdr w:val="none" w:sz="0" w:space="0" w:color="auto" w:frame="1"/>
          <w:lang w:val="es-CR"/>
        </w:rPr>
        <w:t xml:space="preserve">CSJN ha indicado que "el texto constitucional [nacional] no ofrece dudas en cuanto claramente habilita a los estados provinciales a ejercer atribuciones concurrentes con la Nación vinculadas al reconocimiento de la personería jurídica de las comunidades indígenas y su pertinente inscripción registral". La CSJN explicó que </w:t>
      </w:r>
      <w:r w:rsidRPr="00BC57A2">
        <w:rPr>
          <w:sz w:val="16"/>
          <w:szCs w:val="16"/>
          <w:lang w:val="es-CR"/>
        </w:rPr>
        <w:t>“tanto la Nación como las provincias tienen la competencia suficiente de reglamentación en materia de derechos de los pueblos originarios en sus respectivas jurisdicciones, siempre que ello no implique por parte de los estados provinciales una contradicción o disminución de los estándares establecidos en el orden normativo federal. […] Por consiguiente, la normativa federal, esto es, la Constitución Nacional, los tratados internacionales de derechos humanos con jerarquía constitucional (de conformidad con el art. 75, inc. 22, CN), los tratados internacionales en los que la Nación es parte y las leyes y reglamentos federales son un ‘piso mínimo’ que rige en todo el territorio argentino” (</w:t>
      </w:r>
      <w:r w:rsidRPr="00BC57A2">
        <w:rPr>
          <w:rFonts w:cs="Segoe UI"/>
          <w:i/>
          <w:color w:val="201F1E"/>
          <w:sz w:val="16"/>
          <w:szCs w:val="16"/>
          <w:bdr w:val="none" w:sz="0" w:space="0" w:color="auto" w:frame="1"/>
          <w:lang w:val="es-CR"/>
        </w:rPr>
        <w:t>Confederación Indígena del Neuquén c. Provincia del Neuquén s/acción de inconstitucionalidad</w:t>
      </w:r>
      <w:r w:rsidRPr="00BC57A2">
        <w:rPr>
          <w:rFonts w:cs="Segoe UI"/>
          <w:color w:val="201F1E"/>
          <w:sz w:val="16"/>
          <w:szCs w:val="16"/>
          <w:bdr w:val="none" w:sz="0" w:space="0" w:color="auto" w:frame="1"/>
          <w:lang w:val="es-CR"/>
        </w:rPr>
        <w:t xml:space="preserve">, Sentencia de 10 de diciembre de 2013. Expediente de prueba, prueba incorporada de oficio). </w:t>
      </w:r>
      <w:r w:rsidRPr="00BC57A2">
        <w:rPr>
          <w:sz w:val="16"/>
          <w:szCs w:val="16"/>
          <w:lang w:val="es-CR"/>
        </w:rPr>
        <w:t>Lo anterior fue afirmado también por la CJS (</w:t>
      </w:r>
      <w:r w:rsidRPr="00BC57A2">
        <w:rPr>
          <w:i/>
          <w:sz w:val="16"/>
          <w:szCs w:val="16"/>
          <w:lang w:val="es-CR"/>
        </w:rPr>
        <w:t>cfr.</w:t>
      </w:r>
      <w:r w:rsidRPr="00BC57A2">
        <w:rPr>
          <w:sz w:val="16"/>
          <w:szCs w:val="16"/>
          <w:lang w:val="es-CR"/>
        </w:rPr>
        <w:t xml:space="preserve"> </w:t>
      </w:r>
      <w:r w:rsidRPr="00BC57A2">
        <w:rPr>
          <w:i/>
          <w:sz w:val="16"/>
          <w:szCs w:val="16"/>
          <w:lang w:val="es-CR"/>
        </w:rPr>
        <w:t>Comunidad Aborigen de Aguas Blancas vs. Provincia de Salta – Amparo</w:t>
      </w:r>
      <w:r w:rsidRPr="00BC57A2">
        <w:rPr>
          <w:sz w:val="16"/>
          <w:szCs w:val="16"/>
          <w:lang w:val="es-CR"/>
        </w:rPr>
        <w:t xml:space="preserve">. Sentencia de 19 de septiembre de 2016. </w:t>
      </w:r>
      <w:r w:rsidRPr="00BC57A2">
        <w:rPr>
          <w:rFonts w:cs="Courier New"/>
          <w:sz w:val="16"/>
          <w:szCs w:val="16"/>
          <w:lang w:val="es-CR"/>
        </w:rPr>
        <w:t>Expte. N° CJS 37.010/14.</w:t>
      </w:r>
      <w:r w:rsidRPr="00BC57A2">
        <w:rPr>
          <w:sz w:val="16"/>
          <w:szCs w:val="16"/>
          <w:lang w:val="es-CR"/>
        </w:rPr>
        <w:t>Tomo 207:289/306. Expediente de prueba, prueba incorporada de oficio).</w:t>
      </w:r>
      <w:r>
        <w:rPr>
          <w:sz w:val="16"/>
          <w:szCs w:val="16"/>
          <w:lang w:val="es-CR"/>
        </w:rPr>
        <w:t xml:space="preserve"> </w:t>
      </w:r>
      <w:r w:rsidRPr="00BC57A2">
        <w:rPr>
          <w:rFonts w:cs="Segoe UI"/>
          <w:color w:val="201F1E"/>
          <w:sz w:val="16"/>
          <w:szCs w:val="16"/>
          <w:bdr w:val="none" w:sz="0" w:space="0" w:color="auto" w:frame="1"/>
          <w:lang w:val="es-CR"/>
        </w:rPr>
        <w:t xml:space="preserve">También el perito Solá ha indicado que las “atribuciones” señaladas por la Constitución Nacional respecto a derechos de pueblos indígenas son de ejercicio concurrente entre el Estado Nacional y los Estados provinciales. </w:t>
      </w:r>
      <w:r w:rsidRPr="00BC57A2">
        <w:rPr>
          <w:sz w:val="16"/>
          <w:szCs w:val="16"/>
          <w:lang w:val="es-CR"/>
        </w:rPr>
        <w:t xml:space="preserve">El escrito de </w:t>
      </w:r>
      <w:r w:rsidRPr="00BC57A2">
        <w:rPr>
          <w:i/>
          <w:sz w:val="16"/>
          <w:szCs w:val="16"/>
          <w:lang w:val="es-CR"/>
        </w:rPr>
        <w:t>amicus curiae</w:t>
      </w:r>
      <w:r w:rsidRPr="00BC57A2">
        <w:rPr>
          <w:sz w:val="16"/>
          <w:szCs w:val="16"/>
          <w:lang w:val="es-CR"/>
        </w:rPr>
        <w:t xml:space="preserve"> remitido por el CDH-UBA, refiriendo sentencias de la CSJN, expresa que “contar con una [n]ormativa [f]ederal que respete y se ajuste a las obligaciones internacionales [sobre] derechos de los pueblos indígenas es fundamental, ya que de ella se derivan los mínimos que deben respetar las Provincias”.</w:t>
      </w:r>
      <w:r w:rsidRPr="00BC57A2">
        <w:rPr>
          <w:b/>
          <w:sz w:val="16"/>
          <w:szCs w:val="16"/>
          <w:lang w:val="es-CR"/>
        </w:rPr>
        <w:t xml:space="preserve"> </w:t>
      </w:r>
      <w:r w:rsidRPr="00BC57A2">
        <w:rPr>
          <w:sz w:val="16"/>
          <w:szCs w:val="16"/>
          <w:lang w:val="es-AR"/>
        </w:rPr>
        <w:t xml:space="preserve">La Corte </w:t>
      </w:r>
      <w:r>
        <w:rPr>
          <w:sz w:val="16"/>
          <w:szCs w:val="16"/>
          <w:lang w:val="es-AR"/>
        </w:rPr>
        <w:t xml:space="preserve">Interamericana </w:t>
      </w:r>
      <w:r w:rsidRPr="00BC57A2">
        <w:rPr>
          <w:sz w:val="16"/>
          <w:szCs w:val="16"/>
          <w:lang w:val="es-AR"/>
        </w:rPr>
        <w:t>nota, además, que hay disposiciones nacionales que hacen alusión a la adjudicación de tierras provinciales. Asimismo, como se expresa más adelante (</w:t>
      </w:r>
      <w:r w:rsidRPr="00BC57A2">
        <w:rPr>
          <w:i/>
          <w:sz w:val="16"/>
          <w:szCs w:val="16"/>
          <w:lang w:val="es-AR"/>
        </w:rPr>
        <w:t xml:space="preserve">infra </w:t>
      </w:r>
      <w:r w:rsidRPr="00BC57A2">
        <w:rPr>
          <w:sz w:val="16"/>
          <w:szCs w:val="16"/>
          <w:lang w:val="es-AR"/>
        </w:rPr>
        <w:t>párr. 163), la ley 7.121 de Salta indica que la propiedad comunitaria debe adecuarse a “una de las distintas formas admitidas por la ley” y la Provincia ha “adherido” a ciertas normas nacionales en la materia.</w:t>
      </w:r>
    </w:p>
    <w:p w14:paraId="6913DEBA" w14:textId="77777777" w:rsidR="0023585A" w:rsidRPr="00BC57A2" w:rsidRDefault="0023585A" w:rsidP="009805F2">
      <w:pPr>
        <w:pStyle w:val="Textonotapie"/>
        <w:rPr>
          <w:sz w:val="16"/>
          <w:szCs w:val="16"/>
          <w:lang w:val="es-CR"/>
        </w:rPr>
      </w:pPr>
    </w:p>
  </w:footnote>
  <w:footnote w:id="152">
    <w:p w14:paraId="3A546B19"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Cfr.</w:t>
      </w:r>
      <w:r w:rsidRPr="00BC57A2">
        <w:rPr>
          <w:sz w:val="16"/>
          <w:szCs w:val="16"/>
          <w:lang w:val="es-CR"/>
        </w:rPr>
        <w:t xml:space="preserve"> Ley 23.302 y Decreto 155/1989, artículos 8 y 5, respectivamente. Expediente de prueba, anexo M.3 al escrito de solicitudes y argumentos, fs. 35.152 a 35.377.</w:t>
      </w:r>
    </w:p>
    <w:p w14:paraId="539D7CA4" w14:textId="77777777" w:rsidR="0023585A" w:rsidRPr="00BC57A2" w:rsidRDefault="0023585A" w:rsidP="009805F2">
      <w:pPr>
        <w:pStyle w:val="Textonotapie"/>
        <w:rPr>
          <w:sz w:val="16"/>
          <w:szCs w:val="16"/>
          <w:lang w:val="es-CR"/>
        </w:rPr>
      </w:pPr>
    </w:p>
  </w:footnote>
  <w:footnote w:id="153">
    <w:p w14:paraId="5BC38242"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Cfr</w:t>
      </w:r>
      <w:r w:rsidRPr="00BC57A2">
        <w:rPr>
          <w:sz w:val="16"/>
          <w:szCs w:val="16"/>
          <w:lang w:val="es-CR"/>
        </w:rPr>
        <w:t>. Ley 7.121, artículo 16. Expediente de prueba, anexo N.1 al escrito de solicitudes y argumentos, fs. 36.208 a 36.214.</w:t>
      </w:r>
    </w:p>
    <w:p w14:paraId="76690048" w14:textId="77777777" w:rsidR="0023585A" w:rsidRPr="00BC57A2" w:rsidRDefault="0023585A" w:rsidP="009805F2">
      <w:pPr>
        <w:pStyle w:val="Textonotapie"/>
        <w:rPr>
          <w:sz w:val="16"/>
          <w:szCs w:val="16"/>
          <w:lang w:val="es-CR"/>
        </w:rPr>
      </w:pPr>
    </w:p>
  </w:footnote>
  <w:footnote w:id="154">
    <w:p w14:paraId="353CAFFC" w14:textId="77777777" w:rsidR="0023585A" w:rsidRPr="00BC57A2" w:rsidRDefault="0023585A" w:rsidP="009805F2">
      <w:pPr>
        <w:pStyle w:val="Prrafodelista"/>
        <w:autoSpaceDE w:val="0"/>
        <w:autoSpaceDN w:val="0"/>
        <w:adjustRightInd w:val="0"/>
        <w:spacing w:after="0" w:line="240" w:lineRule="auto"/>
        <w:ind w:left="0"/>
        <w:jc w:val="both"/>
        <w:rPr>
          <w:rFonts w:ascii="Verdana" w:hAnsi="Verdana" w:cs="Liberation Serif"/>
          <w:color w:val="000000"/>
          <w:sz w:val="16"/>
          <w:szCs w:val="16"/>
        </w:rPr>
      </w:pPr>
      <w:r w:rsidRPr="00BC57A2">
        <w:rPr>
          <w:rStyle w:val="Refdenotaalpie"/>
          <w:rFonts w:ascii="Verdana" w:hAnsi="Verdana"/>
          <w:sz w:val="16"/>
          <w:szCs w:val="16"/>
        </w:rPr>
        <w:footnoteRef/>
      </w:r>
      <w:r w:rsidRPr="00BC57A2">
        <w:rPr>
          <w:rFonts w:ascii="Verdana" w:hAnsi="Verdana"/>
          <w:sz w:val="16"/>
          <w:szCs w:val="16"/>
        </w:rPr>
        <w:t xml:space="preserve"> </w:t>
      </w:r>
      <w:r w:rsidRPr="00BC57A2">
        <w:rPr>
          <w:rFonts w:ascii="Verdana" w:hAnsi="Verdana"/>
          <w:sz w:val="16"/>
          <w:szCs w:val="16"/>
        </w:rPr>
        <w:tab/>
        <w:t>En forma coadyuvante a lo anterior, este Tribunal advierte que, como surge de una decisión judicial interna de 2018, incluso después de la reforma constitucional de 1994 que reconoció expresamente derechos de pueblos indígenas (</w:t>
      </w:r>
      <w:r w:rsidRPr="00BC57A2">
        <w:rPr>
          <w:rFonts w:ascii="Verdana" w:hAnsi="Verdana"/>
          <w:i/>
          <w:sz w:val="16"/>
          <w:szCs w:val="16"/>
        </w:rPr>
        <w:t xml:space="preserve">supra </w:t>
      </w:r>
      <w:r w:rsidRPr="00BC57A2">
        <w:rPr>
          <w:rFonts w:ascii="Verdana" w:hAnsi="Verdana"/>
          <w:sz w:val="16"/>
          <w:szCs w:val="16"/>
        </w:rPr>
        <w:t xml:space="preserve">párr. 54), el PEN sostuvo ante autoridades jurisdiccionales que, por sí mismas, las facultades del INAI (previstas a partir del régimen instituido por la ley 23.302 y el Decreto </w:t>
      </w:r>
      <w:r w:rsidRPr="00BC57A2">
        <w:rPr>
          <w:rFonts w:ascii="Verdana" w:hAnsi="Verdana"/>
          <w:sz w:val="16"/>
          <w:szCs w:val="16"/>
          <w:lang w:val="es-AR"/>
        </w:rPr>
        <w:t>155/89),</w:t>
      </w:r>
      <w:r w:rsidRPr="00BC57A2">
        <w:rPr>
          <w:rFonts w:ascii="Verdana" w:hAnsi="Verdana"/>
          <w:sz w:val="16"/>
          <w:szCs w:val="16"/>
        </w:rPr>
        <w:t xml:space="preserve"> son insuficientes para concretar el pleno reconocimiento de la propiedad indígena, y que resulta necesaria la adopción de una ley por parte del Poder Legislativo nacional. En la sentencia aludida consta que el PEN argumentó que “el INAI no cuenta con una ley especial de títulos comunitarios que reglamente un plan de adjudicación de tierras”, que hace falta una “ley especial” (que no consta que se haya dictado) para el reconocimiento del derecho de propiedad comunitaria. En ese caso, frente al reclamo de propiedad de una comunidad indígena, el PEN sostuvo que había hecho todo lo que “</w:t>
      </w:r>
      <w:r w:rsidRPr="00BC57A2">
        <w:rPr>
          <w:rFonts w:ascii="Verdana" w:hAnsi="Verdana" w:cs="Liberation Serif"/>
          <w:color w:val="000000"/>
          <w:sz w:val="16"/>
          <w:szCs w:val="16"/>
        </w:rPr>
        <w:t>por ley le corresponde, es decir, dar por cumplido el Relevamiento Técnico, Jurídico y Catastral, razón por la cual para instrumentar la posesión y propiedad comunitaria es el Congreso el encargado de dictar una ley especial a tal fin” (</w:t>
      </w:r>
      <w:r w:rsidRPr="00BC57A2">
        <w:rPr>
          <w:rFonts w:ascii="Verdana" w:hAnsi="Verdana" w:cs="Liberation Serif"/>
          <w:i/>
          <w:color w:val="000000"/>
          <w:sz w:val="16"/>
          <w:szCs w:val="16"/>
        </w:rPr>
        <w:t>cfr. Cámara Contencioso Administrativo Federal, Sala III, Comunidad Mapuche Trypayantu c/ EN – INAI s/ Proceso de conocimiento.</w:t>
      </w:r>
      <w:r w:rsidRPr="00BC57A2">
        <w:rPr>
          <w:rFonts w:ascii="Verdana" w:hAnsi="Verdana" w:cs="Liberation Serif"/>
          <w:color w:val="000000"/>
          <w:sz w:val="16"/>
          <w:szCs w:val="16"/>
        </w:rPr>
        <w:t xml:space="preserve"> Sentencia de 22 de noviembre de 2018, considerandos I y II). En forma concordante se pronunciaron la AADI y el SERPAJ en su escrito de </w:t>
      </w:r>
      <w:r w:rsidRPr="00BC57A2">
        <w:rPr>
          <w:rFonts w:ascii="Verdana" w:hAnsi="Verdana" w:cs="Liberation Serif"/>
          <w:i/>
          <w:color w:val="000000"/>
          <w:sz w:val="16"/>
          <w:szCs w:val="16"/>
        </w:rPr>
        <w:t xml:space="preserve">amicus curiae, </w:t>
      </w:r>
      <w:r w:rsidRPr="00BC57A2">
        <w:rPr>
          <w:rFonts w:ascii="Verdana" w:hAnsi="Verdana" w:cs="Liberation Serif"/>
          <w:color w:val="000000"/>
          <w:sz w:val="16"/>
          <w:szCs w:val="16"/>
        </w:rPr>
        <w:t xml:space="preserve">expresando que pese a la suspensión de desalojos ordenada por la ley 26.160, de igual forma se han producido desalojos ya que “no todos los jueces provinciales interpretan la norma de la misma manera”. </w:t>
      </w:r>
    </w:p>
    <w:p w14:paraId="74382AB0" w14:textId="77777777" w:rsidR="0023585A" w:rsidRPr="00BC57A2" w:rsidRDefault="0023585A" w:rsidP="009805F2">
      <w:pPr>
        <w:pStyle w:val="Prrafodelista"/>
        <w:autoSpaceDE w:val="0"/>
        <w:autoSpaceDN w:val="0"/>
        <w:adjustRightInd w:val="0"/>
        <w:spacing w:after="0" w:line="240" w:lineRule="auto"/>
        <w:ind w:left="0"/>
        <w:jc w:val="both"/>
        <w:rPr>
          <w:rFonts w:ascii="Verdana" w:hAnsi="Verdana"/>
          <w:sz w:val="16"/>
          <w:szCs w:val="16"/>
        </w:rPr>
      </w:pPr>
      <w:r w:rsidRPr="00BC57A2">
        <w:rPr>
          <w:rFonts w:ascii="Verdana" w:hAnsi="Verdana" w:cs="Liberation Serif"/>
          <w:color w:val="000000"/>
          <w:sz w:val="16"/>
          <w:szCs w:val="16"/>
        </w:rPr>
        <w:t xml:space="preserve"> </w:t>
      </w:r>
    </w:p>
  </w:footnote>
  <w:footnote w:id="155">
    <w:p w14:paraId="29CAA178"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 xml:space="preserve">En forma concordante, el escrito de </w:t>
      </w:r>
      <w:r w:rsidRPr="00BC57A2">
        <w:rPr>
          <w:i/>
          <w:sz w:val="16"/>
          <w:szCs w:val="16"/>
          <w:lang w:val="es-CR"/>
        </w:rPr>
        <w:t>amicus curiae</w:t>
      </w:r>
      <w:r w:rsidRPr="00BC57A2">
        <w:rPr>
          <w:sz w:val="16"/>
          <w:szCs w:val="16"/>
          <w:lang w:val="es-CR"/>
        </w:rPr>
        <w:t xml:space="preserve"> presentado por AADI y SERPAJ afirma que “no existe actualmente, tanto a nivel nacional como de la Provincia de Salta, una normativa que regule e implemente la propiedad comunitaria indígena, ni que establezca algún procedimiento, sea administrativo o judicial, a través del cual se fijen reglas claras y simples a fin de que los pueblos indígenas puedan tramitar el reconocimiento de sus territorios tradicionales, proponiendo la demarcación, titulación y registro de los mismos”. </w:t>
      </w:r>
    </w:p>
    <w:p w14:paraId="5DA13210" w14:textId="77777777" w:rsidR="0023585A" w:rsidRPr="00BC57A2" w:rsidRDefault="0023585A" w:rsidP="009805F2">
      <w:pPr>
        <w:pStyle w:val="Textonotapie"/>
        <w:rPr>
          <w:sz w:val="16"/>
          <w:szCs w:val="16"/>
          <w:lang w:val="es-CR"/>
        </w:rPr>
      </w:pPr>
    </w:p>
  </w:footnote>
  <w:footnote w:id="156">
    <w:p w14:paraId="0C0A75DE"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 xml:space="preserve">Puntualmente, la Comisión refirió que no cumplieron las obligaciones expresadas: “la construcción del puente internacional sobre el Río Pilcomayo[;…] la licitación para la construcción de la Ruta 86[;…] las obras de mejoramiento del camino provincial Santa Victoria Este – La Paz, [y] el otorgamiento de la concesión de hidrocarburos”. </w:t>
      </w:r>
    </w:p>
    <w:p w14:paraId="08588843" w14:textId="77777777" w:rsidR="0023585A" w:rsidRPr="00BC57A2" w:rsidRDefault="0023585A" w:rsidP="009805F2">
      <w:pPr>
        <w:pStyle w:val="Textonotapie"/>
        <w:rPr>
          <w:sz w:val="16"/>
          <w:szCs w:val="16"/>
          <w:lang w:val="es-CR"/>
        </w:rPr>
      </w:pPr>
    </w:p>
  </w:footnote>
  <w:footnote w:id="157">
    <w:p w14:paraId="4770382C"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 xml:space="preserve">Los representantes identificaron los siguientes “proyectos” que, según adujeron fueron “llevados a cabo” por el Estado sin cumplir los requisitos correspondientes: “(i) el puente internacional; (ii) proyección de tramos de la ruta 86; (iii) obras para la ruta provincial 54 y (iv) la explotación de hidrocarburos. </w:t>
      </w:r>
    </w:p>
    <w:p w14:paraId="3727D4EA" w14:textId="77777777" w:rsidR="0023585A" w:rsidRPr="00BC57A2" w:rsidRDefault="0023585A" w:rsidP="009805F2">
      <w:pPr>
        <w:pStyle w:val="Textonotapie"/>
        <w:rPr>
          <w:sz w:val="16"/>
          <w:szCs w:val="16"/>
          <w:lang w:val="es-CR"/>
        </w:rPr>
      </w:pPr>
    </w:p>
  </w:footnote>
  <w:footnote w:id="158">
    <w:p w14:paraId="0E1FE230"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No obstante, Argentina, al detallar su argumento, no indicó solo obras que “no se produjeron”. Así, precisó que: 1.- El Puente Internacional Misión la Paz: fue “proyectado, construido y finalizado entre los años 1995 y 1996”. 2.- Tramos de la Ruta 86: “obra sin iniciar”. 3.- Obras de la Ruta Provincial 54: fueron sobre el “trazado ya existente sin modificar el territorio de las Comunidades”, y 4.- Exploración de Hidrocarburos: “No se inició el proceso de exploración en el territorio de las comunidades”.</w:t>
      </w:r>
    </w:p>
    <w:p w14:paraId="7835025B" w14:textId="77777777" w:rsidR="0023585A" w:rsidRPr="00BC57A2" w:rsidRDefault="0023585A" w:rsidP="009805F2">
      <w:pPr>
        <w:pStyle w:val="Textonotapie"/>
        <w:rPr>
          <w:sz w:val="16"/>
          <w:szCs w:val="16"/>
          <w:lang w:val="es-CR"/>
        </w:rPr>
      </w:pPr>
    </w:p>
  </w:footnote>
  <w:footnote w:id="159">
    <w:p w14:paraId="24A862BC" w14:textId="4388D02E"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El Estado afirmó que “desde la UEP se remitió a los peticionarios, a fines del mes de agosto del año 2016</w:t>
      </w:r>
      <w:r>
        <w:rPr>
          <w:sz w:val="16"/>
          <w:szCs w:val="16"/>
          <w:lang w:val="es-CR"/>
        </w:rPr>
        <w:t>,</w:t>
      </w:r>
      <w:r w:rsidRPr="00BC57A2">
        <w:rPr>
          <w:sz w:val="16"/>
          <w:szCs w:val="16"/>
          <w:lang w:val="es-CR"/>
        </w:rPr>
        <w:t xml:space="preserve"> un proyecto de procedimiento de consulta previa, libre e informada, destinada a los ex lotes 55 y 14 para su análisis y consideración</w:t>
      </w:r>
      <w:r>
        <w:rPr>
          <w:sz w:val="16"/>
          <w:szCs w:val="16"/>
          <w:lang w:val="es-CR"/>
        </w:rPr>
        <w:t>”</w:t>
      </w:r>
      <w:r w:rsidRPr="00BC57A2">
        <w:rPr>
          <w:sz w:val="16"/>
          <w:szCs w:val="16"/>
          <w:lang w:val="es-CR"/>
        </w:rPr>
        <w:t xml:space="preserve">. </w:t>
      </w:r>
      <w:r>
        <w:rPr>
          <w:sz w:val="16"/>
          <w:szCs w:val="16"/>
          <w:lang w:val="es-CR"/>
        </w:rPr>
        <w:t>Sostuvo que “[e]</w:t>
      </w:r>
      <w:r w:rsidRPr="00BC57A2">
        <w:rPr>
          <w:sz w:val="16"/>
          <w:szCs w:val="16"/>
          <w:lang w:val="es-CR"/>
        </w:rPr>
        <w:t xml:space="preserve">l proyecto cumple con los estándares internacionales en materia de los derechos de los pueblos indígenas, a los efectos de llevar a cabo un trabajo en conjunto para la efectiva aprobación de un proceso de consulta adecuado para la zona. Esa propuesta nunca fue respondida por las presuntas víctimas” </w:t>
      </w:r>
      <w:r>
        <w:rPr>
          <w:sz w:val="16"/>
          <w:szCs w:val="16"/>
          <w:lang w:val="es-CR"/>
        </w:rPr>
        <w:t>(</w:t>
      </w:r>
      <w:r>
        <w:rPr>
          <w:i/>
          <w:sz w:val="16"/>
          <w:szCs w:val="16"/>
          <w:lang w:val="es-CR"/>
        </w:rPr>
        <w:t xml:space="preserve">cfr. </w:t>
      </w:r>
      <w:r w:rsidRPr="00BC57A2">
        <w:rPr>
          <w:sz w:val="16"/>
          <w:szCs w:val="16"/>
          <w:lang w:val="es-ES"/>
        </w:rPr>
        <w:t>expediente de prueba, anexo J.31 al escrito de solicitudes y argumentos, fs. 33.555 a 33.560</w:t>
      </w:r>
      <w:r>
        <w:rPr>
          <w:sz w:val="16"/>
          <w:szCs w:val="16"/>
          <w:lang w:val="es-ES"/>
        </w:rPr>
        <w:t>)</w:t>
      </w:r>
      <w:r w:rsidRPr="00BC57A2">
        <w:rPr>
          <w:sz w:val="16"/>
          <w:szCs w:val="16"/>
          <w:lang w:val="es-ES"/>
        </w:rPr>
        <w:t>.</w:t>
      </w:r>
    </w:p>
    <w:p w14:paraId="6AE07B92" w14:textId="77777777" w:rsidR="0023585A" w:rsidRPr="00BC57A2" w:rsidRDefault="0023585A" w:rsidP="009805F2">
      <w:pPr>
        <w:pStyle w:val="Textonotapie"/>
        <w:rPr>
          <w:sz w:val="16"/>
          <w:szCs w:val="16"/>
          <w:lang w:val="es-CR"/>
        </w:rPr>
      </w:pPr>
    </w:p>
  </w:footnote>
  <w:footnote w:id="160">
    <w:p w14:paraId="40F16F7F"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Cfr. Caso Pueblos Kaliña y Lokono Vs. Surinam</w:t>
      </w:r>
      <w:r w:rsidRPr="00BC57A2">
        <w:rPr>
          <w:sz w:val="16"/>
          <w:szCs w:val="16"/>
          <w:lang w:val="es-CR"/>
        </w:rPr>
        <w:t xml:space="preserve">, párrs. 202 y 203 y 230. </w:t>
      </w:r>
    </w:p>
    <w:p w14:paraId="094F44DD" w14:textId="77777777" w:rsidR="0023585A" w:rsidRPr="00BC57A2" w:rsidRDefault="0023585A" w:rsidP="009805F2">
      <w:pPr>
        <w:pStyle w:val="Textonotapie"/>
        <w:rPr>
          <w:sz w:val="16"/>
          <w:szCs w:val="16"/>
          <w:lang w:val="es-CR"/>
        </w:rPr>
      </w:pPr>
      <w:r w:rsidRPr="00BC57A2">
        <w:rPr>
          <w:sz w:val="16"/>
          <w:szCs w:val="16"/>
          <w:lang w:val="es-CR"/>
        </w:rPr>
        <w:t xml:space="preserve"> </w:t>
      </w:r>
    </w:p>
  </w:footnote>
  <w:footnote w:id="161">
    <w:p w14:paraId="41119113" w14:textId="1E08F10E"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La Corte ha indicado que “el derecho a recibir el pago de una indemnización conforme al artículo 21.2 de la Convención se extiende no sólo a la total privación de un título de propiedad por medio de una expropiación por parte del Estado, por ejemplo, sino que también comprende la privación del uso y goce regular de dicha propiedad” (</w:t>
      </w:r>
      <w:r w:rsidRPr="00BC57A2">
        <w:rPr>
          <w:i/>
          <w:sz w:val="16"/>
          <w:szCs w:val="16"/>
          <w:lang w:val="es-CR"/>
        </w:rPr>
        <w:t>Caso del Pueblo Saramaka Vs. Surinam</w:t>
      </w:r>
      <w:r w:rsidRPr="00BC57A2">
        <w:rPr>
          <w:sz w:val="16"/>
          <w:szCs w:val="16"/>
          <w:lang w:val="es-CR"/>
        </w:rPr>
        <w:t>, párr. 139). En ese sentido se ha expresado la perita Yáñez Fuenzalida.</w:t>
      </w:r>
    </w:p>
    <w:p w14:paraId="59F767FB" w14:textId="77777777" w:rsidR="0023585A" w:rsidRPr="00BC57A2" w:rsidRDefault="0023585A" w:rsidP="009805F2">
      <w:pPr>
        <w:pStyle w:val="Textonotapie"/>
        <w:rPr>
          <w:sz w:val="16"/>
          <w:szCs w:val="16"/>
          <w:lang w:val="es-CR"/>
        </w:rPr>
      </w:pPr>
    </w:p>
  </w:footnote>
  <w:footnote w:id="162">
    <w:p w14:paraId="035CFF79" w14:textId="617AF2B9" w:rsidR="0023585A" w:rsidRPr="00BC57A2" w:rsidRDefault="0023585A" w:rsidP="009805F2">
      <w:pPr>
        <w:spacing w:after="0" w:line="240" w:lineRule="auto"/>
        <w:jc w:val="both"/>
        <w:rPr>
          <w:rFonts w:ascii="Verdana" w:hAnsi="Verdana"/>
          <w:i/>
          <w:sz w:val="16"/>
          <w:szCs w:val="16"/>
        </w:rPr>
      </w:pPr>
      <w:r w:rsidRPr="00BC57A2">
        <w:rPr>
          <w:rStyle w:val="Refdenotaalpie"/>
          <w:rFonts w:ascii="Verdana" w:hAnsi="Verdana"/>
          <w:sz w:val="16"/>
          <w:szCs w:val="16"/>
        </w:rPr>
        <w:footnoteRef/>
      </w:r>
      <w:r w:rsidRPr="00BC57A2">
        <w:rPr>
          <w:rFonts w:ascii="Verdana" w:hAnsi="Verdana"/>
          <w:sz w:val="16"/>
          <w:szCs w:val="16"/>
        </w:rPr>
        <w:t xml:space="preserve"> </w:t>
      </w:r>
      <w:r w:rsidRPr="00BC57A2">
        <w:rPr>
          <w:rFonts w:ascii="Verdana" w:hAnsi="Verdana"/>
          <w:sz w:val="16"/>
          <w:szCs w:val="16"/>
        </w:rPr>
        <w:tab/>
        <w:t>La buena fe “exige la ausencia de cualquier tipo de coerción por parte del Estado o de agentes o terceros que actúan con su autorización o aquiescencia [, y] es incompatible con prácticas tales como los intentos de desintegración de la cohesión social de las comunidades afectadas, sea a través de la corrupción de los líderes comunales o del establecimiento de liderazgos paralelos, o por medio de negociaciones con miembros individuales de las comunidades”. Además, “se debe consultar con [dichos pueblos], de conformidad con sus propias tradiciones, en las primeras etapas del plan de desarrollo o inversión”. Es preciso que se dé “tiempo para la discusión interna dentro de las comunidades y para brindar una adecuada respuesta al Estado. El Estado, asimismo, debe asegurarse que los miembros de [los pueblos indígenas y tribales] tengan conocimiento de los posibles riesgos, inclu[yendo] los riesgos ambientales y de salubridad”. (</w:t>
      </w:r>
      <w:r w:rsidRPr="00BC57A2">
        <w:rPr>
          <w:rFonts w:ascii="Verdana" w:hAnsi="Verdana"/>
          <w:i/>
          <w:sz w:val="16"/>
          <w:szCs w:val="16"/>
          <w:lang w:val="es-CR"/>
        </w:rPr>
        <w:t>Caso del Pueblo Saramaka Vs. Surinam</w:t>
      </w:r>
      <w:r w:rsidRPr="00BC57A2">
        <w:rPr>
          <w:rFonts w:ascii="Verdana" w:hAnsi="Verdana"/>
          <w:sz w:val="16"/>
          <w:szCs w:val="16"/>
        </w:rPr>
        <w:t>,</w:t>
      </w:r>
      <w:r w:rsidRPr="00BC57A2">
        <w:rPr>
          <w:rFonts w:ascii="Verdana" w:hAnsi="Verdana"/>
          <w:i/>
          <w:sz w:val="16"/>
          <w:szCs w:val="16"/>
        </w:rPr>
        <w:t xml:space="preserve"> </w:t>
      </w:r>
      <w:r w:rsidRPr="00BC57A2">
        <w:rPr>
          <w:rFonts w:ascii="Verdana" w:hAnsi="Verdana"/>
          <w:sz w:val="16"/>
          <w:szCs w:val="16"/>
        </w:rPr>
        <w:t xml:space="preserve">párr. 133; </w:t>
      </w:r>
      <w:r w:rsidRPr="00BC57A2">
        <w:rPr>
          <w:rFonts w:ascii="Verdana" w:hAnsi="Verdana"/>
          <w:i/>
          <w:sz w:val="16"/>
          <w:szCs w:val="16"/>
        </w:rPr>
        <w:t>Caso Pueblo Indígena Kichwa de Sarayaku Vs. Ecuador</w:t>
      </w:r>
      <w:r w:rsidRPr="00BC57A2">
        <w:rPr>
          <w:rFonts w:ascii="Verdana" w:hAnsi="Verdana"/>
          <w:sz w:val="16"/>
          <w:szCs w:val="16"/>
        </w:rPr>
        <w:t xml:space="preserve">, párr. 186, y </w:t>
      </w:r>
      <w:r w:rsidRPr="00BC57A2">
        <w:rPr>
          <w:rFonts w:ascii="Verdana" w:hAnsi="Verdana"/>
          <w:i/>
          <w:sz w:val="16"/>
          <w:szCs w:val="16"/>
        </w:rPr>
        <w:t>Caso Pueblos Kaliña y Lokono Vs. Surinam</w:t>
      </w:r>
      <w:r>
        <w:rPr>
          <w:rFonts w:ascii="Verdana" w:hAnsi="Verdana"/>
          <w:sz w:val="16"/>
          <w:szCs w:val="16"/>
        </w:rPr>
        <w:t>, párr. 201.)</w:t>
      </w:r>
      <w:r w:rsidRPr="00BC57A2">
        <w:rPr>
          <w:rFonts w:ascii="Verdana" w:hAnsi="Verdana"/>
          <w:sz w:val="16"/>
          <w:szCs w:val="16"/>
        </w:rPr>
        <w:t xml:space="preserve"> En el mismo sentido la perita Yáñez Fuenzalida se refirió al carácter previo de las consultas: explicó que de acuerdo con señalamientos de la OIT, las consultas son “obligatorias antes de emprender cualquier actividad de exploración o explotación de […] recursos naturales que se encuentren en las tierras de [los] pueblos [indígenas o tribales]; o cada vez que sea necesario trasladar a las comunidades indígenas [o] tribales de sus tierras tradicionales a otro lugar; y antes de diseñar y ejecutar programas o políticas públicas dirigidas a los referidos pueblos”. El Relator Especial sobre la situación de los derechos humanos y las libertades fundamentales de los indígenas, señaló que “el propio Estado tiene la responsabilidad de realizar o garantizar que se realicen debidamente consultas, incluso cuando, en la práctica, es una empresa privada la que promueve o realiza las actividades […N]o es un deber que pueda eludirse delegándolo a una empresa privada u otra entidad”. (Consejo de Derechos Humanos. 12º período de sesiones. Informe del Relator Especial sobre la situación de los derechos humanos y las libertades fundamentales de los indígenas. 15 de julio de 2009. Doc. A/HRC/12/34, párr. 54). De modo acorde a lo expresado se manifestó FARN en su escrito de </w:t>
      </w:r>
      <w:r w:rsidRPr="00BC57A2">
        <w:rPr>
          <w:rFonts w:ascii="Verdana" w:hAnsi="Verdana"/>
          <w:i/>
          <w:sz w:val="16"/>
          <w:szCs w:val="16"/>
        </w:rPr>
        <w:t>amicus curiae.</w:t>
      </w:r>
    </w:p>
    <w:p w14:paraId="21C17F07" w14:textId="77777777" w:rsidR="0023585A" w:rsidRPr="00BC57A2" w:rsidRDefault="0023585A" w:rsidP="007C7E7C">
      <w:pPr>
        <w:spacing w:after="0" w:line="240" w:lineRule="auto"/>
        <w:jc w:val="both"/>
        <w:rPr>
          <w:rFonts w:ascii="Verdana" w:hAnsi="Verdana"/>
          <w:sz w:val="16"/>
          <w:szCs w:val="16"/>
        </w:rPr>
      </w:pPr>
      <w:r w:rsidRPr="00BC57A2">
        <w:rPr>
          <w:rFonts w:ascii="Verdana" w:hAnsi="Verdana"/>
          <w:sz w:val="16"/>
          <w:szCs w:val="16"/>
        </w:rPr>
        <w:t xml:space="preserve"> </w:t>
      </w:r>
    </w:p>
  </w:footnote>
  <w:footnote w:id="163">
    <w:p w14:paraId="1733009E" w14:textId="4299CC22" w:rsidR="0023585A" w:rsidRPr="00BC57A2" w:rsidRDefault="0023585A" w:rsidP="00903AA2">
      <w:pPr>
        <w:pStyle w:val="Footnotes"/>
        <w:spacing w:line="240" w:lineRule="auto"/>
      </w:pPr>
      <w:r w:rsidRPr="00BC57A2">
        <w:rPr>
          <w:rStyle w:val="Refdenotaalpie"/>
          <w:rFonts w:eastAsiaTheme="majorEastAsia"/>
          <w:i w:val="0"/>
          <w:szCs w:val="16"/>
        </w:rPr>
        <w:footnoteRef/>
      </w:r>
      <w:r w:rsidRPr="00BC57A2">
        <w:rPr>
          <w:i w:val="0"/>
        </w:rPr>
        <w:t xml:space="preserve"> </w:t>
      </w:r>
      <w:r w:rsidRPr="00BC57A2">
        <w:tab/>
      </w:r>
      <w:r w:rsidRPr="00BC57A2">
        <w:rPr>
          <w:lang w:val="es-CR"/>
        </w:rPr>
        <w:t>Caso del Pueblo Saramaka Vs. Surinam</w:t>
      </w:r>
      <w:r w:rsidRPr="00BC57A2">
        <w:rPr>
          <w:i w:val="0"/>
        </w:rPr>
        <w:t>, párr. 129, y</w:t>
      </w:r>
      <w:r w:rsidRPr="00BC57A2">
        <w:t xml:space="preserve"> Caso Pueblos Kaliña y Lokono Vs. Surinam</w:t>
      </w:r>
      <w:r w:rsidRPr="00BC57A2">
        <w:rPr>
          <w:i w:val="0"/>
        </w:rPr>
        <w:t>, párr. 201. El requisito de previo estudio de impacto ambiental ha sido indicado por el Convenio 169, en su art. 7.3 y también en otros instrumentos, como la Carta Mundial de la Naturaleza, aprobada en el ámbito de la ONU en 1982 (Resolución 37/7 de la Asamblea General de la ONU, de 28 de octubre de 1982, principio 11.c), o la Declaración de Río sobre Medio Ambiente y Desarrollo de 1992 (Principio 17). No debe realizarse como una mera formalidad, sino que debe posibilitar la evaluación de alternativas y la adopción de medidas de mitigación de impacto y llevarse a cabo como parte de una evaluación de impactos ambientales y sociales que debe: a) ser previa a la decisión de llevar a cabo el proyecto o a la realización de la actividad; b) elaborarse por entidades independientes, bajo supervisión estatal; c) considerar, en su caso, los impactos acumulados de otros proyectos existentes o propuestos, y d) permitir la participación de personas o comunidades interesadas o posiblemente afectadas. Esta participación a efectos de la evaluación de impacto ambiental y social resulta específica a tal fin, y no es equivalente al ejercicio del derecho de consulta libre, previa e informada de los pueblos o comunidades indígenas referida antes, que es más amplio. (</w:t>
      </w:r>
      <w:r>
        <w:rPr>
          <w:i w:val="0"/>
        </w:rPr>
        <w:t>Ver, e</w:t>
      </w:r>
      <w:r w:rsidRPr="00BC57A2">
        <w:rPr>
          <w:i w:val="0"/>
        </w:rPr>
        <w:t xml:space="preserve">n ese sentido, </w:t>
      </w:r>
      <w:r w:rsidRPr="00BC57A2">
        <w:t>Caso Pueblos Kaliña y Lokono Vs. Surinam</w:t>
      </w:r>
      <w:r w:rsidRPr="00BC57A2">
        <w:rPr>
          <w:i w:val="0"/>
        </w:rPr>
        <w:t xml:space="preserve">, párrs. 201, 207 y 215, y </w:t>
      </w:r>
      <w:r w:rsidRPr="00BC57A2">
        <w:t xml:space="preserve">Medio ambiente y derechos humanos (obligaciones estatales en relación con el medio ambiente en el marco de la protección y garantía de los derechos a la vida y a la integridad personal - interpretación y alcance de los artículos 4.1 y 5.1, en relación con los artículos 1.1 y 2 de la Convención Americana sobre Derechos Humanos). Opinión Consultiva OC-23/17 </w:t>
      </w:r>
      <w:r w:rsidRPr="00BC57A2">
        <w:rPr>
          <w:i w:val="0"/>
        </w:rPr>
        <w:t>de 15 de noviembre de 20</w:t>
      </w:r>
      <w:r>
        <w:rPr>
          <w:i w:val="0"/>
        </w:rPr>
        <w:t>17. Serie A No. 23, párr. 162. D</w:t>
      </w:r>
      <w:r w:rsidRPr="00BC57A2">
        <w:rPr>
          <w:i w:val="0"/>
        </w:rPr>
        <w:t>e forma concordante se expresó FARN en su escrito de</w:t>
      </w:r>
      <w:r>
        <w:t xml:space="preserve"> amicus curiae.)</w:t>
      </w:r>
      <w:r w:rsidRPr="00BC57A2">
        <w:t xml:space="preserve"> </w:t>
      </w:r>
    </w:p>
    <w:p w14:paraId="1AAB7568" w14:textId="77777777" w:rsidR="0023585A" w:rsidRPr="00BC57A2" w:rsidRDefault="0023585A" w:rsidP="007C7E7C">
      <w:pPr>
        <w:pStyle w:val="Footnotes"/>
        <w:spacing w:line="240" w:lineRule="auto"/>
      </w:pPr>
    </w:p>
  </w:footnote>
  <w:footnote w:id="164">
    <w:p w14:paraId="3EC3DF9D" w14:textId="77777777" w:rsidR="0023585A" w:rsidRPr="00BC57A2" w:rsidRDefault="0023585A" w:rsidP="007C7E7C">
      <w:pPr>
        <w:pStyle w:val="Footnotes"/>
        <w:spacing w:line="240" w:lineRule="auto"/>
      </w:pPr>
      <w:r w:rsidRPr="00BC57A2">
        <w:rPr>
          <w:rStyle w:val="Refdenotaalpie"/>
          <w:rFonts w:eastAsiaTheme="majorEastAsia"/>
          <w:i w:val="0"/>
          <w:szCs w:val="16"/>
        </w:rPr>
        <w:footnoteRef/>
      </w:r>
      <w:r w:rsidRPr="00BC57A2">
        <w:rPr>
          <w:i w:val="0"/>
        </w:rPr>
        <w:t xml:space="preserve"> </w:t>
      </w:r>
      <w:r w:rsidRPr="00BC57A2">
        <w:tab/>
      </w:r>
      <w:r w:rsidRPr="00BC57A2">
        <w:rPr>
          <w:lang w:val="es-CR"/>
        </w:rPr>
        <w:t>Caso del Pueblo Saramaka Vs. Surinam</w:t>
      </w:r>
      <w:r w:rsidRPr="00BC57A2">
        <w:t>, párr. 129, y Caso Pueblos Kaliña y Lokono Vs. Surinam</w:t>
      </w:r>
      <w:r w:rsidRPr="00BC57A2">
        <w:rPr>
          <w:i w:val="0"/>
        </w:rPr>
        <w:t>, párr. 201.</w:t>
      </w:r>
      <w:r w:rsidRPr="00BC57A2">
        <w:t xml:space="preserve"> </w:t>
      </w:r>
    </w:p>
    <w:p w14:paraId="7B6652CA" w14:textId="77777777" w:rsidR="0023585A" w:rsidRPr="00BC57A2" w:rsidRDefault="0023585A" w:rsidP="007C7E7C">
      <w:pPr>
        <w:pStyle w:val="Footnotes"/>
        <w:spacing w:line="240" w:lineRule="auto"/>
      </w:pPr>
    </w:p>
  </w:footnote>
  <w:footnote w:id="165">
    <w:p w14:paraId="1F82F789" w14:textId="77777777" w:rsidR="0023585A" w:rsidRPr="00BC57A2" w:rsidRDefault="0023585A" w:rsidP="007C7E7C">
      <w:pPr>
        <w:pStyle w:val="Textonotapie"/>
        <w:tabs>
          <w:tab w:val="left" w:pos="426"/>
        </w:tabs>
        <w:rPr>
          <w:sz w:val="16"/>
          <w:szCs w:val="16"/>
          <w:lang w:val="es-CR"/>
        </w:rPr>
      </w:pPr>
      <w:r w:rsidRPr="00BC57A2">
        <w:rPr>
          <w:rStyle w:val="Refdenotaalpie"/>
          <w:rFonts w:eastAsia="Times"/>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 xml:space="preserve">Cfr. Caso del Pueblo Saramaka Vs. Surinam, </w:t>
      </w:r>
      <w:r w:rsidRPr="00BC57A2">
        <w:rPr>
          <w:sz w:val="16"/>
          <w:szCs w:val="16"/>
          <w:lang w:val="es-CR"/>
        </w:rPr>
        <w:t xml:space="preserve">párr. 129, y </w:t>
      </w:r>
      <w:r w:rsidRPr="00BC57A2">
        <w:rPr>
          <w:i/>
          <w:sz w:val="16"/>
          <w:szCs w:val="16"/>
          <w:lang w:val="es-CR"/>
        </w:rPr>
        <w:t>Caso Pueblos Kaliña y Lokono Vs. Surinam</w:t>
      </w:r>
      <w:r w:rsidRPr="00BC57A2">
        <w:rPr>
          <w:sz w:val="16"/>
          <w:szCs w:val="16"/>
          <w:lang w:val="es-CR"/>
        </w:rPr>
        <w:t>, párrs. 201 y 214.</w:t>
      </w:r>
    </w:p>
    <w:p w14:paraId="7E5F08D3" w14:textId="77777777" w:rsidR="0023585A" w:rsidRPr="00BC57A2" w:rsidRDefault="0023585A" w:rsidP="009805F2">
      <w:pPr>
        <w:pStyle w:val="Textonotapie"/>
        <w:tabs>
          <w:tab w:val="left" w:pos="426"/>
        </w:tabs>
        <w:rPr>
          <w:sz w:val="16"/>
          <w:szCs w:val="16"/>
          <w:lang w:val="es-CR"/>
        </w:rPr>
      </w:pPr>
    </w:p>
  </w:footnote>
  <w:footnote w:id="166">
    <w:p w14:paraId="1EE2807D" w14:textId="2B4763B8"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 xml:space="preserve">En el marco de su exposición sobre hechos de “[c]onstrucción y ensanchamiento de rutas públicas en el área en disputa”, en el párrafo 137 del Informe de Fondo la Comisión mencionó que en julio de 2001 se había “comenzado el enripiado de un camino”. En su escrito de solicitudes y argumentos, los representantes no hicieron mención a ello en relación con la ruta nacional 86. Sobre esa ruta, no presentaron detalles sobre sus presuntos avances, sino solo que se solicitó el cese y que el avance de la obra se detuvo. La Corte considera los </w:t>
      </w:r>
      <w:r>
        <w:rPr>
          <w:sz w:val="16"/>
          <w:szCs w:val="16"/>
          <w:lang w:val="es-CR"/>
        </w:rPr>
        <w:t xml:space="preserve">indicados </w:t>
      </w:r>
      <w:r w:rsidRPr="00BC57A2">
        <w:rPr>
          <w:sz w:val="16"/>
          <w:szCs w:val="16"/>
          <w:lang w:val="es-CR"/>
        </w:rPr>
        <w:t>señalamientos de la Comisió</w:t>
      </w:r>
      <w:r>
        <w:rPr>
          <w:sz w:val="16"/>
          <w:szCs w:val="16"/>
          <w:lang w:val="es-CR"/>
        </w:rPr>
        <w:t xml:space="preserve">n y los representantes </w:t>
      </w:r>
      <w:r w:rsidRPr="00BC57A2">
        <w:rPr>
          <w:sz w:val="16"/>
          <w:szCs w:val="16"/>
          <w:lang w:val="es-CR"/>
        </w:rPr>
        <w:t>como insuficiente</w:t>
      </w:r>
      <w:r>
        <w:rPr>
          <w:sz w:val="16"/>
          <w:szCs w:val="16"/>
          <w:lang w:val="es-CR"/>
        </w:rPr>
        <w:t>s</w:t>
      </w:r>
      <w:r w:rsidRPr="00BC57A2">
        <w:rPr>
          <w:sz w:val="16"/>
          <w:szCs w:val="16"/>
          <w:lang w:val="es-CR"/>
        </w:rPr>
        <w:t xml:space="preserve"> para entender que hubo actos de concreción relevantes del proyecto de realización de tramos de la ruta nacional 86 y, en general, considera que carece de elementos suficientes para evaluar aspectos relativos a dicha obra o proyecto. </w:t>
      </w:r>
    </w:p>
    <w:p w14:paraId="7267FC5F" w14:textId="77777777" w:rsidR="0023585A" w:rsidRPr="00BC57A2" w:rsidRDefault="0023585A" w:rsidP="009805F2">
      <w:pPr>
        <w:pStyle w:val="Textonotapie"/>
        <w:rPr>
          <w:sz w:val="16"/>
          <w:szCs w:val="16"/>
          <w:lang w:val="es-CR"/>
        </w:rPr>
      </w:pPr>
    </w:p>
  </w:footnote>
  <w:footnote w:id="167">
    <w:p w14:paraId="1A49B4DC"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 xml:space="preserve">Si bien los representantes indicaron que las actividades de exploración habían comenzado en 2001, no efectuaron precisiones respecto a la zona, y surge de señalamientos estatales que “[n]o se inició el proceso de exploración en el territorio de las comunidades”. Además la Corte nota que el Estado, luego de una solicitud de los representantes, decidió trasladar los trabajos fuera del territorio indígena, lo que fue indicado por los propios representantes. </w:t>
      </w:r>
    </w:p>
    <w:p w14:paraId="18AC2894" w14:textId="77777777" w:rsidR="0023585A" w:rsidRPr="00BC57A2" w:rsidRDefault="0023585A" w:rsidP="009805F2">
      <w:pPr>
        <w:pStyle w:val="Textonotapie"/>
        <w:rPr>
          <w:sz w:val="16"/>
          <w:szCs w:val="16"/>
          <w:lang w:val="es-CR"/>
        </w:rPr>
      </w:pPr>
    </w:p>
  </w:footnote>
  <w:footnote w:id="168">
    <w:p w14:paraId="1F9D6246" w14:textId="77777777" w:rsidR="0023585A" w:rsidRPr="00BC57A2" w:rsidRDefault="0023585A" w:rsidP="009805F2">
      <w:pPr>
        <w:pStyle w:val="Textonotapie"/>
        <w:rPr>
          <w:rFonts w:cs="Arial Narrow"/>
          <w:sz w:val="16"/>
          <w:szCs w:val="16"/>
          <w:lang w:val="es-CR"/>
        </w:rPr>
      </w:pPr>
      <w:r w:rsidRPr="00BC57A2">
        <w:rPr>
          <w:rStyle w:val="Refdenotaalpie"/>
          <w:sz w:val="16"/>
          <w:szCs w:val="16"/>
        </w:rPr>
        <w:footnoteRef/>
      </w:r>
      <w:r w:rsidRPr="00BC57A2">
        <w:rPr>
          <w:rFonts w:cs="Arial Narrow"/>
          <w:sz w:val="16"/>
          <w:szCs w:val="16"/>
          <w:lang w:val="es-CR"/>
        </w:rPr>
        <w:t xml:space="preserve"> </w:t>
      </w:r>
      <w:r w:rsidRPr="00BC57A2">
        <w:rPr>
          <w:rFonts w:cs="Arial Narrow"/>
          <w:sz w:val="16"/>
          <w:szCs w:val="16"/>
          <w:lang w:val="es-CR"/>
        </w:rPr>
        <w:tab/>
      </w:r>
      <w:r w:rsidRPr="00BC57A2">
        <w:rPr>
          <w:rFonts w:cs="Arial Narrow"/>
          <w:i/>
          <w:sz w:val="16"/>
          <w:szCs w:val="16"/>
          <w:lang w:val="es-CR"/>
        </w:rPr>
        <w:t xml:space="preserve">Cfr. </w:t>
      </w:r>
      <w:r w:rsidRPr="00BC57A2">
        <w:rPr>
          <w:rFonts w:cs="Arial Narrow"/>
          <w:sz w:val="16"/>
          <w:szCs w:val="16"/>
          <w:lang w:val="es-CR"/>
        </w:rPr>
        <w:t>Nota a Cancillería y al Gobernador de Salta de 8 de febrero de 2005. Expediente de prueba, anexo I.18 al escrito de solicitudes y argumentos, fs. 32.008 a 32.010.</w:t>
      </w:r>
    </w:p>
    <w:p w14:paraId="73CFED38" w14:textId="77777777" w:rsidR="0023585A" w:rsidRPr="00BC57A2" w:rsidRDefault="0023585A" w:rsidP="009805F2">
      <w:pPr>
        <w:pStyle w:val="Textonotapie"/>
        <w:rPr>
          <w:sz w:val="16"/>
          <w:szCs w:val="16"/>
          <w:lang w:val="es-CR"/>
        </w:rPr>
      </w:pPr>
    </w:p>
  </w:footnote>
  <w:footnote w:id="169">
    <w:p w14:paraId="0ACC7CBA"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Cfr.</w:t>
      </w:r>
      <w:r w:rsidRPr="00BC57A2">
        <w:rPr>
          <w:sz w:val="16"/>
          <w:szCs w:val="16"/>
          <w:lang w:val="es-CR"/>
        </w:rPr>
        <w:t xml:space="preserve"> Nota a la Secretaría de Derechos Humanos de 19 de septiembre de 2014. Expediente de prueba, anexo I.20 al escrito de solicitudes y argumentos, fs. 32.016 y 32.017.</w:t>
      </w:r>
    </w:p>
    <w:p w14:paraId="61D996F4" w14:textId="77777777" w:rsidR="0023585A" w:rsidRPr="00BC57A2" w:rsidRDefault="0023585A" w:rsidP="009805F2">
      <w:pPr>
        <w:pStyle w:val="Textonotapie"/>
        <w:rPr>
          <w:sz w:val="16"/>
          <w:szCs w:val="16"/>
          <w:lang w:val="es-CR"/>
        </w:rPr>
      </w:pPr>
      <w:r w:rsidRPr="00BC57A2">
        <w:rPr>
          <w:sz w:val="16"/>
          <w:szCs w:val="16"/>
          <w:lang w:val="es-CR"/>
        </w:rPr>
        <w:t xml:space="preserve"> </w:t>
      </w:r>
    </w:p>
  </w:footnote>
  <w:footnote w:id="170">
    <w:p w14:paraId="7380EEFF"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Cfr.</w:t>
      </w:r>
      <w:r w:rsidRPr="00BC57A2">
        <w:rPr>
          <w:sz w:val="16"/>
          <w:szCs w:val="16"/>
          <w:lang w:val="es-CR"/>
        </w:rPr>
        <w:t xml:space="preserve"> Nota de la Secretaría General de Gobernación al Canciller de 21 de febrero de 2005. Expediente de prueba, anexo I.19 al escrito de solicitudes y argumentos, fs. 32.012 a 32.014.</w:t>
      </w:r>
    </w:p>
    <w:p w14:paraId="345D9D1B" w14:textId="77777777" w:rsidR="0023585A" w:rsidRPr="00BC57A2" w:rsidRDefault="0023585A" w:rsidP="009805F2">
      <w:pPr>
        <w:pStyle w:val="Textonotapie"/>
        <w:rPr>
          <w:sz w:val="16"/>
          <w:szCs w:val="16"/>
          <w:lang w:val="es-CR"/>
        </w:rPr>
      </w:pPr>
    </w:p>
  </w:footnote>
  <w:footnote w:id="171">
    <w:p w14:paraId="0660E104" w14:textId="09F73870" w:rsidR="0023585A" w:rsidRPr="00BC57A2" w:rsidRDefault="0023585A" w:rsidP="009805F2">
      <w:pPr>
        <w:spacing w:after="0" w:line="240" w:lineRule="auto"/>
        <w:jc w:val="both"/>
        <w:rPr>
          <w:rFonts w:ascii="Verdana" w:hAnsi="Verdana"/>
          <w:sz w:val="16"/>
          <w:szCs w:val="16"/>
          <w:lang w:val="es-CR"/>
        </w:rPr>
      </w:pPr>
      <w:r w:rsidRPr="00BC57A2">
        <w:rPr>
          <w:rStyle w:val="Refdenotaalpie"/>
          <w:rFonts w:ascii="Verdana" w:hAnsi="Verdana"/>
          <w:sz w:val="16"/>
          <w:szCs w:val="16"/>
        </w:rPr>
        <w:footnoteRef/>
      </w:r>
      <w:r w:rsidRPr="00BC57A2">
        <w:rPr>
          <w:rFonts w:ascii="Verdana" w:hAnsi="Verdana"/>
          <w:sz w:val="16"/>
          <w:szCs w:val="16"/>
        </w:rPr>
        <w:t xml:space="preserve"> </w:t>
      </w:r>
      <w:r w:rsidRPr="00BC57A2">
        <w:rPr>
          <w:rFonts w:ascii="Verdana" w:hAnsi="Verdana"/>
          <w:sz w:val="16"/>
          <w:szCs w:val="16"/>
        </w:rPr>
        <w:tab/>
        <w:t>Los representantes indicaron que a principios de 1999 Salta “empezó a construir casas y edificios destinados al establecimiento de un puesto de la Gendarmería Nacional”. Agregaron que “[a]demás, en el 2000 empezó a aumentar significativamente la tala ilegal de árboles para la quema de ladrillos vinculada a las obras, causando un impacto sustancial en el modo de vida de las comunidades”. El 6 de abril de 2000 se dictó la Resolución N° 138 por parte de la Secretaría de Obras y Servicios Públicos de la Provincia de Salta, que aprobaba la reprogramación y documentación técnica de la obra Construcción Puesto Fronterizo Misión La Paz – Departamento Rivadavia. El 27 de abril de 2011, los representantes de la Provincia de Salta informaron que se hicieron obras de vivienda en acuerdo con las comunidades (</w:t>
      </w:r>
      <w:r w:rsidRPr="00BC57A2">
        <w:rPr>
          <w:rFonts w:ascii="Verdana" w:hAnsi="Verdana"/>
          <w:i/>
          <w:sz w:val="16"/>
          <w:szCs w:val="16"/>
        </w:rPr>
        <w:t>cfr.</w:t>
      </w:r>
      <w:r w:rsidRPr="00BC57A2">
        <w:rPr>
          <w:rFonts w:ascii="Verdana" w:hAnsi="Verdana"/>
          <w:sz w:val="16"/>
          <w:szCs w:val="16"/>
        </w:rPr>
        <w:t xml:space="preserve"> comunicación de Lhaka Honhat al Director de Derechos Humanos, informando que no asistirían a las reuniones del 27 de abril de 2011; expediente de prueba, anexo al trámite ante la Comisión, fs. 15.890 a 15.892).</w:t>
      </w:r>
    </w:p>
  </w:footnote>
  <w:footnote w:id="172">
    <w:p w14:paraId="4DA4FF83" w14:textId="77777777" w:rsidR="0023585A" w:rsidRPr="00BC57A2" w:rsidRDefault="0023585A" w:rsidP="007C7E7C">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Artículos 22, 26 y 1.1 de la Convención Americana.</w:t>
      </w:r>
    </w:p>
    <w:p w14:paraId="4DEB331C" w14:textId="77777777" w:rsidR="0023585A" w:rsidRPr="00BC57A2" w:rsidRDefault="0023585A" w:rsidP="007C7E7C">
      <w:pPr>
        <w:pStyle w:val="Textonotapie"/>
        <w:rPr>
          <w:sz w:val="16"/>
          <w:szCs w:val="16"/>
          <w:lang w:val="es-CR"/>
        </w:rPr>
      </w:pPr>
    </w:p>
  </w:footnote>
  <w:footnote w:id="173">
    <w:p w14:paraId="53148FF0" w14:textId="046FBE09" w:rsidR="0023585A" w:rsidRPr="00BC57A2" w:rsidRDefault="0023585A" w:rsidP="007C7E7C">
      <w:pPr>
        <w:pStyle w:val="Textonotapie"/>
        <w:rPr>
          <w:sz w:val="16"/>
          <w:szCs w:val="16"/>
          <w:lang w:val="es-ES_tradnl"/>
        </w:rPr>
      </w:pPr>
      <w:r w:rsidRPr="00BC57A2">
        <w:rPr>
          <w:rStyle w:val="Refdenotaalpie"/>
          <w:sz w:val="16"/>
          <w:szCs w:val="16"/>
          <w:lang w:val="es-ES_tradnl"/>
        </w:rPr>
        <w:footnoteRef/>
      </w:r>
      <w:r w:rsidRPr="00BC57A2">
        <w:rPr>
          <w:sz w:val="16"/>
          <w:szCs w:val="16"/>
          <w:lang w:val="es-ES_tradnl"/>
        </w:rPr>
        <w:t xml:space="preserve"> </w:t>
      </w:r>
      <w:r w:rsidRPr="00BC57A2">
        <w:rPr>
          <w:sz w:val="16"/>
          <w:szCs w:val="16"/>
          <w:lang w:val="es-ES_tradnl"/>
        </w:rPr>
        <w:tab/>
        <w:t xml:space="preserve">La </w:t>
      </w:r>
      <w:r w:rsidRPr="00BC57A2">
        <w:rPr>
          <w:b/>
          <w:i/>
          <w:sz w:val="16"/>
          <w:szCs w:val="16"/>
          <w:lang w:val="es-ES_tradnl"/>
        </w:rPr>
        <w:t>Comisión</w:t>
      </w:r>
      <w:r w:rsidRPr="00BC57A2">
        <w:rPr>
          <w:sz w:val="16"/>
          <w:szCs w:val="16"/>
          <w:lang w:val="es-ES_tradnl"/>
        </w:rPr>
        <w:t xml:space="preserve"> no determinó violaciones al artículo 26 de la Convención en su Informe de Fondo 2/12, emitido en 2012. Sin perjuicio de lo anterior, en sus observaciones finales escritas expresó que “considera importante que, dado el reciente desarrollo de la jurisprudencia de [la] Corte, [ésta] pueda desarrollar, por primera vez, la violación del artículo 26, respeto a los derechos territoriales de los pueblos indígenas, en particular en lo relativo al derecho a la alimentación y otros que resulten pertinentes”. Por otra parte, en su Informe de Fondo la Comisión notó que “la estrecha vinculación entre los pueblos indígenas y tribales y sus territorios tradicionales y los recursos naturales que allí se encuentran es un elemento constitutivo de su cultura en tanto forma de vida particular[. …] Por ello, al ser el territorio y los recursos naturales elementos integrantes de la cosmovisión, vida espiritual y forma de subsistencia de los pueblos indígenas y tribales, forman parte intrínseca del derecho de las personas que los conforman a la identidad cultural”. Asimismo, afirmó que las autoridades estatales deben “implementar los estándares de protección medioambiental existentes a nivel nacional e internacional”, lo que cobra “especial importancia” respecto a “actores no estatales”. Agregó que los Estados deben “prevenir los daños al medio ambiente en territorios indígenas”. Considerando lo anterior, se refirió en el Informe de Fondo a la “deforestación” en el caso, expresando que “[p]ese a la suscripción de sucesivos acuerdos sustantivos y la adquisición de otros compromisos formales en los que [el Estado] anunci[ó] que realizaría […] labores de control de la extracción ilegal de madera, no se demostró […] que tales acciones hubiesen sido adoptadas en forma efectiva y proporcional al serio peligro de deforestación causado por los taladores irregulares dentro del territorio”. </w:t>
      </w:r>
      <w:r>
        <w:rPr>
          <w:sz w:val="16"/>
          <w:szCs w:val="16"/>
          <w:lang w:val="es-ES_tradnl"/>
        </w:rPr>
        <w:t>La Comisión tampoco adujo una lesión al artículo 22 de la Convención (</w:t>
      </w:r>
      <w:r>
        <w:rPr>
          <w:i/>
          <w:sz w:val="16"/>
          <w:szCs w:val="16"/>
          <w:lang w:val="es-ES_tradnl"/>
        </w:rPr>
        <w:t xml:space="preserve">supra </w:t>
      </w:r>
      <w:r>
        <w:rPr>
          <w:sz w:val="16"/>
          <w:szCs w:val="16"/>
          <w:lang w:val="es-ES_tradnl"/>
        </w:rPr>
        <w:t xml:space="preserve">nota a pie de página 2). </w:t>
      </w:r>
    </w:p>
    <w:p w14:paraId="56E2D110" w14:textId="77777777" w:rsidR="0023585A" w:rsidRPr="00BC57A2" w:rsidRDefault="0023585A" w:rsidP="007C7E7C">
      <w:pPr>
        <w:pStyle w:val="Textonotapie"/>
        <w:rPr>
          <w:sz w:val="16"/>
          <w:szCs w:val="16"/>
          <w:lang w:val="es-ES_tradnl"/>
        </w:rPr>
      </w:pPr>
    </w:p>
  </w:footnote>
  <w:footnote w:id="174">
    <w:p w14:paraId="567B3BB6" w14:textId="77777777" w:rsidR="0023585A" w:rsidRPr="00BC57A2" w:rsidRDefault="0023585A" w:rsidP="007C7E7C">
      <w:pPr>
        <w:pStyle w:val="Prrafodelista"/>
        <w:spacing w:after="0" w:line="240" w:lineRule="auto"/>
        <w:ind w:left="0"/>
        <w:jc w:val="both"/>
        <w:rPr>
          <w:rFonts w:ascii="Verdana" w:hAnsi="Verdana"/>
          <w:sz w:val="16"/>
          <w:szCs w:val="16"/>
        </w:rPr>
      </w:pPr>
      <w:r w:rsidRPr="00BC57A2">
        <w:rPr>
          <w:rStyle w:val="Refdenotaalpie"/>
          <w:rFonts w:ascii="Verdana" w:hAnsi="Verdana"/>
          <w:sz w:val="16"/>
          <w:szCs w:val="16"/>
        </w:rPr>
        <w:footnoteRef/>
      </w:r>
      <w:r w:rsidRPr="00BC57A2">
        <w:rPr>
          <w:rFonts w:ascii="Verdana" w:hAnsi="Verdana"/>
          <w:sz w:val="16"/>
          <w:szCs w:val="16"/>
        </w:rPr>
        <w:t xml:space="preserve"> </w:t>
      </w:r>
      <w:r w:rsidRPr="00BC57A2">
        <w:rPr>
          <w:rFonts w:ascii="Verdana" w:hAnsi="Verdana"/>
          <w:sz w:val="16"/>
          <w:szCs w:val="16"/>
        </w:rPr>
        <w:tab/>
        <w:t>Además del artículo 26, los representantes adujeron, en relación con esa norma y dada la remisión que la misma hace a disposiciones de la Carta de la Organización de Estados Americanos: a) como base normativa del derecho a un medio ambiente sano los artículos 30, 31, 33 y 34 de dicha Carta; b) como base normativa del derecho a la “identidad cultural”, los artículos 2, 3, 17, 19, 30, 45, 48 y 52 de la misma Carta y el artículo XIII de la Declaración Americana sobre Derechos y Deberes del Hombre, y c) como base normativa del derecho a la alimentación, también la Carta y la Declaración mencionadas, en sus artículos 34.j y XI, respectivamente. Por otra parte, si bien en forma general, respecto de los tres derechos, mencionaron los artículos 1 y 2 de la Convención, al expresar concretamente qué normas entendían violadas respecto a cada uno de los tres derechos referidos, no señalaron el artículo 2 indicado.</w:t>
      </w:r>
      <w:r w:rsidRPr="00BC57A2">
        <w:rPr>
          <w:rFonts w:ascii="Verdana" w:hAnsi="Verdana"/>
          <w:b/>
          <w:sz w:val="16"/>
          <w:szCs w:val="16"/>
        </w:rPr>
        <w:t xml:space="preserve"> </w:t>
      </w:r>
      <w:r w:rsidRPr="00BC57A2">
        <w:rPr>
          <w:rFonts w:ascii="Verdana" w:hAnsi="Verdana"/>
          <w:sz w:val="16"/>
          <w:szCs w:val="16"/>
        </w:rPr>
        <w:t>La Corte no examinará los derechos en cuestión en relación con el artículo 2 de la Convención.</w:t>
      </w:r>
    </w:p>
    <w:p w14:paraId="50AE9A58" w14:textId="77777777" w:rsidR="0023585A" w:rsidRPr="00BC57A2" w:rsidRDefault="0023585A" w:rsidP="007C7E7C">
      <w:pPr>
        <w:pStyle w:val="Prrafodelista"/>
        <w:spacing w:after="0" w:line="240" w:lineRule="auto"/>
        <w:ind w:left="0"/>
        <w:jc w:val="both"/>
        <w:rPr>
          <w:rFonts w:ascii="Verdana" w:hAnsi="Verdana"/>
          <w:sz w:val="16"/>
          <w:szCs w:val="16"/>
        </w:rPr>
      </w:pPr>
      <w:r w:rsidRPr="00BC57A2">
        <w:rPr>
          <w:rFonts w:ascii="Verdana" w:hAnsi="Verdana"/>
          <w:b/>
          <w:sz w:val="16"/>
          <w:szCs w:val="16"/>
        </w:rPr>
        <w:t xml:space="preserve"> </w:t>
      </w:r>
    </w:p>
  </w:footnote>
  <w:footnote w:id="175">
    <w:p w14:paraId="55640B04" w14:textId="77777777" w:rsidR="0023585A" w:rsidRPr="00BC57A2" w:rsidRDefault="0023585A" w:rsidP="007C7E7C">
      <w:pPr>
        <w:spacing w:after="0" w:line="240" w:lineRule="auto"/>
        <w:jc w:val="both"/>
        <w:rPr>
          <w:rFonts w:ascii="Verdana" w:hAnsi="Verdana"/>
          <w:sz w:val="16"/>
          <w:szCs w:val="16"/>
        </w:rPr>
      </w:pPr>
      <w:r w:rsidRPr="00BC57A2">
        <w:rPr>
          <w:rStyle w:val="Refdenotaalpie"/>
          <w:rFonts w:ascii="Verdana" w:hAnsi="Verdana"/>
          <w:sz w:val="16"/>
          <w:szCs w:val="16"/>
        </w:rPr>
        <w:footnoteRef/>
      </w:r>
      <w:r w:rsidRPr="00BC57A2">
        <w:rPr>
          <w:rFonts w:ascii="Verdana" w:hAnsi="Verdana"/>
          <w:sz w:val="16"/>
          <w:szCs w:val="16"/>
        </w:rPr>
        <w:t xml:space="preserve"> </w:t>
      </w:r>
      <w:r w:rsidRPr="00BC57A2">
        <w:rPr>
          <w:rFonts w:ascii="Verdana" w:hAnsi="Verdana"/>
          <w:sz w:val="16"/>
          <w:szCs w:val="16"/>
        </w:rPr>
        <w:tab/>
        <w:t>Señalaron los representantes que “ya en el primer pedido formal realizado por la Asociación Lhaka Honhat al gobierno de la provincia de Salta en […] 1991, se detalló la grave degradación ambiental sufrida en el territorio producto del sobrepastoreo, la tala ilegal y el cercado de los criollos”. Por consiguiente, adujeron que el Estado tuvo pleno conocimiento de las condiciones de degradación ambiental, y aun así no adoptó las medidas necesarias para su “prevención y reversión”.</w:t>
      </w:r>
    </w:p>
    <w:p w14:paraId="7A078B9D" w14:textId="77777777" w:rsidR="0023585A" w:rsidRPr="00BC57A2" w:rsidRDefault="0023585A" w:rsidP="007C7E7C">
      <w:pPr>
        <w:spacing w:after="0" w:line="240" w:lineRule="auto"/>
        <w:jc w:val="both"/>
        <w:rPr>
          <w:rFonts w:ascii="Verdana" w:hAnsi="Verdana"/>
          <w:sz w:val="16"/>
          <w:szCs w:val="16"/>
          <w:lang w:val="es-CR"/>
        </w:rPr>
      </w:pPr>
    </w:p>
  </w:footnote>
  <w:footnote w:id="176">
    <w:p w14:paraId="0E840D36" w14:textId="77777777" w:rsidR="0023585A" w:rsidRPr="00BC57A2" w:rsidRDefault="0023585A" w:rsidP="007C7E7C">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 xml:space="preserve">Explicó que “[e]l propósito de dichos proyectos es mejorar la gestión forestal e incrementar el acceso de los pequeños productores, incluidos los pueblos indígenas, a los mercados y servicios básicos”. </w:t>
      </w:r>
    </w:p>
    <w:p w14:paraId="7AFB77CD" w14:textId="77777777" w:rsidR="0023585A" w:rsidRPr="00BC57A2" w:rsidRDefault="0023585A" w:rsidP="007C7E7C">
      <w:pPr>
        <w:pStyle w:val="Textonotapie"/>
        <w:rPr>
          <w:sz w:val="16"/>
          <w:szCs w:val="16"/>
          <w:lang w:val="es-CR"/>
        </w:rPr>
      </w:pPr>
    </w:p>
  </w:footnote>
  <w:footnote w:id="177">
    <w:p w14:paraId="1C2FF39A" w14:textId="77777777" w:rsidR="0023585A" w:rsidRPr="00BC57A2" w:rsidRDefault="0023585A" w:rsidP="007C7E7C">
      <w:pPr>
        <w:pStyle w:val="Textonotapie"/>
        <w:rPr>
          <w:sz w:val="16"/>
          <w:szCs w:val="16"/>
          <w:lang w:val="es-ES_tradnl"/>
        </w:rPr>
      </w:pPr>
      <w:r w:rsidRPr="00BC57A2">
        <w:rPr>
          <w:rStyle w:val="Refdenotaalpie"/>
          <w:sz w:val="16"/>
          <w:szCs w:val="16"/>
          <w:lang w:val="es-ES_tradnl"/>
        </w:rPr>
        <w:footnoteRef/>
      </w:r>
      <w:r w:rsidRPr="00BC57A2">
        <w:rPr>
          <w:sz w:val="16"/>
          <w:szCs w:val="16"/>
          <w:lang w:val="es-ES_tradnl"/>
        </w:rPr>
        <w:t xml:space="preserve"> </w:t>
      </w:r>
      <w:r w:rsidRPr="00BC57A2">
        <w:rPr>
          <w:sz w:val="16"/>
          <w:szCs w:val="16"/>
          <w:lang w:val="es-ES_tradnl"/>
        </w:rPr>
        <w:tab/>
        <w:t>Agregó, respecto a la presencia de alambrados en la zona, que impedirían el desplazamiento de las comunidades indígenas para recolectar alimentos que “en los distintos casos en que tuvo conocimiento […] de la existencia de alambrados nuevos, construidos en la zona de reclamo indígena, se instaron las acciones administrativas y judiciales”.</w:t>
      </w:r>
    </w:p>
    <w:p w14:paraId="76A125CC" w14:textId="77777777" w:rsidR="0023585A" w:rsidRPr="00BC57A2" w:rsidRDefault="0023585A" w:rsidP="007C7E7C">
      <w:pPr>
        <w:pStyle w:val="Textonotapie"/>
        <w:rPr>
          <w:sz w:val="16"/>
          <w:szCs w:val="16"/>
          <w:lang w:val="es-ES_tradnl"/>
        </w:rPr>
      </w:pPr>
    </w:p>
  </w:footnote>
  <w:footnote w:id="178">
    <w:p w14:paraId="1F33EE8F" w14:textId="77777777" w:rsidR="0023585A" w:rsidRPr="00BC57A2" w:rsidRDefault="0023585A" w:rsidP="007C7E7C">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De la lectura del escrito de contestación surge que la alusión indicada al “derecho que ya ha sido reconocido” se refiere al derecho de propiedad. En ese sentido, más adelante en el mismo escrito el Estado amplió la explicación de su posición diciendo que “el otorgamiento de los […l]otes […] 55 y 14 importó la adjudicación de tierras que, una vez demarcada la propiedad y trazados los límites entre el terreno comunitario y el de las familias criollas, serán cobijo de su pleno desarrollo cultural”. Respecto a los cambios en el modo de vida de las comunidades, Argentina mencionó solicitudes de las comunidades de vivienda e infraestructura de servicios “que son propios de un modo de vida sedentario”. Agregó que ha habido “cuatro pedidos de otorgamiento de guías para extracción de madera, formulados por […] Caciques”.</w:t>
      </w:r>
      <w:r w:rsidRPr="00BC57A2">
        <w:rPr>
          <w:b/>
          <w:sz w:val="16"/>
          <w:szCs w:val="16"/>
          <w:lang w:val="es-CR"/>
        </w:rPr>
        <w:t xml:space="preserve"> </w:t>
      </w:r>
      <w:r w:rsidRPr="00BC57A2">
        <w:rPr>
          <w:sz w:val="16"/>
          <w:szCs w:val="16"/>
          <w:lang w:val="es-CR"/>
        </w:rPr>
        <w:t>Por otra parte, el Estado indicó inversiones y obras en la zona, entre ellas, pavimentación de caminos, edificación de escuelas, construcción de salones de usos múltiples y espacios recreativos y acciones de extensión o mejoramiento de los servicios eléctricos, cloacales y de atención primaria para la salud.</w:t>
      </w:r>
    </w:p>
    <w:p w14:paraId="2653A9B6" w14:textId="77777777" w:rsidR="0023585A" w:rsidRPr="00BC57A2" w:rsidRDefault="0023585A" w:rsidP="007C7E7C">
      <w:pPr>
        <w:pStyle w:val="Textonotapie"/>
        <w:rPr>
          <w:sz w:val="16"/>
          <w:szCs w:val="16"/>
          <w:lang w:val="es-CR"/>
        </w:rPr>
      </w:pPr>
    </w:p>
  </w:footnote>
  <w:footnote w:id="179">
    <w:p w14:paraId="72A262B6" w14:textId="53CCAC7B" w:rsidR="0023585A" w:rsidRPr="00BC57A2" w:rsidRDefault="0023585A" w:rsidP="007C7E7C">
      <w:pPr>
        <w:pStyle w:val="Textonotapie"/>
        <w:rPr>
          <w:rStyle w:val="Textoennegrita"/>
          <w:b w:val="0"/>
          <w:color w:val="000000"/>
          <w:sz w:val="16"/>
          <w:szCs w:val="16"/>
          <w:shd w:val="clear" w:color="auto" w:fill="FFFFFF"/>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sz w:val="16"/>
          <w:szCs w:val="16"/>
          <w:lang w:val="es-PE"/>
        </w:rPr>
        <w:t xml:space="preserve">La Corte ha indicado que el artículo 22 de la Convención comprende “a) </w:t>
      </w:r>
      <w:r w:rsidRPr="00BC57A2">
        <w:rPr>
          <w:sz w:val="16"/>
          <w:szCs w:val="16"/>
          <w:lang w:val="es-CR"/>
        </w:rPr>
        <w:t>el derecho de quienes se encuentren legalmente dentro de un Estado a circular libremente en ese Estado y escoger su lugar de residencia, y b) el derecho de una persona a ingresar a su país y permanecer en él. El disfrute de este derecho no depende de ningún objetivo o motivo en particular de la persona que desea circular o permanecer en un lugar. Asimismo, protege el derecho a no ser desplazado forzadamente dentro de un Estado Parte y a no tener que salir forzadamente fuera del territorio del Estado en el cual se halle legalmente. Este Tribunal ha dicho también que el derecho de circulación y de residencia puede ser vulnerado de manera formal o por restricciones de facto si el Estado no ha establecido las condiciones, ni provisto los</w:t>
      </w:r>
      <w:r>
        <w:rPr>
          <w:sz w:val="16"/>
          <w:szCs w:val="16"/>
          <w:lang w:val="es-CR"/>
        </w:rPr>
        <w:t xml:space="preserve"> medios que permiten ejercerlo”</w:t>
      </w:r>
      <w:r w:rsidRPr="00BC57A2">
        <w:rPr>
          <w:sz w:val="16"/>
          <w:szCs w:val="16"/>
          <w:lang w:val="es-CR"/>
        </w:rPr>
        <w:t xml:space="preserve"> (</w:t>
      </w:r>
      <w:r w:rsidRPr="00BC57A2">
        <w:rPr>
          <w:rStyle w:val="Textoennegrita"/>
          <w:b w:val="0"/>
          <w:i/>
          <w:color w:val="000000"/>
          <w:sz w:val="16"/>
          <w:szCs w:val="16"/>
          <w:shd w:val="clear" w:color="auto" w:fill="FFFFFF"/>
          <w:lang w:val="es-CR"/>
        </w:rPr>
        <w:t>Caso Omeara Carrascal y otros Vs. Colombia. Fondo, Reparaciones y Costas.</w:t>
      </w:r>
      <w:r w:rsidRPr="00BC57A2">
        <w:rPr>
          <w:rStyle w:val="Textoennegrita"/>
          <w:b w:val="0"/>
          <w:color w:val="000000"/>
          <w:sz w:val="16"/>
          <w:szCs w:val="16"/>
          <w:shd w:val="clear" w:color="auto" w:fill="FFFFFF"/>
          <w:lang w:val="es-CR"/>
        </w:rPr>
        <w:t xml:space="preserve"> Sentencia de 21 de noviembre de 2</w:t>
      </w:r>
      <w:r>
        <w:rPr>
          <w:rStyle w:val="Textoennegrita"/>
          <w:b w:val="0"/>
          <w:color w:val="000000"/>
          <w:sz w:val="16"/>
          <w:szCs w:val="16"/>
          <w:shd w:val="clear" w:color="auto" w:fill="FFFFFF"/>
          <w:lang w:val="es-CR"/>
        </w:rPr>
        <w:t>018. Serie C No. 368, párr. 272; v</w:t>
      </w:r>
      <w:r w:rsidRPr="00BC57A2">
        <w:rPr>
          <w:rStyle w:val="Textoennegrita"/>
          <w:b w:val="0"/>
          <w:color w:val="000000"/>
          <w:sz w:val="16"/>
          <w:szCs w:val="16"/>
          <w:shd w:val="clear" w:color="auto" w:fill="FFFFFF"/>
          <w:lang w:val="es-CR"/>
        </w:rPr>
        <w:t xml:space="preserve">er también </w:t>
      </w:r>
      <w:r w:rsidRPr="00BC57A2">
        <w:rPr>
          <w:i/>
          <w:sz w:val="16"/>
          <w:szCs w:val="16"/>
          <w:lang w:val="es-CR"/>
        </w:rPr>
        <w:t xml:space="preserve">Caso Ricardo Canese Vs. Paraguay. Fondo, Reparaciones y Costas. </w:t>
      </w:r>
      <w:r w:rsidRPr="00BC57A2">
        <w:rPr>
          <w:sz w:val="16"/>
          <w:szCs w:val="16"/>
          <w:lang w:val="es-CR"/>
        </w:rPr>
        <w:t xml:space="preserve">Sentencia de 31 de agosto de 2004. Serie C No. 111, párr. 115; </w:t>
      </w:r>
      <w:r w:rsidRPr="00BC57A2">
        <w:rPr>
          <w:i/>
          <w:sz w:val="16"/>
          <w:szCs w:val="16"/>
          <w:lang w:val="es-ES"/>
        </w:rPr>
        <w:t>Caso de la Comunidad Moiwana Vs. Suriname</w:t>
      </w:r>
      <w:r w:rsidRPr="00BC57A2">
        <w:rPr>
          <w:sz w:val="16"/>
          <w:szCs w:val="16"/>
          <w:lang w:val="es-ES"/>
        </w:rPr>
        <w:t>, pá</w:t>
      </w:r>
      <w:r>
        <w:rPr>
          <w:sz w:val="16"/>
          <w:szCs w:val="16"/>
          <w:lang w:val="es-ES"/>
        </w:rPr>
        <w:t>rrs. 119 y 120;</w:t>
      </w:r>
      <w:r w:rsidRPr="00BC57A2">
        <w:rPr>
          <w:sz w:val="16"/>
          <w:szCs w:val="16"/>
          <w:lang w:val="es-CR"/>
        </w:rPr>
        <w:t xml:space="preserve"> </w:t>
      </w:r>
      <w:r w:rsidRPr="00BC57A2">
        <w:rPr>
          <w:i/>
          <w:sz w:val="16"/>
          <w:szCs w:val="16"/>
          <w:lang w:val="es-ES"/>
        </w:rPr>
        <w:t>Caso de la "Masacre de Mapiripán" Vs. Colombia</w:t>
      </w:r>
      <w:r w:rsidRPr="00BC57A2">
        <w:rPr>
          <w:sz w:val="16"/>
          <w:szCs w:val="16"/>
          <w:lang w:val="es-ES"/>
        </w:rPr>
        <w:t xml:space="preserve">, párr. 188, </w:t>
      </w:r>
      <w:r w:rsidRPr="00BC57A2">
        <w:rPr>
          <w:sz w:val="16"/>
          <w:szCs w:val="16"/>
          <w:lang w:val="es-CR"/>
        </w:rPr>
        <w:t>y</w:t>
      </w:r>
      <w:r w:rsidRPr="00BC57A2">
        <w:rPr>
          <w:rStyle w:val="Textoennegrita"/>
          <w:i/>
          <w:color w:val="000000"/>
          <w:sz w:val="16"/>
          <w:szCs w:val="16"/>
          <w:shd w:val="clear" w:color="auto" w:fill="FFFFFF"/>
          <w:lang w:val="es-CR"/>
        </w:rPr>
        <w:t xml:space="preserve"> </w:t>
      </w:r>
      <w:r w:rsidRPr="00BC57A2">
        <w:rPr>
          <w:rStyle w:val="Textoennegrita"/>
          <w:b w:val="0"/>
          <w:i/>
          <w:color w:val="000000"/>
          <w:sz w:val="16"/>
          <w:szCs w:val="16"/>
          <w:shd w:val="clear" w:color="auto" w:fill="FFFFFF"/>
          <w:lang w:val="es-CR"/>
        </w:rPr>
        <w:t xml:space="preserve">Caso Alvarado Espinoza y otros Vs. México. Fondo, Reparaciones y Costas. </w:t>
      </w:r>
      <w:r w:rsidRPr="00BC57A2">
        <w:rPr>
          <w:rStyle w:val="Textoennegrita"/>
          <w:b w:val="0"/>
          <w:color w:val="000000"/>
          <w:sz w:val="16"/>
          <w:szCs w:val="16"/>
          <w:shd w:val="clear" w:color="auto" w:fill="FFFFFF"/>
          <w:lang w:val="es-CR"/>
        </w:rPr>
        <w:t>Sentencia de 28 de noviembre de 2018. Serie C No. 370, párr. 274).</w:t>
      </w:r>
    </w:p>
    <w:p w14:paraId="5AB1D7C7" w14:textId="77777777" w:rsidR="0023585A" w:rsidRPr="00BC57A2" w:rsidRDefault="0023585A" w:rsidP="007C7E7C">
      <w:pPr>
        <w:pStyle w:val="Textonotapie"/>
        <w:rPr>
          <w:sz w:val="16"/>
          <w:szCs w:val="16"/>
          <w:lang w:val="es-CR"/>
        </w:rPr>
      </w:pPr>
    </w:p>
  </w:footnote>
  <w:footnote w:id="180">
    <w:p w14:paraId="73AFCA47" w14:textId="77777777" w:rsidR="0023585A" w:rsidRPr="00BC57A2" w:rsidRDefault="0023585A" w:rsidP="007C7E7C">
      <w:pPr>
        <w:pStyle w:val="Textonotapie"/>
        <w:rPr>
          <w:rStyle w:val="Textoennegrita"/>
          <w:b w:val="0"/>
          <w:color w:val="000000"/>
          <w:sz w:val="16"/>
          <w:szCs w:val="16"/>
          <w:shd w:val="clear" w:color="auto" w:fill="FFFFFF"/>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Cfr. Caso Acevedo Buendía y otros (“Cesantes y Jubilados de la Contraloría”) Vs. Perú. Excepción Preliminar, Fondo, Reparaciones y Costas.</w:t>
      </w:r>
      <w:r w:rsidRPr="00BC57A2">
        <w:rPr>
          <w:sz w:val="16"/>
          <w:szCs w:val="16"/>
          <w:lang w:val="es-CR"/>
        </w:rPr>
        <w:t xml:space="preserve"> Sentencia de 1 de julio de 2009. Serie C No. 198, párrs. 16, 17 y 97; </w:t>
      </w:r>
      <w:r w:rsidRPr="00BC57A2">
        <w:rPr>
          <w:rStyle w:val="Textoennegrita"/>
          <w:b w:val="0"/>
          <w:i/>
          <w:color w:val="000000"/>
          <w:sz w:val="16"/>
          <w:szCs w:val="16"/>
          <w:shd w:val="clear" w:color="auto" w:fill="FFFFFF"/>
          <w:lang w:val="es-CR"/>
        </w:rPr>
        <w:t xml:space="preserve">Caso Lagos del Campo Vs. Perú. Excepciones Preliminares, Fondo, Reparaciones y Costas. </w:t>
      </w:r>
      <w:r w:rsidRPr="00BC57A2">
        <w:rPr>
          <w:rStyle w:val="Textoennegrita"/>
          <w:b w:val="0"/>
          <w:color w:val="000000"/>
          <w:sz w:val="16"/>
          <w:szCs w:val="16"/>
          <w:shd w:val="clear" w:color="auto" w:fill="FFFFFF"/>
          <w:lang w:val="es-CR"/>
        </w:rPr>
        <w:t xml:space="preserve">Sentencia de 31 de agosto de 2017. Serie C No. 340, párr. 142; </w:t>
      </w:r>
      <w:r w:rsidRPr="00BC57A2">
        <w:rPr>
          <w:rStyle w:val="Textoennegrita"/>
          <w:b w:val="0"/>
          <w:i/>
          <w:color w:val="000000"/>
          <w:sz w:val="16"/>
          <w:szCs w:val="16"/>
          <w:shd w:val="clear" w:color="auto" w:fill="FFFFFF"/>
          <w:lang w:val="es-CR"/>
        </w:rPr>
        <w:t>Caso Trabajadores Cesados de Petroperú y otros Vs. Perú. Excepciones Preliminares, Fondo, Reparaciones y Costas.</w:t>
      </w:r>
      <w:r w:rsidRPr="00BC57A2">
        <w:rPr>
          <w:rStyle w:val="Textoennegrita"/>
          <w:b w:val="0"/>
          <w:color w:val="000000"/>
          <w:sz w:val="16"/>
          <w:szCs w:val="16"/>
          <w:shd w:val="clear" w:color="auto" w:fill="FFFFFF"/>
          <w:lang w:val="es-CR"/>
        </w:rPr>
        <w:t xml:space="preserve"> Sentencia de 23 de noviembre de 2017. Serie C No. 344, párr. 192</w:t>
      </w:r>
      <w:r w:rsidRPr="00BC57A2">
        <w:rPr>
          <w:rStyle w:val="Textoennegrita"/>
          <w:b w:val="0"/>
          <w:i/>
          <w:color w:val="000000"/>
          <w:sz w:val="16"/>
          <w:szCs w:val="16"/>
          <w:shd w:val="clear" w:color="auto" w:fill="FFFFFF"/>
          <w:lang w:val="es-CR"/>
        </w:rPr>
        <w:t>;</w:t>
      </w:r>
      <w:r w:rsidRPr="00BC57A2">
        <w:rPr>
          <w:rStyle w:val="Textoennegrita"/>
          <w:i/>
          <w:color w:val="000000"/>
          <w:sz w:val="16"/>
          <w:szCs w:val="16"/>
          <w:shd w:val="clear" w:color="auto" w:fill="FFFFFF"/>
          <w:lang w:val="es-CR"/>
        </w:rPr>
        <w:t xml:space="preserve"> </w:t>
      </w:r>
      <w:r w:rsidRPr="00BC57A2">
        <w:rPr>
          <w:i/>
          <w:sz w:val="16"/>
          <w:szCs w:val="16"/>
          <w:lang w:val="es-CR"/>
        </w:rPr>
        <w:t>Caso San Miguel Sosa y otras Vs. Venezuela. Fondo, Reparaciones y Costas.</w:t>
      </w:r>
      <w:r w:rsidRPr="00BC57A2">
        <w:rPr>
          <w:sz w:val="16"/>
          <w:szCs w:val="16"/>
          <w:lang w:val="es-CR"/>
        </w:rPr>
        <w:t xml:space="preserve"> Sentencia de 8 de febrero de 2018. Serie C No. 348, párr. 220; </w:t>
      </w:r>
      <w:r w:rsidRPr="00BC57A2">
        <w:rPr>
          <w:rStyle w:val="Textoennegrita"/>
          <w:b w:val="0"/>
          <w:i/>
          <w:color w:val="000000"/>
          <w:sz w:val="16"/>
          <w:szCs w:val="16"/>
          <w:shd w:val="clear" w:color="auto" w:fill="FFFFFF"/>
          <w:lang w:val="es-CR"/>
        </w:rPr>
        <w:t>Caso Poblete Vilches y otros Vs. Chile. Fondo, Reparaciones y Costas</w:t>
      </w:r>
      <w:r w:rsidRPr="00BC57A2">
        <w:rPr>
          <w:rStyle w:val="Textoennegrita"/>
          <w:b w:val="0"/>
          <w:color w:val="000000"/>
          <w:sz w:val="16"/>
          <w:szCs w:val="16"/>
          <w:shd w:val="clear" w:color="auto" w:fill="FFFFFF"/>
          <w:lang w:val="es-CR"/>
        </w:rPr>
        <w:t>. Sentencia de 8 de marzo de 2018. Serie C No. 349, párr. 100; C</w:t>
      </w:r>
      <w:r w:rsidRPr="00BC57A2">
        <w:rPr>
          <w:rStyle w:val="Textoennegrita"/>
          <w:b w:val="0"/>
          <w:i/>
          <w:color w:val="000000"/>
          <w:sz w:val="16"/>
          <w:szCs w:val="16"/>
          <w:shd w:val="clear" w:color="auto" w:fill="FFFFFF"/>
          <w:lang w:val="es-CR"/>
        </w:rPr>
        <w:t>aso Cuscul Pivaral y otros Vs. Guatemala. Excepción Preliminar, Fondo, Reparaciones y Costas.</w:t>
      </w:r>
      <w:r w:rsidRPr="00BC57A2">
        <w:rPr>
          <w:rStyle w:val="Textoennegrita"/>
          <w:b w:val="0"/>
          <w:color w:val="000000"/>
          <w:sz w:val="16"/>
          <w:szCs w:val="16"/>
          <w:shd w:val="clear" w:color="auto" w:fill="FFFFFF"/>
          <w:lang w:val="es-CR"/>
        </w:rPr>
        <w:t xml:space="preserve"> Sentencia de 23 de agosto de 2018. Serie C No. 359, párr. 97; </w:t>
      </w:r>
      <w:r w:rsidRPr="00BC57A2">
        <w:rPr>
          <w:rStyle w:val="Textoennegrita"/>
          <w:b w:val="0"/>
          <w:i/>
          <w:color w:val="000000"/>
          <w:sz w:val="16"/>
          <w:szCs w:val="16"/>
          <w:shd w:val="clear" w:color="auto" w:fill="FFFFFF"/>
          <w:lang w:val="es-CR"/>
        </w:rPr>
        <w:t>Caso Muelle Flores Vs. Perú. Excepciones Preliminares, Fondo, Reparaciones y Costas.</w:t>
      </w:r>
      <w:r w:rsidRPr="00BC57A2">
        <w:rPr>
          <w:rStyle w:val="Textoennegrita"/>
          <w:b w:val="0"/>
          <w:color w:val="000000"/>
          <w:sz w:val="16"/>
          <w:szCs w:val="16"/>
          <w:shd w:val="clear" w:color="auto" w:fill="FFFFFF"/>
          <w:lang w:val="es-CR"/>
        </w:rPr>
        <w:t xml:space="preserve"> Sentencia de 6 de marzo de 2019. Serie C No. 375, párrs. 170 a 208; </w:t>
      </w:r>
      <w:r w:rsidRPr="00BC57A2">
        <w:rPr>
          <w:rStyle w:val="Textoennegrita"/>
          <w:b w:val="0"/>
          <w:i/>
          <w:color w:val="000000"/>
          <w:sz w:val="16"/>
          <w:szCs w:val="16"/>
          <w:shd w:val="clear" w:color="auto" w:fill="FFFFFF"/>
          <w:lang w:val="es-CR"/>
        </w:rPr>
        <w:t>Caso Asociación Nacional de Cesantes y Jubilados de la Superintendencia Nacional de Administración Tributaria (ANCEJUB-SUNAT) Vs. Perú. Excepciones Preliminares, Fondo, Reparaciones y Costas.</w:t>
      </w:r>
      <w:r w:rsidRPr="00BC57A2">
        <w:rPr>
          <w:rStyle w:val="Textoennegrita"/>
          <w:b w:val="0"/>
          <w:color w:val="000000"/>
          <w:sz w:val="16"/>
          <w:szCs w:val="16"/>
          <w:shd w:val="clear" w:color="auto" w:fill="FFFFFF"/>
          <w:lang w:val="es-CR"/>
        </w:rPr>
        <w:t xml:space="preserve"> Sentencia de 21 de noviembre de 2019. Serie C No. 394, párr. 155, y </w:t>
      </w:r>
      <w:r w:rsidRPr="00BC57A2">
        <w:rPr>
          <w:rStyle w:val="Textoennegrita"/>
          <w:b w:val="0"/>
          <w:i/>
          <w:color w:val="000000"/>
          <w:sz w:val="16"/>
          <w:szCs w:val="16"/>
          <w:shd w:val="clear" w:color="auto" w:fill="FFFFFF"/>
          <w:lang w:val="es-CR"/>
        </w:rPr>
        <w:t>Caso Hernández Vs. Argentina. Excepción Preliminar, Fondo, Reparaciones y Costas.</w:t>
      </w:r>
      <w:r w:rsidRPr="00BC57A2">
        <w:rPr>
          <w:rStyle w:val="Textoennegrita"/>
          <w:b w:val="0"/>
          <w:color w:val="000000"/>
          <w:sz w:val="16"/>
          <w:szCs w:val="16"/>
          <w:shd w:val="clear" w:color="auto" w:fill="FFFFFF"/>
          <w:lang w:val="es-CR"/>
        </w:rPr>
        <w:t xml:space="preserve"> Sentencia de 22 de noviembre de 2019. Serie C No. 395, párr. 54.</w:t>
      </w:r>
    </w:p>
    <w:p w14:paraId="39EFEF98" w14:textId="77777777" w:rsidR="0023585A" w:rsidRPr="00BC57A2" w:rsidRDefault="0023585A" w:rsidP="007C7E7C">
      <w:pPr>
        <w:pStyle w:val="Textonotapie"/>
        <w:rPr>
          <w:sz w:val="16"/>
          <w:szCs w:val="16"/>
          <w:lang w:val="es-CR"/>
        </w:rPr>
      </w:pPr>
    </w:p>
  </w:footnote>
  <w:footnote w:id="181">
    <w:p w14:paraId="44C75FFA" w14:textId="77777777" w:rsidR="0023585A" w:rsidRPr="00BC57A2" w:rsidRDefault="0023585A" w:rsidP="007C7E7C">
      <w:pPr>
        <w:pStyle w:val="Textonotapie"/>
        <w:rPr>
          <w:rStyle w:val="Textoennegrita"/>
          <w:b w:val="0"/>
          <w:color w:val="000000"/>
          <w:sz w:val="16"/>
          <w:szCs w:val="16"/>
          <w:shd w:val="clear" w:color="auto" w:fill="FFFFFF"/>
          <w:lang w:val="es-CR"/>
        </w:rPr>
      </w:pPr>
      <w:r w:rsidRPr="00BC57A2">
        <w:rPr>
          <w:rStyle w:val="Refdenotaalpie"/>
          <w:sz w:val="16"/>
          <w:szCs w:val="16"/>
        </w:rPr>
        <w:footnoteRef/>
      </w:r>
      <w:r w:rsidRPr="00BC57A2">
        <w:rPr>
          <w:sz w:val="16"/>
          <w:szCs w:val="16"/>
          <w:lang w:val="es-PE"/>
        </w:rPr>
        <w:t xml:space="preserve"> </w:t>
      </w:r>
      <w:r w:rsidRPr="00BC57A2">
        <w:rPr>
          <w:sz w:val="16"/>
          <w:szCs w:val="16"/>
          <w:lang w:val="es-PE"/>
        </w:rPr>
        <w:tab/>
      </w:r>
      <w:r w:rsidRPr="00BC57A2">
        <w:rPr>
          <w:i/>
          <w:sz w:val="16"/>
          <w:szCs w:val="16"/>
          <w:lang w:val="es-PE"/>
        </w:rPr>
        <w:t>Cfr</w:t>
      </w:r>
      <w:r w:rsidRPr="00BC57A2">
        <w:rPr>
          <w:sz w:val="16"/>
          <w:szCs w:val="16"/>
          <w:lang w:val="es-PE"/>
        </w:rPr>
        <w:t>.</w:t>
      </w:r>
      <w:r w:rsidRPr="00BC57A2">
        <w:rPr>
          <w:b/>
          <w:sz w:val="16"/>
          <w:szCs w:val="16"/>
          <w:lang w:val="es-PE"/>
        </w:rPr>
        <w:t xml:space="preserve"> </w:t>
      </w:r>
      <w:r w:rsidRPr="00BC57A2">
        <w:rPr>
          <w:rStyle w:val="Textoennegrita"/>
          <w:b w:val="0"/>
          <w:i/>
          <w:color w:val="000000"/>
          <w:sz w:val="16"/>
          <w:szCs w:val="16"/>
          <w:shd w:val="clear" w:color="auto" w:fill="FFFFFF"/>
          <w:lang w:val="es-CR"/>
        </w:rPr>
        <w:t>Caso Lagos del Campo Vs. Perú</w:t>
      </w:r>
      <w:r w:rsidRPr="00BC57A2">
        <w:rPr>
          <w:rStyle w:val="Textoennegrita"/>
          <w:b w:val="0"/>
          <w:color w:val="000000"/>
          <w:sz w:val="16"/>
          <w:szCs w:val="16"/>
          <w:shd w:val="clear" w:color="auto" w:fill="FFFFFF"/>
          <w:lang w:val="es-CR"/>
        </w:rPr>
        <w:t>, párr. 144</w:t>
      </w:r>
      <w:r w:rsidRPr="00BC57A2">
        <w:rPr>
          <w:sz w:val="16"/>
          <w:szCs w:val="16"/>
          <w:lang w:val="es-CR"/>
        </w:rPr>
        <w:t>, y</w:t>
      </w:r>
      <w:r w:rsidRPr="00BC57A2">
        <w:rPr>
          <w:b/>
          <w:sz w:val="16"/>
          <w:szCs w:val="16"/>
          <w:lang w:val="es-CR"/>
        </w:rPr>
        <w:t xml:space="preserve"> </w:t>
      </w:r>
      <w:r w:rsidRPr="00BC57A2">
        <w:rPr>
          <w:rStyle w:val="Textoennegrita"/>
          <w:b w:val="0"/>
          <w:i/>
          <w:color w:val="000000"/>
          <w:sz w:val="16"/>
          <w:szCs w:val="16"/>
          <w:shd w:val="clear" w:color="auto" w:fill="FFFFFF"/>
          <w:lang w:val="es-CR"/>
        </w:rPr>
        <w:t>Caso Hernández Vs. Argentina</w:t>
      </w:r>
      <w:r w:rsidRPr="00BC57A2">
        <w:rPr>
          <w:rStyle w:val="Textoennegrita"/>
          <w:b w:val="0"/>
          <w:color w:val="000000"/>
          <w:sz w:val="16"/>
          <w:szCs w:val="16"/>
          <w:shd w:val="clear" w:color="auto" w:fill="FFFFFF"/>
          <w:lang w:val="es-CR"/>
        </w:rPr>
        <w:t>, párr. 62.</w:t>
      </w:r>
    </w:p>
    <w:p w14:paraId="2FB9D7C8" w14:textId="77777777" w:rsidR="0023585A" w:rsidRPr="00BC57A2" w:rsidRDefault="0023585A" w:rsidP="007C7E7C">
      <w:pPr>
        <w:pStyle w:val="Textonotapie"/>
        <w:rPr>
          <w:b/>
          <w:sz w:val="16"/>
          <w:szCs w:val="16"/>
          <w:lang w:val="es-CR"/>
        </w:rPr>
      </w:pPr>
    </w:p>
  </w:footnote>
  <w:footnote w:id="182">
    <w:p w14:paraId="0797E4F5" w14:textId="4552E0EA" w:rsidR="0023585A" w:rsidRPr="00BC57A2" w:rsidRDefault="0023585A" w:rsidP="007C7E7C">
      <w:pPr>
        <w:pStyle w:val="Textonotapie"/>
        <w:rPr>
          <w:rStyle w:val="Textoennegrita"/>
          <w:b w:val="0"/>
          <w:color w:val="000000"/>
          <w:sz w:val="16"/>
          <w:szCs w:val="16"/>
          <w:shd w:val="clear" w:color="auto" w:fill="FFFFFF"/>
          <w:lang w:val="es-CR"/>
        </w:rPr>
      </w:pPr>
      <w:r w:rsidRPr="00BC57A2">
        <w:rPr>
          <w:rStyle w:val="Refdenotaalpie"/>
          <w:sz w:val="16"/>
          <w:szCs w:val="16"/>
        </w:rPr>
        <w:footnoteRef/>
      </w:r>
      <w:r w:rsidRPr="00BC57A2">
        <w:rPr>
          <w:sz w:val="16"/>
          <w:szCs w:val="16"/>
          <w:lang w:val="es-CR"/>
        </w:rPr>
        <w:t xml:space="preserve"> </w:t>
      </w:r>
      <w:r>
        <w:rPr>
          <w:sz w:val="16"/>
          <w:szCs w:val="16"/>
          <w:lang w:val="es-CR"/>
        </w:rPr>
        <w:tab/>
      </w:r>
      <w:r w:rsidRPr="00BC57A2">
        <w:rPr>
          <w:i/>
          <w:sz w:val="16"/>
          <w:szCs w:val="16"/>
          <w:lang w:val="es-PE"/>
        </w:rPr>
        <w:t>Cfr</w:t>
      </w:r>
      <w:r w:rsidRPr="00BC57A2">
        <w:rPr>
          <w:sz w:val="16"/>
          <w:szCs w:val="16"/>
          <w:lang w:val="es-PE"/>
        </w:rPr>
        <w:t xml:space="preserve">. </w:t>
      </w:r>
      <w:r w:rsidRPr="00BC57A2">
        <w:rPr>
          <w:rStyle w:val="Textoennegrita"/>
          <w:b w:val="0"/>
          <w:i/>
          <w:color w:val="000000"/>
          <w:sz w:val="16"/>
          <w:szCs w:val="16"/>
          <w:shd w:val="clear" w:color="auto" w:fill="FFFFFF"/>
          <w:lang w:val="es-CR"/>
        </w:rPr>
        <w:t>Caso Lagos del Campo Vs. Perú</w:t>
      </w:r>
      <w:r w:rsidRPr="00BC57A2">
        <w:rPr>
          <w:rStyle w:val="Textoennegrita"/>
          <w:b w:val="0"/>
          <w:color w:val="000000"/>
          <w:sz w:val="16"/>
          <w:szCs w:val="16"/>
          <w:shd w:val="clear" w:color="auto" w:fill="FFFFFF"/>
          <w:lang w:val="es-CR"/>
        </w:rPr>
        <w:t xml:space="preserve">, párr. 145; </w:t>
      </w:r>
      <w:r w:rsidRPr="00BC57A2">
        <w:rPr>
          <w:rStyle w:val="Textoennegrita"/>
          <w:b w:val="0"/>
          <w:i/>
          <w:color w:val="000000"/>
          <w:sz w:val="16"/>
          <w:szCs w:val="16"/>
          <w:lang w:val="es-CR"/>
        </w:rPr>
        <w:t>Caso Poblete Vilches y otros Vs. Chile</w:t>
      </w:r>
      <w:r w:rsidRPr="00BC57A2">
        <w:rPr>
          <w:rStyle w:val="Textoennegrita"/>
          <w:b w:val="0"/>
          <w:color w:val="000000"/>
          <w:sz w:val="16"/>
          <w:szCs w:val="16"/>
          <w:lang w:val="es-CR"/>
        </w:rPr>
        <w:t xml:space="preserve">, párr. 103, y </w:t>
      </w:r>
      <w:r w:rsidRPr="00BC57A2">
        <w:rPr>
          <w:rStyle w:val="Textoennegrita"/>
          <w:b w:val="0"/>
          <w:i/>
          <w:color w:val="000000"/>
          <w:sz w:val="16"/>
          <w:szCs w:val="16"/>
          <w:shd w:val="clear" w:color="auto" w:fill="FFFFFF"/>
          <w:lang w:val="es-CR"/>
        </w:rPr>
        <w:t>Caso Hernández Vs. Argentina</w:t>
      </w:r>
      <w:r w:rsidRPr="00BC57A2">
        <w:rPr>
          <w:rStyle w:val="Textoennegrita"/>
          <w:b w:val="0"/>
          <w:color w:val="000000"/>
          <w:sz w:val="16"/>
          <w:szCs w:val="16"/>
          <w:shd w:val="clear" w:color="auto" w:fill="FFFFFF"/>
          <w:lang w:val="es-CR"/>
        </w:rPr>
        <w:t>, párr. 62.</w:t>
      </w:r>
    </w:p>
    <w:p w14:paraId="6937418D" w14:textId="77777777" w:rsidR="0023585A" w:rsidRPr="00BC57A2" w:rsidRDefault="0023585A" w:rsidP="007C7E7C">
      <w:pPr>
        <w:pStyle w:val="Textonotapie"/>
        <w:rPr>
          <w:sz w:val="16"/>
          <w:szCs w:val="16"/>
          <w:lang w:val="es-CR"/>
        </w:rPr>
      </w:pPr>
    </w:p>
  </w:footnote>
  <w:footnote w:id="183">
    <w:p w14:paraId="07DAA10F" w14:textId="77777777" w:rsidR="0023585A" w:rsidRPr="00BC57A2" w:rsidRDefault="0023585A" w:rsidP="007C7E7C">
      <w:pPr>
        <w:pStyle w:val="Textonotapie"/>
        <w:rPr>
          <w:rStyle w:val="Textoennegrita"/>
          <w:b w:val="0"/>
          <w:color w:val="000000"/>
          <w:sz w:val="16"/>
          <w:szCs w:val="16"/>
          <w:shd w:val="clear" w:color="auto" w:fill="FFFFFF"/>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Ello no excluye acudir también a la normativa nacional que pudiera ser relevante (</w:t>
      </w:r>
      <w:r w:rsidRPr="00BC57A2">
        <w:rPr>
          <w:i/>
          <w:sz w:val="16"/>
          <w:szCs w:val="16"/>
          <w:lang w:val="es-CR"/>
        </w:rPr>
        <w:t>cfr.</w:t>
      </w:r>
      <w:r w:rsidRPr="00BC57A2">
        <w:rPr>
          <w:sz w:val="16"/>
          <w:szCs w:val="16"/>
          <w:lang w:val="es-CR"/>
        </w:rPr>
        <w:t xml:space="preserve"> </w:t>
      </w:r>
      <w:r w:rsidRPr="00BC57A2">
        <w:rPr>
          <w:rStyle w:val="Textoennegrita"/>
          <w:b w:val="0"/>
          <w:i/>
          <w:color w:val="000000"/>
          <w:sz w:val="16"/>
          <w:szCs w:val="16"/>
          <w:lang w:val="es-CR"/>
        </w:rPr>
        <w:t>Caso Poblete Vilches y otros Vs. Chile</w:t>
      </w:r>
      <w:r w:rsidRPr="00BC57A2">
        <w:rPr>
          <w:rStyle w:val="Textoennegrita"/>
          <w:b w:val="0"/>
          <w:color w:val="000000"/>
          <w:sz w:val="16"/>
          <w:szCs w:val="16"/>
          <w:lang w:val="es-CR"/>
        </w:rPr>
        <w:t xml:space="preserve">, párr. 103, y </w:t>
      </w:r>
      <w:r w:rsidRPr="00BC57A2">
        <w:rPr>
          <w:rStyle w:val="Textoennegrita"/>
          <w:b w:val="0"/>
          <w:i/>
          <w:color w:val="000000"/>
          <w:sz w:val="16"/>
          <w:szCs w:val="16"/>
          <w:shd w:val="clear" w:color="auto" w:fill="FFFFFF"/>
          <w:lang w:val="es-CR"/>
        </w:rPr>
        <w:t>Caso Hernández Vs. Argentina</w:t>
      </w:r>
      <w:r w:rsidRPr="00BC57A2">
        <w:rPr>
          <w:rStyle w:val="Textoennegrita"/>
          <w:b w:val="0"/>
          <w:color w:val="000000"/>
          <w:sz w:val="16"/>
          <w:szCs w:val="16"/>
          <w:shd w:val="clear" w:color="auto" w:fill="FFFFFF"/>
          <w:lang w:val="es-CR"/>
        </w:rPr>
        <w:t>, párr. 62).</w:t>
      </w:r>
    </w:p>
    <w:p w14:paraId="69615FF7" w14:textId="77777777" w:rsidR="0023585A" w:rsidRPr="00BC57A2" w:rsidRDefault="0023585A" w:rsidP="007C7E7C">
      <w:pPr>
        <w:pStyle w:val="Textonotapie"/>
        <w:rPr>
          <w:sz w:val="16"/>
          <w:szCs w:val="16"/>
          <w:lang w:val="es-CR"/>
        </w:rPr>
      </w:pPr>
    </w:p>
  </w:footnote>
  <w:footnote w:id="184">
    <w:p w14:paraId="57AB6451" w14:textId="77777777" w:rsidR="0023585A" w:rsidRPr="00BC57A2" w:rsidRDefault="0023585A" w:rsidP="007C7E7C">
      <w:pPr>
        <w:pStyle w:val="Textonotapie"/>
        <w:rPr>
          <w:sz w:val="16"/>
          <w:szCs w:val="16"/>
          <w:lang w:val="es-CR"/>
        </w:rPr>
      </w:pPr>
      <w:r w:rsidRPr="00BC57A2">
        <w:rPr>
          <w:rStyle w:val="Refdenotaalpie"/>
          <w:sz w:val="16"/>
          <w:szCs w:val="16"/>
        </w:rPr>
        <w:footnoteRef/>
      </w:r>
      <w:r w:rsidRPr="00BC57A2">
        <w:rPr>
          <w:i/>
          <w:sz w:val="16"/>
          <w:szCs w:val="16"/>
          <w:lang w:val="es-DO"/>
        </w:rPr>
        <w:t xml:space="preserve"> </w:t>
      </w:r>
      <w:r w:rsidRPr="00BC57A2">
        <w:rPr>
          <w:i/>
          <w:sz w:val="16"/>
          <w:szCs w:val="16"/>
          <w:lang w:val="es-DO"/>
        </w:rPr>
        <w:tab/>
        <w:t xml:space="preserve">Cfr. Caso familia Pacheco Tineo Vs. </w:t>
      </w:r>
      <w:r w:rsidRPr="00BC57A2">
        <w:rPr>
          <w:i/>
          <w:sz w:val="16"/>
          <w:szCs w:val="16"/>
          <w:lang w:val="es-CR"/>
        </w:rPr>
        <w:t>Bolivia. Excepciones Preliminares, Fondo, Reparaciones y Costas</w:t>
      </w:r>
      <w:r w:rsidRPr="00BC57A2">
        <w:rPr>
          <w:sz w:val="16"/>
          <w:szCs w:val="16"/>
          <w:lang w:val="es-CR"/>
        </w:rPr>
        <w:t xml:space="preserve">. Sentencia de 25 de noviembre de 2013. Serie C No. 272, párr. 143, y </w:t>
      </w:r>
      <w:r w:rsidRPr="00BC57A2">
        <w:rPr>
          <w:rStyle w:val="Textoennegrita"/>
          <w:b w:val="0"/>
          <w:i/>
          <w:color w:val="000000"/>
          <w:sz w:val="16"/>
          <w:szCs w:val="16"/>
          <w:shd w:val="clear" w:color="auto" w:fill="FFFFFF"/>
          <w:lang w:val="es-CR"/>
        </w:rPr>
        <w:t>Caso Hernández Vs. Argentina</w:t>
      </w:r>
      <w:r w:rsidRPr="00BC57A2">
        <w:rPr>
          <w:rStyle w:val="Textoennegrita"/>
          <w:b w:val="0"/>
          <w:color w:val="000000"/>
          <w:sz w:val="16"/>
          <w:szCs w:val="16"/>
          <w:shd w:val="clear" w:color="auto" w:fill="FFFFFF"/>
          <w:lang w:val="es-CR"/>
        </w:rPr>
        <w:t>, párr</w:t>
      </w:r>
      <w:r w:rsidRPr="00BC57A2">
        <w:rPr>
          <w:sz w:val="16"/>
          <w:szCs w:val="16"/>
          <w:lang w:val="es-CR"/>
        </w:rPr>
        <w:t>. 65. En la determinación de los derechos respectivos, de ser el caso, la Corte da “un especial énfasis a la Declaración Americana de los Derechos y Deberes del Hombre […], pues tal y como lo estableció este Tribunal[, l</w:t>
      </w:r>
      <w:r w:rsidRPr="00BC57A2">
        <w:rPr>
          <w:rFonts w:cs="Verdana"/>
          <w:sz w:val="16"/>
          <w:szCs w:val="16"/>
          <w:lang w:val="es-CR"/>
        </w:rPr>
        <w:t>]os Estados Miembros han entendido que la Declaración contiene y define aquellos derechos humanos esenciales a los que la Carta se refiere, de manera que no se puede interpretar y aplicar la Carta de la Organización en materia de derechos humanos, sin integrar las normas pertinentes de ella con las correspondientes disposiciones de la Declaración, como resulta de la práctica seguida por los órganos de la OEA’” (</w:t>
      </w:r>
      <w:r w:rsidRPr="00BC57A2">
        <w:rPr>
          <w:i/>
          <w:sz w:val="16"/>
          <w:szCs w:val="16"/>
          <w:lang w:val="es-CR"/>
        </w:rPr>
        <w:t>cfr.</w:t>
      </w:r>
      <w:r w:rsidRPr="00BC57A2">
        <w:rPr>
          <w:sz w:val="16"/>
          <w:szCs w:val="16"/>
          <w:lang w:val="es-CR"/>
        </w:rPr>
        <w:t xml:space="preserve"> </w:t>
      </w:r>
      <w:r w:rsidRPr="00BC57A2">
        <w:rPr>
          <w:i/>
          <w:sz w:val="16"/>
          <w:szCs w:val="16"/>
          <w:lang w:val="es-CR"/>
        </w:rPr>
        <w:t>Interpretación de la Declaración Americana de los Derechos y Deberes del Hombre, en el marco del artículo 64 de la Convención Americana sobre Derechos Humanos.</w:t>
      </w:r>
      <w:r w:rsidRPr="00BC57A2">
        <w:rPr>
          <w:sz w:val="16"/>
          <w:szCs w:val="16"/>
          <w:lang w:val="es-CR"/>
        </w:rPr>
        <w:t xml:space="preserve"> </w:t>
      </w:r>
      <w:r w:rsidRPr="00BC57A2">
        <w:rPr>
          <w:i/>
          <w:sz w:val="16"/>
          <w:szCs w:val="16"/>
          <w:lang w:val="es-CR"/>
        </w:rPr>
        <w:t>Opinión Consultiva OC-10/89</w:t>
      </w:r>
      <w:r w:rsidRPr="00BC57A2">
        <w:rPr>
          <w:sz w:val="16"/>
          <w:szCs w:val="16"/>
          <w:lang w:val="es-CR"/>
        </w:rPr>
        <w:t xml:space="preserve"> de 14 de julio de 1989. Serie A No. 10. párr. 43, y</w:t>
      </w:r>
      <w:r w:rsidRPr="00BC57A2">
        <w:rPr>
          <w:rStyle w:val="Textoennegrita"/>
          <w:i/>
          <w:color w:val="000000"/>
          <w:sz w:val="16"/>
          <w:szCs w:val="16"/>
          <w:shd w:val="clear" w:color="auto" w:fill="FFFFFF"/>
          <w:lang w:val="es-CR"/>
        </w:rPr>
        <w:t xml:space="preserve"> </w:t>
      </w:r>
      <w:r w:rsidRPr="00BC57A2">
        <w:rPr>
          <w:rStyle w:val="Textoennegrita"/>
          <w:b w:val="0"/>
          <w:i/>
          <w:color w:val="000000"/>
          <w:sz w:val="16"/>
          <w:szCs w:val="16"/>
          <w:shd w:val="clear" w:color="auto" w:fill="FFFFFF"/>
          <w:lang w:val="es-CR"/>
        </w:rPr>
        <w:t>Caso Hernández Vs. Argentina</w:t>
      </w:r>
      <w:r w:rsidRPr="00BC57A2">
        <w:rPr>
          <w:rStyle w:val="Textoennegrita"/>
          <w:b w:val="0"/>
          <w:color w:val="000000"/>
          <w:sz w:val="16"/>
          <w:szCs w:val="16"/>
          <w:shd w:val="clear" w:color="auto" w:fill="FFFFFF"/>
          <w:lang w:val="es-CR"/>
        </w:rPr>
        <w:t>, párr</w:t>
      </w:r>
      <w:r w:rsidRPr="00AA5828">
        <w:rPr>
          <w:sz w:val="16"/>
          <w:szCs w:val="16"/>
          <w:lang w:val="es-CR"/>
        </w:rPr>
        <w:t>.</w:t>
      </w:r>
      <w:r w:rsidRPr="00BC57A2">
        <w:rPr>
          <w:sz w:val="16"/>
          <w:szCs w:val="16"/>
          <w:lang w:val="es-CR"/>
        </w:rPr>
        <w:t xml:space="preserve"> 66).</w:t>
      </w:r>
    </w:p>
    <w:p w14:paraId="65344C3E" w14:textId="77777777" w:rsidR="0023585A" w:rsidRPr="00BC57A2" w:rsidRDefault="0023585A" w:rsidP="007C7E7C">
      <w:pPr>
        <w:pStyle w:val="Textonotapie"/>
        <w:rPr>
          <w:sz w:val="16"/>
          <w:szCs w:val="16"/>
          <w:lang w:val="es-CR"/>
        </w:rPr>
      </w:pPr>
    </w:p>
  </w:footnote>
  <w:footnote w:id="185">
    <w:p w14:paraId="225DD80B" w14:textId="77777777" w:rsidR="0023585A" w:rsidRPr="00BC57A2" w:rsidRDefault="0023585A" w:rsidP="007C7E7C">
      <w:pPr>
        <w:pStyle w:val="Textonotapie"/>
        <w:rPr>
          <w:rStyle w:val="Textoennegrita"/>
          <w:b w:val="0"/>
          <w:color w:val="000000"/>
          <w:sz w:val="16"/>
          <w:szCs w:val="16"/>
          <w:shd w:val="clear" w:color="auto" w:fill="FFFFFF"/>
          <w:lang w:val="es-CR"/>
        </w:rPr>
      </w:pPr>
      <w:r w:rsidRPr="00BC57A2">
        <w:rPr>
          <w:rStyle w:val="Refdenotaalpie"/>
          <w:sz w:val="16"/>
          <w:szCs w:val="16"/>
        </w:rPr>
        <w:footnoteRef/>
      </w:r>
      <w:r w:rsidRPr="00BC57A2">
        <w:rPr>
          <w:i/>
          <w:sz w:val="16"/>
          <w:szCs w:val="16"/>
          <w:lang w:val="es-CR"/>
        </w:rPr>
        <w:t xml:space="preserve"> </w:t>
      </w:r>
      <w:r w:rsidRPr="00BC57A2">
        <w:rPr>
          <w:i/>
          <w:sz w:val="16"/>
          <w:szCs w:val="16"/>
          <w:lang w:val="es-CR"/>
        </w:rPr>
        <w:tab/>
        <w:t>Cfr. Caso Gelman Vs. Uruguay. Fondo y Reparaciones</w:t>
      </w:r>
      <w:r w:rsidRPr="00BC57A2">
        <w:rPr>
          <w:sz w:val="16"/>
          <w:szCs w:val="16"/>
          <w:lang w:val="es-CR"/>
        </w:rPr>
        <w:t xml:space="preserve">. Sentencia de 24 de febrero de 2011. Serie C No. 221, párr. 78 y 121; </w:t>
      </w:r>
      <w:r w:rsidRPr="00BC57A2">
        <w:rPr>
          <w:i/>
          <w:sz w:val="16"/>
          <w:szCs w:val="16"/>
          <w:lang w:val="es-CR"/>
        </w:rPr>
        <w:t xml:space="preserve">Caso Atala Riffo y niñas Vs. </w:t>
      </w:r>
      <w:r w:rsidRPr="00BC57A2">
        <w:rPr>
          <w:i/>
          <w:sz w:val="16"/>
          <w:szCs w:val="16"/>
          <w:lang w:val="es-ES"/>
        </w:rPr>
        <w:t xml:space="preserve">Chile. </w:t>
      </w:r>
      <w:r w:rsidRPr="00BC57A2">
        <w:rPr>
          <w:i/>
          <w:sz w:val="16"/>
          <w:szCs w:val="16"/>
          <w:lang w:val="es-CR"/>
        </w:rPr>
        <w:t>Fondo, Reparaciones y Costas</w:t>
      </w:r>
      <w:r w:rsidRPr="00BC57A2">
        <w:rPr>
          <w:sz w:val="16"/>
          <w:szCs w:val="16"/>
          <w:lang w:val="es-CR"/>
        </w:rPr>
        <w:t xml:space="preserve">. Sentencia de 24 de febrero de 2012. Serie C No. 239, párr. 83; </w:t>
      </w:r>
      <w:r w:rsidRPr="00BC57A2">
        <w:rPr>
          <w:i/>
          <w:sz w:val="16"/>
          <w:szCs w:val="16"/>
          <w:lang w:val="es-DO"/>
        </w:rPr>
        <w:t xml:space="preserve">Caso familia Pacheco Tineo Vs. </w:t>
      </w:r>
      <w:r w:rsidRPr="00BC57A2">
        <w:rPr>
          <w:i/>
          <w:sz w:val="16"/>
          <w:szCs w:val="16"/>
          <w:lang w:val="es-CR"/>
        </w:rPr>
        <w:t>Bolivia</w:t>
      </w:r>
      <w:r w:rsidRPr="00BC57A2">
        <w:rPr>
          <w:sz w:val="16"/>
          <w:szCs w:val="16"/>
          <w:lang w:val="es-CR"/>
        </w:rPr>
        <w:t xml:space="preserve">, párr. 129; </w:t>
      </w:r>
      <w:r w:rsidRPr="00BC57A2">
        <w:rPr>
          <w:i/>
          <w:sz w:val="16"/>
          <w:szCs w:val="16"/>
          <w:lang w:val="es-ES"/>
        </w:rPr>
        <w:t xml:space="preserve">Caso I.V. Vs. Bolivia. </w:t>
      </w:r>
      <w:r w:rsidRPr="00BC57A2">
        <w:rPr>
          <w:i/>
          <w:sz w:val="16"/>
          <w:szCs w:val="16"/>
          <w:lang w:val="es-CR"/>
        </w:rPr>
        <w:t>Excepciones Preliminares, Fondo, Reparaciones y Costas.</w:t>
      </w:r>
      <w:r w:rsidRPr="00BC57A2">
        <w:rPr>
          <w:sz w:val="16"/>
          <w:szCs w:val="16"/>
          <w:lang w:val="es-CR"/>
        </w:rPr>
        <w:t xml:space="preserve"> Sentencia de 30 de noviembre de 2016. Serie C No. 329, párr. 168; </w:t>
      </w:r>
      <w:r w:rsidRPr="00BC57A2">
        <w:rPr>
          <w:rStyle w:val="Textoennegrita"/>
          <w:rFonts w:cstheme="minorHAnsi"/>
          <w:b w:val="0"/>
          <w:i/>
          <w:color w:val="000000"/>
          <w:sz w:val="16"/>
          <w:szCs w:val="16"/>
          <w:lang w:val="es-CR"/>
        </w:rPr>
        <w:t>Caso Lagos del Campo Vs. Perú</w:t>
      </w:r>
      <w:r w:rsidRPr="00BC57A2">
        <w:rPr>
          <w:i/>
          <w:sz w:val="16"/>
          <w:szCs w:val="16"/>
          <w:lang w:val="es-CR"/>
        </w:rPr>
        <w:t>,</w:t>
      </w:r>
      <w:r w:rsidRPr="00BC57A2">
        <w:rPr>
          <w:sz w:val="16"/>
          <w:szCs w:val="16"/>
          <w:lang w:val="es-ES"/>
        </w:rPr>
        <w:t xml:space="preserve"> párr. 145;</w:t>
      </w:r>
      <w:r w:rsidRPr="00BC57A2">
        <w:rPr>
          <w:rStyle w:val="Textoennegrita"/>
          <w:i/>
          <w:color w:val="000000"/>
          <w:sz w:val="16"/>
          <w:szCs w:val="16"/>
          <w:shd w:val="clear" w:color="auto" w:fill="FFFFFF"/>
          <w:lang w:val="es-CR"/>
        </w:rPr>
        <w:t xml:space="preserve"> </w:t>
      </w:r>
      <w:r w:rsidRPr="00BC57A2">
        <w:rPr>
          <w:rStyle w:val="Textoennegrita"/>
          <w:b w:val="0"/>
          <w:i/>
          <w:color w:val="000000"/>
          <w:sz w:val="16"/>
          <w:szCs w:val="16"/>
          <w:shd w:val="clear" w:color="auto" w:fill="FFFFFF"/>
          <w:lang w:val="es-CR"/>
        </w:rPr>
        <w:t>Caso Poblete Vilches y Otros Vs. Chile</w:t>
      </w:r>
      <w:r w:rsidRPr="00BC57A2">
        <w:rPr>
          <w:rStyle w:val="Textoennegrita"/>
          <w:b w:val="0"/>
          <w:color w:val="000000"/>
          <w:sz w:val="16"/>
          <w:szCs w:val="16"/>
          <w:shd w:val="clear" w:color="auto" w:fill="FFFFFF"/>
          <w:lang w:val="es-CR"/>
        </w:rPr>
        <w:t>,</w:t>
      </w:r>
      <w:r w:rsidRPr="00BC57A2">
        <w:rPr>
          <w:sz w:val="16"/>
          <w:szCs w:val="16"/>
          <w:lang w:val="es-CR"/>
        </w:rPr>
        <w:t xml:space="preserve"> párr. 103; </w:t>
      </w:r>
      <w:r w:rsidRPr="00BC57A2">
        <w:rPr>
          <w:rFonts w:cstheme="minorHAnsi"/>
          <w:i/>
          <w:sz w:val="16"/>
          <w:szCs w:val="16"/>
          <w:lang w:val="es-CR"/>
        </w:rPr>
        <w:t>Caso Cuscul Pivaral y otros Vs. Guatemala</w:t>
      </w:r>
      <w:r w:rsidRPr="00BC57A2">
        <w:rPr>
          <w:sz w:val="16"/>
          <w:szCs w:val="16"/>
          <w:lang w:val="es-CR"/>
        </w:rPr>
        <w:t xml:space="preserve">, párr. 100, y </w:t>
      </w:r>
      <w:r w:rsidRPr="00BC57A2">
        <w:rPr>
          <w:i/>
          <w:sz w:val="16"/>
          <w:szCs w:val="16"/>
          <w:lang w:val="es-CR"/>
        </w:rPr>
        <w:t>Caso Asociación Nacional de Cesantes y Jubilados de la Superintendencia Nacional de Administración Tributaria (ANCEJUB-SUNAT) Vs. Perú</w:t>
      </w:r>
      <w:r w:rsidRPr="00BC57A2">
        <w:rPr>
          <w:sz w:val="16"/>
          <w:szCs w:val="16"/>
          <w:lang w:val="es-CR"/>
        </w:rPr>
        <w:t xml:space="preserve">, párr. 158; </w:t>
      </w:r>
      <w:r w:rsidRPr="00BC57A2">
        <w:rPr>
          <w:rStyle w:val="Textoennegrita"/>
          <w:b w:val="0"/>
          <w:i/>
          <w:color w:val="000000"/>
          <w:sz w:val="16"/>
          <w:szCs w:val="16"/>
          <w:shd w:val="clear" w:color="auto" w:fill="FFFFFF"/>
          <w:lang w:val="es-CR"/>
        </w:rPr>
        <w:t>Caso Hernández Vs. Argentina</w:t>
      </w:r>
      <w:r w:rsidRPr="00BC57A2">
        <w:rPr>
          <w:rStyle w:val="Textoennegrita"/>
          <w:b w:val="0"/>
          <w:color w:val="000000"/>
          <w:sz w:val="16"/>
          <w:szCs w:val="16"/>
          <w:shd w:val="clear" w:color="auto" w:fill="FFFFFF"/>
          <w:lang w:val="es-CR"/>
        </w:rPr>
        <w:t xml:space="preserve">, párr. 65. </w:t>
      </w:r>
    </w:p>
    <w:p w14:paraId="0535D898" w14:textId="77777777" w:rsidR="0023585A" w:rsidRPr="00BC57A2" w:rsidRDefault="0023585A" w:rsidP="007C7E7C">
      <w:pPr>
        <w:pStyle w:val="Textonotapie"/>
        <w:rPr>
          <w:sz w:val="16"/>
          <w:szCs w:val="16"/>
          <w:lang w:val="es-CR"/>
        </w:rPr>
      </w:pPr>
    </w:p>
  </w:footnote>
  <w:footnote w:id="186">
    <w:p w14:paraId="7DC2F457" w14:textId="584CB2C7" w:rsidR="0023585A" w:rsidRPr="00BC57A2" w:rsidRDefault="0023585A" w:rsidP="007C7E7C">
      <w:pPr>
        <w:pStyle w:val="Textonotapie"/>
        <w:rPr>
          <w:rStyle w:val="Textoennegrita"/>
          <w:color w:val="000000"/>
          <w:sz w:val="16"/>
          <w:szCs w:val="16"/>
          <w:shd w:val="clear" w:color="auto" w:fill="FFFFFF"/>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 xml:space="preserve">Cfr. </w:t>
      </w:r>
      <w:r w:rsidRPr="00BC57A2">
        <w:rPr>
          <w:rStyle w:val="Textoennegrita"/>
          <w:b w:val="0"/>
          <w:i/>
          <w:color w:val="000000"/>
          <w:sz w:val="16"/>
          <w:szCs w:val="16"/>
          <w:shd w:val="clear" w:color="auto" w:fill="FFFFFF"/>
          <w:lang w:val="es-CR"/>
        </w:rPr>
        <w:t>Caso Muelle Flores Vs. Perú</w:t>
      </w:r>
      <w:r w:rsidRPr="00BC57A2">
        <w:rPr>
          <w:rStyle w:val="Textoennegrita"/>
          <w:b w:val="0"/>
          <w:color w:val="000000"/>
          <w:sz w:val="16"/>
          <w:szCs w:val="16"/>
          <w:shd w:val="clear" w:color="auto" w:fill="FFFFFF"/>
          <w:lang w:val="es-CR"/>
        </w:rPr>
        <w:t>, párr. 176</w:t>
      </w:r>
      <w:r>
        <w:rPr>
          <w:sz w:val="16"/>
          <w:szCs w:val="16"/>
          <w:lang w:val="es-PE"/>
        </w:rPr>
        <w:t>,</w:t>
      </w:r>
      <w:r w:rsidRPr="00BC57A2">
        <w:rPr>
          <w:sz w:val="16"/>
          <w:szCs w:val="16"/>
          <w:lang w:val="es-PE"/>
        </w:rPr>
        <w:t xml:space="preserve"> y</w:t>
      </w:r>
      <w:r w:rsidRPr="00BC57A2">
        <w:rPr>
          <w:b/>
          <w:sz w:val="16"/>
          <w:szCs w:val="16"/>
          <w:lang w:val="es-PE"/>
        </w:rPr>
        <w:t xml:space="preserve"> </w:t>
      </w:r>
      <w:r w:rsidRPr="00BC57A2">
        <w:rPr>
          <w:rStyle w:val="Textoennegrita"/>
          <w:b w:val="0"/>
          <w:i/>
          <w:color w:val="000000"/>
          <w:sz w:val="16"/>
          <w:szCs w:val="16"/>
          <w:shd w:val="clear" w:color="auto" w:fill="FFFFFF"/>
          <w:lang w:val="es-CR"/>
        </w:rPr>
        <w:t>Caso Hernández Vs. Argentina</w:t>
      </w:r>
      <w:r w:rsidRPr="00BC57A2">
        <w:rPr>
          <w:rStyle w:val="Textoennegrita"/>
          <w:b w:val="0"/>
          <w:color w:val="000000"/>
          <w:sz w:val="16"/>
          <w:szCs w:val="16"/>
          <w:shd w:val="clear" w:color="auto" w:fill="FFFFFF"/>
          <w:lang w:val="es-CR"/>
        </w:rPr>
        <w:t>, párr. 65.</w:t>
      </w:r>
      <w:r w:rsidRPr="00BC57A2">
        <w:rPr>
          <w:rStyle w:val="Textoennegrita"/>
          <w:color w:val="000000"/>
          <w:sz w:val="16"/>
          <w:szCs w:val="16"/>
          <w:shd w:val="clear" w:color="auto" w:fill="FFFFFF"/>
          <w:lang w:val="es-CR"/>
        </w:rPr>
        <w:t xml:space="preserve"> </w:t>
      </w:r>
    </w:p>
    <w:p w14:paraId="3B24A57E" w14:textId="77777777" w:rsidR="0023585A" w:rsidRPr="00BC57A2" w:rsidRDefault="0023585A" w:rsidP="007C7E7C">
      <w:pPr>
        <w:pStyle w:val="Textonotapie"/>
        <w:rPr>
          <w:sz w:val="16"/>
          <w:szCs w:val="16"/>
          <w:lang w:val="es-CR"/>
        </w:rPr>
      </w:pPr>
    </w:p>
  </w:footnote>
  <w:footnote w:id="187">
    <w:p w14:paraId="07ED9E3B" w14:textId="178B57E3" w:rsidR="0023585A" w:rsidRPr="00BC57A2" w:rsidRDefault="0023585A" w:rsidP="007C7E7C">
      <w:pPr>
        <w:pStyle w:val="Textonotapie"/>
        <w:rPr>
          <w:rStyle w:val="Textoennegrita"/>
          <w:b w:val="0"/>
          <w:color w:val="000000"/>
          <w:sz w:val="16"/>
          <w:szCs w:val="16"/>
          <w:shd w:val="clear" w:color="auto" w:fill="FFFFFF"/>
          <w:lang w:val="es-CR"/>
        </w:rPr>
      </w:pPr>
      <w:r w:rsidRPr="00BC57A2">
        <w:rPr>
          <w:rStyle w:val="Refdenotaalpie"/>
          <w:sz w:val="16"/>
          <w:szCs w:val="16"/>
        </w:rPr>
        <w:footnoteRef/>
      </w:r>
      <w:r w:rsidRPr="00BC57A2">
        <w:rPr>
          <w:sz w:val="16"/>
          <w:szCs w:val="16"/>
          <w:lang w:val="es-CR"/>
        </w:rPr>
        <w:t xml:space="preserve"> </w:t>
      </w:r>
      <w:r>
        <w:rPr>
          <w:sz w:val="16"/>
          <w:szCs w:val="16"/>
          <w:lang w:val="es-CR"/>
        </w:rPr>
        <w:tab/>
      </w:r>
      <w:r w:rsidRPr="00BC57A2">
        <w:rPr>
          <w:i/>
          <w:sz w:val="16"/>
          <w:szCs w:val="16"/>
          <w:lang w:val="es-CR"/>
        </w:rPr>
        <w:t>Cfr</w:t>
      </w:r>
      <w:r w:rsidRPr="00BC57A2">
        <w:rPr>
          <w:sz w:val="16"/>
          <w:szCs w:val="16"/>
          <w:lang w:val="es-CR"/>
        </w:rPr>
        <w:t xml:space="preserve">. </w:t>
      </w:r>
      <w:r w:rsidRPr="00BC57A2">
        <w:rPr>
          <w:i/>
          <w:sz w:val="16"/>
          <w:szCs w:val="16"/>
          <w:lang w:val="es-CR"/>
        </w:rPr>
        <w:t>El Derecho a la Información sobre la Asistencia Consular en el Marco de las Garantías del Debido Proceso Legal.</w:t>
      </w:r>
      <w:r w:rsidRPr="00BC57A2">
        <w:rPr>
          <w:sz w:val="16"/>
          <w:szCs w:val="16"/>
          <w:lang w:val="es-CR"/>
        </w:rPr>
        <w:t xml:space="preserve"> </w:t>
      </w:r>
      <w:r w:rsidRPr="00BC57A2">
        <w:rPr>
          <w:i/>
          <w:sz w:val="16"/>
          <w:szCs w:val="16"/>
          <w:lang w:val="es-CR"/>
        </w:rPr>
        <w:t>Opinión Consultiva OC-16/99</w:t>
      </w:r>
      <w:r w:rsidRPr="00BC57A2">
        <w:rPr>
          <w:sz w:val="16"/>
          <w:szCs w:val="16"/>
          <w:lang w:val="es-CR"/>
        </w:rPr>
        <w:t xml:space="preserve"> de 1 de octubre de 1999. Serie A No. 16, párr. 114</w:t>
      </w:r>
      <w:r w:rsidRPr="00BC57A2">
        <w:rPr>
          <w:i/>
          <w:sz w:val="16"/>
          <w:szCs w:val="16"/>
          <w:lang w:val="es-CR"/>
        </w:rPr>
        <w:t xml:space="preserve">, </w:t>
      </w:r>
      <w:r w:rsidRPr="00BC57A2">
        <w:rPr>
          <w:sz w:val="16"/>
          <w:szCs w:val="16"/>
          <w:lang w:val="es-CR"/>
        </w:rPr>
        <w:t>y</w:t>
      </w:r>
      <w:r w:rsidRPr="00BC57A2">
        <w:rPr>
          <w:i/>
          <w:sz w:val="16"/>
          <w:szCs w:val="16"/>
          <w:lang w:val="es-CR"/>
        </w:rPr>
        <w:t xml:space="preserve"> </w:t>
      </w:r>
      <w:r w:rsidRPr="00BC57A2">
        <w:rPr>
          <w:rStyle w:val="Textoennegrita"/>
          <w:b w:val="0"/>
          <w:i/>
          <w:color w:val="000000"/>
          <w:sz w:val="16"/>
          <w:szCs w:val="16"/>
          <w:shd w:val="clear" w:color="auto" w:fill="FFFFFF"/>
          <w:lang w:val="es-CR"/>
        </w:rPr>
        <w:t>Caso Hernández Vs. Argentina</w:t>
      </w:r>
      <w:r w:rsidRPr="00BC57A2">
        <w:rPr>
          <w:rStyle w:val="Textoennegrita"/>
          <w:b w:val="0"/>
          <w:color w:val="000000"/>
          <w:sz w:val="16"/>
          <w:szCs w:val="16"/>
          <w:shd w:val="clear" w:color="auto" w:fill="FFFFFF"/>
          <w:lang w:val="es-CR"/>
        </w:rPr>
        <w:t>, párr. 67.</w:t>
      </w:r>
    </w:p>
    <w:p w14:paraId="41DBED8A" w14:textId="77777777" w:rsidR="0023585A" w:rsidRPr="00BC57A2" w:rsidRDefault="0023585A" w:rsidP="007C7E7C">
      <w:pPr>
        <w:pStyle w:val="Textonotapie"/>
        <w:rPr>
          <w:b/>
          <w:sz w:val="16"/>
          <w:szCs w:val="16"/>
          <w:lang w:val="es-PE"/>
        </w:rPr>
      </w:pPr>
    </w:p>
  </w:footnote>
  <w:footnote w:id="188">
    <w:p w14:paraId="2D349223" w14:textId="77777777" w:rsidR="0023585A" w:rsidRPr="00BC57A2" w:rsidRDefault="0023585A" w:rsidP="007C7E7C">
      <w:pPr>
        <w:pStyle w:val="Textonotapie"/>
        <w:rPr>
          <w:rStyle w:val="Textoennegrita"/>
          <w:b w:val="0"/>
          <w:color w:val="000000"/>
          <w:sz w:val="16"/>
          <w:szCs w:val="16"/>
          <w:shd w:val="clear" w:color="auto" w:fill="FFFFFF"/>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Caso Asociación Nacional de Cesantes y Jubilados de la Superintendencia Nacional de Administración Tributaria (ANCEJUB-SUNAT) Vs. Perú</w:t>
      </w:r>
      <w:r w:rsidRPr="00BC57A2">
        <w:rPr>
          <w:sz w:val="16"/>
          <w:szCs w:val="16"/>
          <w:lang w:val="es-CR"/>
        </w:rPr>
        <w:t xml:space="preserve">, párr. 160, y </w:t>
      </w:r>
      <w:r w:rsidRPr="00BC57A2">
        <w:rPr>
          <w:rStyle w:val="Textoennegrita"/>
          <w:b w:val="0"/>
          <w:i/>
          <w:color w:val="000000"/>
          <w:sz w:val="16"/>
          <w:szCs w:val="16"/>
          <w:shd w:val="clear" w:color="auto" w:fill="FFFFFF"/>
          <w:lang w:val="es-CR"/>
        </w:rPr>
        <w:t>Caso Hernández Vs. Argentina</w:t>
      </w:r>
      <w:r w:rsidRPr="00BC57A2">
        <w:rPr>
          <w:rStyle w:val="Textoennegrita"/>
          <w:b w:val="0"/>
          <w:color w:val="000000"/>
          <w:sz w:val="16"/>
          <w:szCs w:val="16"/>
          <w:shd w:val="clear" w:color="auto" w:fill="FFFFFF"/>
          <w:lang w:val="es-CR"/>
        </w:rPr>
        <w:t>, párr. 67.</w:t>
      </w:r>
    </w:p>
    <w:p w14:paraId="54D71BBC" w14:textId="77777777" w:rsidR="0023585A" w:rsidRPr="00BC57A2" w:rsidRDefault="0023585A" w:rsidP="007C7E7C">
      <w:pPr>
        <w:pStyle w:val="Textonotapie"/>
        <w:rPr>
          <w:sz w:val="16"/>
          <w:szCs w:val="16"/>
          <w:lang w:val="es-CR"/>
        </w:rPr>
      </w:pPr>
    </w:p>
  </w:footnote>
  <w:footnote w:id="189">
    <w:p w14:paraId="5B4FDF06" w14:textId="77777777" w:rsidR="0023585A" w:rsidRPr="00BC57A2" w:rsidRDefault="0023585A" w:rsidP="007C7E7C">
      <w:pPr>
        <w:pStyle w:val="Textonotapie"/>
        <w:rPr>
          <w:rStyle w:val="Textoennegrita"/>
          <w:b w:val="0"/>
          <w:color w:val="000000"/>
          <w:sz w:val="16"/>
          <w:szCs w:val="16"/>
          <w:shd w:val="clear" w:color="auto" w:fill="FFFFFF"/>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Así lo ha señalado también la Corte anteriormente (</w:t>
      </w:r>
      <w:r w:rsidRPr="00BC57A2">
        <w:rPr>
          <w:i/>
          <w:sz w:val="16"/>
          <w:szCs w:val="16"/>
          <w:lang w:val="es-CR"/>
        </w:rPr>
        <w:t>cfr.</w:t>
      </w:r>
      <w:r w:rsidRPr="00BC57A2">
        <w:rPr>
          <w:sz w:val="16"/>
          <w:szCs w:val="16"/>
          <w:lang w:val="es-CR"/>
        </w:rPr>
        <w:t xml:space="preserve"> </w:t>
      </w:r>
      <w:r w:rsidRPr="00BC57A2">
        <w:rPr>
          <w:i/>
          <w:sz w:val="16"/>
          <w:szCs w:val="16"/>
          <w:lang w:val="es-CR"/>
        </w:rPr>
        <w:t>Caso Cuscul Pivaral y otros Vs. Guatemala</w:t>
      </w:r>
      <w:r w:rsidRPr="00BC57A2">
        <w:rPr>
          <w:sz w:val="16"/>
          <w:szCs w:val="16"/>
          <w:lang w:val="es-CR"/>
        </w:rPr>
        <w:t xml:space="preserve">, párr. 101, y </w:t>
      </w:r>
      <w:r w:rsidRPr="00BC57A2">
        <w:rPr>
          <w:rStyle w:val="Textoennegrita"/>
          <w:b w:val="0"/>
          <w:i/>
          <w:color w:val="000000"/>
          <w:sz w:val="16"/>
          <w:szCs w:val="16"/>
          <w:shd w:val="clear" w:color="auto" w:fill="FFFFFF"/>
          <w:lang w:val="es-CR"/>
        </w:rPr>
        <w:t>Caso Hernández Vs. Argentina</w:t>
      </w:r>
      <w:r w:rsidRPr="00BC57A2">
        <w:rPr>
          <w:rStyle w:val="Textoennegrita"/>
          <w:b w:val="0"/>
          <w:color w:val="000000"/>
          <w:sz w:val="16"/>
          <w:szCs w:val="16"/>
          <w:shd w:val="clear" w:color="auto" w:fill="FFFFFF"/>
          <w:lang w:val="es-CR"/>
        </w:rPr>
        <w:t>, párr. 66).</w:t>
      </w:r>
    </w:p>
    <w:p w14:paraId="222BE051" w14:textId="77777777" w:rsidR="0023585A" w:rsidRPr="00BC57A2" w:rsidRDefault="0023585A" w:rsidP="007C7E7C">
      <w:pPr>
        <w:pStyle w:val="Textonotapie"/>
        <w:rPr>
          <w:sz w:val="16"/>
          <w:szCs w:val="16"/>
          <w:lang w:val="es-CR"/>
        </w:rPr>
      </w:pPr>
    </w:p>
  </w:footnote>
  <w:footnote w:id="190">
    <w:p w14:paraId="084955ED" w14:textId="77777777" w:rsidR="0023585A" w:rsidRPr="00BC57A2" w:rsidRDefault="0023585A" w:rsidP="007C7E7C">
      <w:pPr>
        <w:pStyle w:val="Textonotapie"/>
        <w:rPr>
          <w:rStyle w:val="Textoennegrita"/>
          <w:b w:val="0"/>
          <w:color w:val="000000"/>
          <w:sz w:val="16"/>
          <w:szCs w:val="16"/>
          <w:shd w:val="clear" w:color="auto" w:fill="FFFFFF"/>
          <w:lang w:val="es-CR"/>
        </w:rPr>
      </w:pPr>
      <w:r w:rsidRPr="00BC57A2">
        <w:rPr>
          <w:rStyle w:val="Refdenotaalpie"/>
          <w:sz w:val="16"/>
          <w:szCs w:val="16"/>
        </w:rPr>
        <w:footnoteRef/>
      </w:r>
      <w:r w:rsidRPr="00BC57A2">
        <w:rPr>
          <w:i/>
          <w:sz w:val="16"/>
          <w:szCs w:val="16"/>
          <w:lang w:val="es-DO"/>
        </w:rPr>
        <w:t xml:space="preserve"> </w:t>
      </w:r>
      <w:r w:rsidRPr="00BC57A2">
        <w:rPr>
          <w:i/>
          <w:sz w:val="16"/>
          <w:szCs w:val="16"/>
          <w:lang w:val="es-DO"/>
        </w:rPr>
        <w:tab/>
        <w:t xml:space="preserve">Cfr. Caso familia Pacheco Tineo Vs. </w:t>
      </w:r>
      <w:r w:rsidRPr="00BC57A2">
        <w:rPr>
          <w:i/>
          <w:sz w:val="16"/>
          <w:szCs w:val="16"/>
          <w:lang w:val="es-CR"/>
        </w:rPr>
        <w:t>Bolivia</w:t>
      </w:r>
      <w:r w:rsidRPr="00BC57A2">
        <w:rPr>
          <w:sz w:val="16"/>
          <w:szCs w:val="16"/>
          <w:lang w:val="es-CR"/>
        </w:rPr>
        <w:t xml:space="preserve">, párr. 143, y </w:t>
      </w:r>
      <w:r w:rsidRPr="00BC57A2">
        <w:rPr>
          <w:rStyle w:val="Textoennegrita"/>
          <w:b w:val="0"/>
          <w:i/>
          <w:color w:val="000000"/>
          <w:sz w:val="16"/>
          <w:szCs w:val="16"/>
          <w:shd w:val="clear" w:color="auto" w:fill="FFFFFF"/>
          <w:lang w:val="es-CR"/>
        </w:rPr>
        <w:t>Caso Hernández Vs. Argentina</w:t>
      </w:r>
      <w:r w:rsidRPr="00BC57A2">
        <w:rPr>
          <w:rStyle w:val="Textoennegrita"/>
          <w:b w:val="0"/>
          <w:color w:val="000000"/>
          <w:sz w:val="16"/>
          <w:szCs w:val="16"/>
          <w:shd w:val="clear" w:color="auto" w:fill="FFFFFF"/>
          <w:lang w:val="es-CR"/>
        </w:rPr>
        <w:t>, párr. 66.</w:t>
      </w:r>
    </w:p>
    <w:p w14:paraId="0072180E" w14:textId="77777777" w:rsidR="0023585A" w:rsidRPr="00BC57A2" w:rsidRDefault="0023585A" w:rsidP="007C7E7C">
      <w:pPr>
        <w:pStyle w:val="Textonotapie"/>
        <w:rPr>
          <w:sz w:val="16"/>
          <w:szCs w:val="16"/>
          <w:lang w:val="es-CR"/>
        </w:rPr>
      </w:pPr>
    </w:p>
  </w:footnote>
  <w:footnote w:id="191">
    <w:p w14:paraId="341171FB" w14:textId="77777777" w:rsidR="0023585A" w:rsidRPr="00BC57A2" w:rsidRDefault="0023585A" w:rsidP="007C7E7C">
      <w:pPr>
        <w:pStyle w:val="Textonotapie"/>
        <w:rPr>
          <w:rStyle w:val="Textoennegrita"/>
          <w:b w:val="0"/>
          <w:color w:val="000000"/>
          <w:sz w:val="16"/>
          <w:szCs w:val="16"/>
          <w:shd w:val="clear" w:color="auto" w:fill="FFFFFF"/>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 xml:space="preserve">Cfr. </w:t>
      </w:r>
      <w:r w:rsidRPr="00BC57A2">
        <w:rPr>
          <w:i/>
          <w:sz w:val="16"/>
          <w:szCs w:val="16"/>
          <w:lang w:val="es-DO"/>
        </w:rPr>
        <w:t>Caso Velásquez Rodríguez Vs. Honduras. Fondo</w:t>
      </w:r>
      <w:r w:rsidRPr="00BC57A2">
        <w:rPr>
          <w:sz w:val="16"/>
          <w:szCs w:val="16"/>
          <w:lang w:val="es-DO"/>
        </w:rPr>
        <w:t>, párr. 163</w:t>
      </w:r>
      <w:r w:rsidRPr="00BC57A2">
        <w:rPr>
          <w:sz w:val="16"/>
          <w:szCs w:val="16"/>
          <w:lang w:val="es-CR"/>
        </w:rPr>
        <w:t xml:space="preserve">, y </w:t>
      </w:r>
      <w:r w:rsidRPr="00BC57A2">
        <w:rPr>
          <w:rStyle w:val="Textoennegrita"/>
          <w:b w:val="0"/>
          <w:i/>
          <w:color w:val="000000"/>
          <w:sz w:val="16"/>
          <w:szCs w:val="16"/>
          <w:shd w:val="clear" w:color="auto" w:fill="FFFFFF"/>
          <w:lang w:val="es-CR"/>
        </w:rPr>
        <w:t>Caso Hernández Vs. Argentina</w:t>
      </w:r>
      <w:r w:rsidRPr="00BC57A2">
        <w:rPr>
          <w:rStyle w:val="Textoennegrita"/>
          <w:b w:val="0"/>
          <w:color w:val="000000"/>
          <w:sz w:val="16"/>
          <w:szCs w:val="16"/>
          <w:shd w:val="clear" w:color="auto" w:fill="FFFFFF"/>
          <w:lang w:val="es-CR"/>
        </w:rPr>
        <w:t>, párr. 54.</w:t>
      </w:r>
    </w:p>
    <w:p w14:paraId="1C4E7A10" w14:textId="77777777" w:rsidR="0023585A" w:rsidRPr="00BC57A2" w:rsidRDefault="0023585A" w:rsidP="007C7E7C">
      <w:pPr>
        <w:pStyle w:val="Textonotapie"/>
        <w:rPr>
          <w:sz w:val="16"/>
          <w:szCs w:val="16"/>
          <w:lang w:val="es-CR"/>
        </w:rPr>
      </w:pPr>
    </w:p>
  </w:footnote>
  <w:footnote w:id="192">
    <w:p w14:paraId="09AD688F" w14:textId="2BE22FEA" w:rsidR="0023585A" w:rsidRPr="00BC57A2" w:rsidRDefault="0023585A" w:rsidP="007C7E7C">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Cfr</w:t>
      </w:r>
      <w:r w:rsidRPr="00BC57A2">
        <w:rPr>
          <w:sz w:val="16"/>
          <w:szCs w:val="16"/>
          <w:lang w:val="es-CR"/>
        </w:rPr>
        <w:t xml:space="preserve">. </w:t>
      </w:r>
      <w:r w:rsidRPr="00BC57A2">
        <w:rPr>
          <w:i/>
          <w:sz w:val="16"/>
          <w:szCs w:val="16"/>
          <w:lang w:val="es-CR"/>
        </w:rPr>
        <w:t>Medio ambiente y derechos humanos (obligaciones estatales en relación con el medio ambiente en el marco de la protección y garantía de los derechos a la vida y a la integridad personal - interpretación y alcance de los artículos 4.1 y 5.1, en relación con los artículos 1.1 y 2 de la Convención Americana sobre Derechos Humanos). Opinión Consultiva OC-23/17</w:t>
      </w:r>
      <w:r w:rsidRPr="00BC57A2">
        <w:rPr>
          <w:sz w:val="16"/>
          <w:szCs w:val="16"/>
          <w:lang w:val="es-CR"/>
        </w:rPr>
        <w:t xml:space="preserve">, párr.57 y nota a pie de página 85. La Corte explicó en esa oportunidad que “los artículos 30, 31, 33 y 34 de la Carta establecen una obligación a los Estados para alcanzar el ‘desarrollo integral’ de sus pueblos[, concepto que] ha sido definido por la Secretaría Ejecutiva para el Desarrollo Integral de la OEA (SEDI) como ‘el nombre general dado a una serie de políticas que trabajan conjuntamente para fomentar el desarrollo sostenible’[,] una de [cuyas] dimensiones […] es precisamente el ámbito ambiental”. En los párrafos 52 y 53 de la misma Opinión Consultiva este Tribunal dio cuenta de una serie de instrumentos emitidos en el ámbito internacional, de los cuales surge que la protección del medio ambiente debe entenderse “parte integrante” de los procesos de desarrollo, siendo uno de los “pilares”, junto con el “desarrollo económico” y el “desarrollo social”, del desarrollo sostenible. La Corte recordó que en el ámbito de las Naciones Unidas se reconoció que “el alcance de los derechos humanos de todas las personas depende de la consecución de las tres dimensiones [indicadas] del desarrollo sostenible”, y que, “[e]n el mismo sentido, varios instrumentos del ámbito interamericano se han referido a la protección del </w:t>
      </w:r>
      <w:r>
        <w:rPr>
          <w:sz w:val="16"/>
          <w:szCs w:val="16"/>
          <w:lang w:val="es-CR"/>
        </w:rPr>
        <w:t xml:space="preserve">[…] </w:t>
      </w:r>
      <w:r w:rsidRPr="00BC57A2">
        <w:rPr>
          <w:sz w:val="16"/>
          <w:szCs w:val="16"/>
          <w:lang w:val="es-CR"/>
        </w:rPr>
        <w:t>ambiente y el desarrollo sostenible”. Los instrumentos referidos en ambos párrafos aludidos son: Declaración de Estocolmo sobre el Medio Ambiente Humano (Conferencia de las Naciones Unidas sobre el Medio Ambiente Humano, Estocolmo, 5 a 16 de junio de 1972, Doc. ONU A/CONF.48/14/Rev.1); Declaración de Río sobre el Medio Ambiente y el Desarrollo (Conferencia de las Naciones Unidas sobre el Medio Ambiente y el Desarrollo, Río de Janeiro, 3-14 de junio de 1992, Doc. ONU NCONP.I51/26/Rev.1 (Vol. 1)); Declaración de Johannesburgo sobre el Desarrollo Sostenible y Plan de Aplicación de las Decisiones de la Cumbre Mundial sobre el Desarrollo Sostenible (Cumbre Mundial de las Naciones Unidas sobre el Desarrollo Sostenible, Johannesburgo, 4 de septiembre de 2002, Doc. ONU A/CONF. 199/20); “Transformar nuestro mundo: la Agenda 2030 para el Desarrollo Sostenible” (Resolución 70/1 de la Asamblea General de las Naciones Unidas, 25 de septiembre de 2015, Doc. ONU A/RES/70/1), y Carta Democrática Interamericana (aprobada en la primera sesión plenaria de la Asamblea General de la OEA, celebrada el 11 de septiembre de 2001 durante el Vigésimo Octavo Periodo de Sesiones).</w:t>
      </w:r>
    </w:p>
    <w:p w14:paraId="5C90DC46" w14:textId="77777777" w:rsidR="0023585A" w:rsidRPr="00BC57A2" w:rsidRDefault="0023585A" w:rsidP="007C7E7C">
      <w:pPr>
        <w:pStyle w:val="Textonotapie"/>
        <w:rPr>
          <w:sz w:val="16"/>
          <w:szCs w:val="16"/>
          <w:lang w:val="es-CR"/>
        </w:rPr>
      </w:pPr>
    </w:p>
  </w:footnote>
  <w:footnote w:id="193">
    <w:p w14:paraId="3C5F52F7" w14:textId="77777777" w:rsidR="0023585A" w:rsidRPr="00BC57A2" w:rsidRDefault="0023585A" w:rsidP="007C7E7C">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Cfr. Medio ambiente y derechos humanos (obligaciones estatales en relación con el medio ambiente en el marco de la protección y garantía de los derechos a la vida y a la integridad personal - interpretación y alcance de los artículos 4.1 y 5.1, en relación con los artículos 1.1 y 2 de la Convención Americana sobre Derechos Humanos). Opinión Consultiva OC-23/17</w:t>
      </w:r>
      <w:r w:rsidRPr="00BC57A2">
        <w:rPr>
          <w:sz w:val="16"/>
          <w:szCs w:val="16"/>
          <w:lang w:val="es-CR"/>
        </w:rPr>
        <w:t>, en particular, párrs. 56 a 68.</w:t>
      </w:r>
    </w:p>
    <w:p w14:paraId="2FFEB4AF" w14:textId="77777777" w:rsidR="0023585A" w:rsidRPr="00BC57A2" w:rsidRDefault="0023585A" w:rsidP="007C7E7C">
      <w:pPr>
        <w:pStyle w:val="Textonotapie"/>
        <w:rPr>
          <w:sz w:val="16"/>
          <w:szCs w:val="16"/>
          <w:lang w:val="es-CR"/>
        </w:rPr>
      </w:pPr>
    </w:p>
  </w:footnote>
  <w:footnote w:id="194">
    <w:p w14:paraId="59666714" w14:textId="1F54F382" w:rsidR="0023585A" w:rsidRPr="00BC57A2" w:rsidRDefault="0023585A" w:rsidP="007C7E7C">
      <w:pPr>
        <w:autoSpaceDE w:val="0"/>
        <w:autoSpaceDN w:val="0"/>
        <w:adjustRightInd w:val="0"/>
        <w:spacing w:after="0" w:line="240" w:lineRule="auto"/>
        <w:jc w:val="both"/>
        <w:rPr>
          <w:rFonts w:ascii="Verdana" w:hAnsi="Verdana" w:cs="Cambria"/>
          <w:sz w:val="16"/>
          <w:szCs w:val="16"/>
          <w:lang w:val="es-CR"/>
        </w:rPr>
      </w:pPr>
      <w:r w:rsidRPr="00BC57A2">
        <w:rPr>
          <w:rStyle w:val="Refdenotaalpie"/>
          <w:rFonts w:ascii="Verdana" w:hAnsi="Verdana"/>
          <w:sz w:val="16"/>
          <w:szCs w:val="16"/>
        </w:rPr>
        <w:footnoteRef/>
      </w:r>
      <w:r w:rsidRPr="00BC57A2">
        <w:rPr>
          <w:rFonts w:ascii="Verdana" w:hAnsi="Verdana"/>
          <w:sz w:val="16"/>
          <w:szCs w:val="16"/>
          <w:lang w:val="es-CR"/>
        </w:rPr>
        <w:t xml:space="preserve"> </w:t>
      </w:r>
      <w:r w:rsidRPr="00BC57A2">
        <w:rPr>
          <w:rFonts w:ascii="Verdana" w:hAnsi="Verdana"/>
          <w:sz w:val="16"/>
          <w:szCs w:val="16"/>
          <w:lang w:val="es-CR"/>
        </w:rPr>
        <w:tab/>
      </w:r>
      <w:r w:rsidRPr="00BC57A2">
        <w:rPr>
          <w:rFonts w:ascii="Verdana" w:hAnsi="Verdana"/>
          <w:i/>
          <w:sz w:val="16"/>
          <w:szCs w:val="16"/>
          <w:lang w:val="es-CR"/>
        </w:rPr>
        <w:t>Cfr.</w:t>
      </w:r>
      <w:r w:rsidRPr="00BC57A2">
        <w:rPr>
          <w:rFonts w:ascii="Verdana" w:hAnsi="Verdana"/>
          <w:sz w:val="16"/>
          <w:szCs w:val="16"/>
          <w:lang w:val="es-CR"/>
        </w:rPr>
        <w:t xml:space="preserve"> </w:t>
      </w:r>
      <w:r w:rsidRPr="00BC57A2">
        <w:rPr>
          <w:rFonts w:ascii="Verdana" w:hAnsi="Verdana"/>
          <w:i/>
          <w:sz w:val="16"/>
          <w:szCs w:val="16"/>
          <w:lang w:val="es-CR"/>
        </w:rPr>
        <w:t>Medio ambiente y derechos humanos (obligaciones estatales en relación con el medio ambiente en el marco de la protección y garantía de los derechos a la vida y a la integridad personal - interpretación y alcance de los artículos 4.1 y 5.1, en relación con los artículos 1.1 y 2 de la Convención Americana sobre Derechos Humanos). Opinión Consultiva OC-23/17</w:t>
      </w:r>
      <w:r w:rsidRPr="00BC57A2">
        <w:rPr>
          <w:rFonts w:ascii="Verdana" w:hAnsi="Verdana"/>
          <w:sz w:val="16"/>
          <w:szCs w:val="16"/>
          <w:lang w:val="es-CR"/>
        </w:rPr>
        <w:t>, párrs. 59, 62 y 64.</w:t>
      </w:r>
      <w:r w:rsidRPr="00BC57A2">
        <w:rPr>
          <w:rFonts w:ascii="Verdana" w:hAnsi="Verdana" w:cs="Cambria"/>
          <w:sz w:val="16"/>
          <w:szCs w:val="16"/>
        </w:rPr>
        <w:t xml:space="preserve"> Como se resalta en el escrito de </w:t>
      </w:r>
      <w:r w:rsidRPr="00BC57A2">
        <w:rPr>
          <w:rFonts w:ascii="Verdana" w:hAnsi="Verdana" w:cs="Cambria"/>
          <w:i/>
          <w:sz w:val="16"/>
          <w:szCs w:val="16"/>
        </w:rPr>
        <w:t>amicus curiae</w:t>
      </w:r>
      <w:r w:rsidRPr="00BC57A2">
        <w:rPr>
          <w:rFonts w:ascii="Verdana" w:hAnsi="Verdana" w:cs="Cambria"/>
          <w:sz w:val="16"/>
          <w:szCs w:val="16"/>
        </w:rPr>
        <w:t xml:space="preserve"> presentado por DPLF y otras organizaciones, dadas las dimensiones económica, social y ambiental del </w:t>
      </w:r>
      <w:r w:rsidRPr="00BC57A2">
        <w:rPr>
          <w:rFonts w:ascii="Verdana" w:hAnsi="Verdana" w:cs="Cambria"/>
          <w:sz w:val="16"/>
          <w:szCs w:val="16"/>
          <w:lang w:val="es-CR"/>
        </w:rPr>
        <w:t>desarrollo sostenible antes indicadas (</w:t>
      </w:r>
      <w:r w:rsidRPr="00BC57A2">
        <w:rPr>
          <w:rFonts w:ascii="Verdana" w:hAnsi="Verdana" w:cs="Cambria"/>
          <w:i/>
          <w:sz w:val="16"/>
          <w:szCs w:val="16"/>
          <w:lang w:val="es-CR"/>
        </w:rPr>
        <w:t>supra</w:t>
      </w:r>
      <w:r w:rsidRPr="00BC57A2">
        <w:rPr>
          <w:rFonts w:ascii="Verdana" w:hAnsi="Verdana" w:cs="Cambria"/>
          <w:sz w:val="16"/>
          <w:szCs w:val="16"/>
          <w:lang w:val="es-CR"/>
        </w:rPr>
        <w:t xml:space="preserve"> nota a pie de página 191), el derecho al ambiente </w:t>
      </w:r>
      <w:r>
        <w:rPr>
          <w:rFonts w:ascii="Verdana" w:hAnsi="Verdana" w:cs="Cambria"/>
          <w:sz w:val="16"/>
          <w:szCs w:val="16"/>
          <w:lang w:val="es-CR"/>
        </w:rPr>
        <w:t xml:space="preserve">sano </w:t>
      </w:r>
      <w:r w:rsidRPr="00BC57A2">
        <w:rPr>
          <w:rFonts w:ascii="Verdana" w:hAnsi="Verdana" w:cs="Cambria"/>
          <w:sz w:val="16"/>
          <w:szCs w:val="16"/>
          <w:lang w:val="es-CR"/>
        </w:rPr>
        <w:t>no debe ser menoscabado por la dimensión de desarrollo económico, sino que debe ser garantizado y, por tanto, existen obligaciones que deben ser observadas por los Estados.</w:t>
      </w:r>
      <w:r w:rsidRPr="00BC57A2">
        <w:rPr>
          <w:rFonts w:ascii="Verdana" w:hAnsi="Verdana"/>
          <w:sz w:val="16"/>
          <w:szCs w:val="16"/>
          <w:lang w:val="es-CR"/>
        </w:rPr>
        <w:t xml:space="preserve"> El mismo escrito de </w:t>
      </w:r>
      <w:r w:rsidRPr="00BC57A2">
        <w:rPr>
          <w:rFonts w:ascii="Verdana" w:hAnsi="Verdana"/>
          <w:i/>
          <w:sz w:val="16"/>
          <w:szCs w:val="16"/>
          <w:lang w:val="es-CR"/>
        </w:rPr>
        <w:t>amicus curiae</w:t>
      </w:r>
      <w:r w:rsidRPr="00BC57A2">
        <w:rPr>
          <w:rFonts w:ascii="Verdana" w:hAnsi="Verdana"/>
          <w:sz w:val="16"/>
          <w:szCs w:val="16"/>
          <w:lang w:val="es-CR"/>
        </w:rPr>
        <w:t xml:space="preserve"> hizo notar que l</w:t>
      </w:r>
      <w:r w:rsidRPr="00BC57A2">
        <w:rPr>
          <w:rFonts w:ascii="Verdana" w:hAnsi="Verdana" w:cs="Cambria"/>
          <w:sz w:val="16"/>
          <w:szCs w:val="16"/>
          <w:lang w:val="es-CR"/>
        </w:rPr>
        <w:t xml:space="preserve">a Asamblea General de la OEA ha emitido diversas resoluciones instando a los Estados de la región a promover el derecho a un medio ambiente sano como un componente prioritario de sus políticas de desarrollo y con el fin de combatir el cambio climático (indicó, como ejemplos, las resoluciones </w:t>
      </w:r>
      <w:r w:rsidRPr="00BC57A2">
        <w:rPr>
          <w:rFonts w:ascii="Verdana" w:hAnsi="Verdana" w:cs="Cambria-Italic"/>
          <w:i/>
          <w:iCs/>
          <w:sz w:val="16"/>
          <w:szCs w:val="16"/>
          <w:lang w:val="es-CR"/>
        </w:rPr>
        <w:t xml:space="preserve">Derechos Humanos y Medio Ambiente </w:t>
      </w:r>
      <w:r w:rsidRPr="00BC57A2">
        <w:rPr>
          <w:rFonts w:ascii="Verdana" w:hAnsi="Verdana" w:cs="Cambria"/>
          <w:sz w:val="16"/>
          <w:szCs w:val="16"/>
          <w:lang w:val="es-CR"/>
        </w:rPr>
        <w:t xml:space="preserve">AG/RES. 1926 (XXXIII-O/03), que reconoce “la creciente importancia que se le asigna a la necesidad de administrar el medio ambiente en una forma sostenible para promover la dignidad y el bienestar humanos”; </w:t>
      </w:r>
      <w:r w:rsidRPr="00BC57A2">
        <w:rPr>
          <w:rFonts w:ascii="Verdana" w:hAnsi="Verdana" w:cs="Cambria-Italic"/>
          <w:i/>
          <w:iCs/>
          <w:sz w:val="16"/>
          <w:szCs w:val="16"/>
          <w:lang w:val="es-CR"/>
        </w:rPr>
        <w:t xml:space="preserve">Derechos Humanos y Cambio Climático en las Américas </w:t>
      </w:r>
      <w:r w:rsidRPr="00BC57A2">
        <w:rPr>
          <w:rFonts w:ascii="Verdana" w:hAnsi="Verdana" w:cs="Cambria"/>
          <w:sz w:val="16"/>
          <w:szCs w:val="16"/>
          <w:lang w:val="es-CR"/>
        </w:rPr>
        <w:t xml:space="preserve">AG/RES. 2429 (XXXVIII-O/08), que reconoce la estrecha relación entre la protección al medio ambiente y los derechos humanos y destaca que el cambio climático produce efectos adversos en el disfrute de los derechos humanos, y el </w:t>
      </w:r>
      <w:r w:rsidRPr="00BC57A2">
        <w:rPr>
          <w:rFonts w:ascii="Verdana" w:hAnsi="Verdana" w:cs="Cambria-Italic"/>
          <w:i/>
          <w:iCs/>
          <w:sz w:val="16"/>
          <w:szCs w:val="16"/>
          <w:lang w:val="es-CR"/>
        </w:rPr>
        <w:t xml:space="preserve">Programa Interamericano para el Desarrollo Sostenible </w:t>
      </w:r>
      <w:r w:rsidRPr="00BC57A2">
        <w:rPr>
          <w:rFonts w:ascii="Verdana" w:hAnsi="Verdana" w:cs="Cambria"/>
          <w:sz w:val="16"/>
          <w:szCs w:val="16"/>
          <w:lang w:val="es-CR"/>
        </w:rPr>
        <w:t>AG/RES. 2882 (XLVI-O/16), que reconoce las tres dimensiones del desarrollo, en la línea de la agenda 2030.</w:t>
      </w:r>
    </w:p>
    <w:p w14:paraId="488D4B5F" w14:textId="77777777" w:rsidR="0023585A" w:rsidRPr="00BC57A2" w:rsidRDefault="0023585A" w:rsidP="007C7E7C">
      <w:pPr>
        <w:autoSpaceDE w:val="0"/>
        <w:autoSpaceDN w:val="0"/>
        <w:adjustRightInd w:val="0"/>
        <w:spacing w:after="0" w:line="240" w:lineRule="auto"/>
        <w:jc w:val="both"/>
        <w:rPr>
          <w:rFonts w:ascii="Verdana" w:hAnsi="Verdana"/>
          <w:sz w:val="16"/>
          <w:szCs w:val="16"/>
          <w:lang w:val="es-ES"/>
        </w:rPr>
      </w:pPr>
    </w:p>
  </w:footnote>
  <w:footnote w:id="195">
    <w:p w14:paraId="6F9164EF" w14:textId="77777777" w:rsidR="0023585A" w:rsidRPr="00BC57A2" w:rsidRDefault="0023585A" w:rsidP="007C7E7C">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 xml:space="preserve">El Protocolo de San Salvador fue firmado por Argentina el 17 de noviembre de 1988 y luego aprobado por la ley nacional 24.658, promulgada de hecho el 15 de julio de 1996. El depósito del instrumento de ratificación se hizo el 23 de octubre de 2003.  </w:t>
      </w:r>
    </w:p>
    <w:p w14:paraId="37DA1478" w14:textId="77777777" w:rsidR="0023585A" w:rsidRPr="00BC57A2" w:rsidRDefault="0023585A" w:rsidP="007C7E7C">
      <w:pPr>
        <w:pStyle w:val="Textonotapie"/>
        <w:rPr>
          <w:sz w:val="16"/>
          <w:szCs w:val="16"/>
          <w:lang w:val="es-CR"/>
        </w:rPr>
      </w:pPr>
    </w:p>
  </w:footnote>
  <w:footnote w:id="196">
    <w:p w14:paraId="44500BF2" w14:textId="77777777" w:rsidR="0023585A" w:rsidRPr="00BC57A2" w:rsidRDefault="0023585A" w:rsidP="007C7E7C">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Medio ambiente y derechos humanos (obligaciones estatales en relación con el medio ambiente en el marco de la protección y garantía de los derechos a la vida y a la integridad personal - interpretación y alcance de los artículos 4.1 y 5.1, en relación con los artículos 1.1 y 2 de la Convención Americana sobre Derechos Humanos). Opinión Consultiva OC-23/17</w:t>
      </w:r>
      <w:r w:rsidRPr="00BC57A2">
        <w:rPr>
          <w:sz w:val="16"/>
          <w:szCs w:val="16"/>
          <w:lang w:val="es-CR"/>
        </w:rPr>
        <w:t>, nota a pie de página 88. Allí se indica que, además de la de Argentina, las Constituciones de los siguientes países consagran el derecho al ambiente: Bolivia, Brasil, Chile, Colombia, Costa Rica, Ecuador, El Salvador, Guatemala, México, Nicaragua, Panamá, Paraguay, Perú, República Dominicana y Venezuela.</w:t>
      </w:r>
    </w:p>
    <w:p w14:paraId="4DE72046" w14:textId="77777777" w:rsidR="0023585A" w:rsidRPr="00BC57A2" w:rsidRDefault="0023585A" w:rsidP="007C7E7C">
      <w:pPr>
        <w:pStyle w:val="Textonotapie"/>
        <w:rPr>
          <w:sz w:val="16"/>
          <w:szCs w:val="16"/>
          <w:lang w:val="es-CR"/>
        </w:rPr>
      </w:pPr>
    </w:p>
  </w:footnote>
  <w:footnote w:id="197">
    <w:p w14:paraId="36CE03B5" w14:textId="77777777" w:rsidR="0023585A" w:rsidRPr="00BC57A2" w:rsidRDefault="0023585A" w:rsidP="007C7E7C">
      <w:pPr>
        <w:pStyle w:val="Textonotapie"/>
        <w:rPr>
          <w:iCs/>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La Corte ha señalado que en virtud de la obligación de respetar los derechos humanos, prevista en el artículo 1.1 de la Convención, los Estados “deben abstenerse” de, entre otras conductas, “contaminar ilícitamente el medio ambiente de forma que se afecte las condiciones que permiten la vida digna de las personas, por ejemplo, mediante el depósito de desechos de empresas estatales en formas que afecten la calidad o el acceso al agua potable y/o a fuentes de alimentación” (</w:t>
      </w:r>
      <w:r w:rsidRPr="00BC57A2">
        <w:rPr>
          <w:i/>
          <w:sz w:val="16"/>
          <w:szCs w:val="16"/>
          <w:lang w:val="es-CR"/>
        </w:rPr>
        <w:t>Medio ambiente y derechos humanos (obligaciones estatales en relación con el medio ambiente en el marco de la protección y garantía de los derechos a la vida y a la integridad personal - interpretación y alcance de los artículos 4.1 y 5.1, en relación con los artículos 1.1 y 2 de la Convención Americana sobre Derechos Humanos). Opinión Consultiva OC-23/17</w:t>
      </w:r>
      <w:r w:rsidRPr="00BC57A2">
        <w:rPr>
          <w:sz w:val="16"/>
          <w:szCs w:val="16"/>
          <w:lang w:val="es-CR"/>
        </w:rPr>
        <w:t xml:space="preserve"> de 15 de noviembre de 2017. Serie A No. 23, párr. 117. En sustento de lo indicado, la Corte citó señalamientos del Comité DESC (</w:t>
      </w:r>
      <w:r w:rsidRPr="00BC57A2">
        <w:rPr>
          <w:i/>
          <w:sz w:val="16"/>
          <w:szCs w:val="16"/>
          <w:lang w:val="es-CR"/>
        </w:rPr>
        <w:t>Observación General 15: El derecho al agua (artículos 11 y 12 del Pacto Internacional de Derechos Económicos, Sociales y Culturales).</w:t>
      </w:r>
      <w:r w:rsidRPr="00BC57A2">
        <w:rPr>
          <w:sz w:val="16"/>
          <w:szCs w:val="16"/>
          <w:lang w:val="es-CR"/>
        </w:rPr>
        <w:t xml:space="preserve"> 20 de enero de 2003.Doc. ONU E/C.12/2002/11, párrs. 17 a 19</w:t>
      </w:r>
      <w:r w:rsidRPr="00BC57A2">
        <w:rPr>
          <w:iCs/>
          <w:sz w:val="16"/>
          <w:szCs w:val="16"/>
          <w:lang w:val="es-CR"/>
        </w:rPr>
        <w:t xml:space="preserve">, y </w:t>
      </w:r>
      <w:r w:rsidRPr="00BC57A2">
        <w:rPr>
          <w:i/>
          <w:sz w:val="16"/>
          <w:szCs w:val="16"/>
          <w:lang w:val="es-CR"/>
        </w:rPr>
        <w:t>Observación General 14: El derecho al disfrute del más alto de nivel posible de salud (artículo 12 del Pacto Internacional de Derechos Económicos, Sociales y Culturales).</w:t>
      </w:r>
      <w:r w:rsidRPr="00BC57A2">
        <w:rPr>
          <w:sz w:val="16"/>
          <w:szCs w:val="16"/>
          <w:lang w:val="es-CR"/>
        </w:rPr>
        <w:t xml:space="preserve"> 11 de agosto de 2000. Doc. ONU E/C.12/2000/4, </w:t>
      </w:r>
      <w:r w:rsidRPr="00BC57A2">
        <w:rPr>
          <w:iCs/>
          <w:sz w:val="16"/>
          <w:szCs w:val="16"/>
          <w:lang w:val="es-CR"/>
        </w:rPr>
        <w:t>párr. 34).</w:t>
      </w:r>
    </w:p>
    <w:p w14:paraId="18710E46" w14:textId="77777777" w:rsidR="0023585A" w:rsidRPr="00BC57A2" w:rsidRDefault="0023585A" w:rsidP="007C7E7C">
      <w:pPr>
        <w:pStyle w:val="Textonotapie"/>
        <w:rPr>
          <w:sz w:val="16"/>
          <w:szCs w:val="16"/>
          <w:lang w:val="es-CR"/>
        </w:rPr>
      </w:pPr>
    </w:p>
  </w:footnote>
  <w:footnote w:id="198">
    <w:p w14:paraId="443D4CE6" w14:textId="77777777" w:rsidR="0023585A" w:rsidRPr="00BC57A2" w:rsidRDefault="0023585A" w:rsidP="007C7E7C">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Medio ambiente y derechos humanos (obligaciones estatales en relación con el medio ambiente en el marco de la protección y garantía de los derechos a la vida y a la integridad personal - interpretación y alcance de los artículos 4.1 y 5.1, en relación con los artículos 1.1 y 2 de la Convención Americana sobre Derechos Humanos). Opinión Consultiva OC-23/17</w:t>
      </w:r>
      <w:r w:rsidRPr="00BC57A2">
        <w:rPr>
          <w:sz w:val="16"/>
          <w:szCs w:val="16"/>
          <w:lang w:val="es-CR"/>
        </w:rPr>
        <w:t>, párr. 118.</w:t>
      </w:r>
    </w:p>
    <w:p w14:paraId="7EBBF99B" w14:textId="77777777" w:rsidR="0023585A" w:rsidRPr="00BC57A2" w:rsidRDefault="0023585A" w:rsidP="007C7E7C">
      <w:pPr>
        <w:pStyle w:val="Textonotapie"/>
        <w:rPr>
          <w:sz w:val="16"/>
          <w:szCs w:val="16"/>
          <w:lang w:val="es-ES"/>
        </w:rPr>
      </w:pPr>
    </w:p>
  </w:footnote>
  <w:footnote w:id="199">
    <w:p w14:paraId="0C639849" w14:textId="77777777" w:rsidR="0023585A" w:rsidRPr="00BC57A2" w:rsidRDefault="0023585A" w:rsidP="007C7E7C">
      <w:pPr>
        <w:pStyle w:val="Textonotapie"/>
        <w:tabs>
          <w:tab w:val="left" w:pos="426"/>
        </w:tabs>
        <w:rPr>
          <w:sz w:val="16"/>
          <w:szCs w:val="16"/>
          <w:lang w:val="es-CR"/>
        </w:rPr>
      </w:pPr>
      <w:r w:rsidRPr="00BC57A2">
        <w:rPr>
          <w:rStyle w:val="Refdenotaalpie"/>
          <w:rFonts w:eastAsia="Times"/>
          <w:sz w:val="16"/>
          <w:szCs w:val="16"/>
        </w:rPr>
        <w:footnoteRef/>
      </w:r>
      <w:r w:rsidRPr="00BC57A2">
        <w:rPr>
          <w:sz w:val="16"/>
          <w:szCs w:val="16"/>
          <w:lang w:val="pt-BR"/>
        </w:rPr>
        <w:t xml:space="preserve"> </w:t>
      </w:r>
      <w:r w:rsidRPr="00BC57A2">
        <w:rPr>
          <w:sz w:val="16"/>
          <w:szCs w:val="16"/>
          <w:lang w:val="pt-BR"/>
        </w:rPr>
        <w:tab/>
      </w:r>
      <w:r w:rsidRPr="00BC57A2">
        <w:rPr>
          <w:sz w:val="16"/>
          <w:szCs w:val="16"/>
          <w:lang w:val="pt-BR"/>
        </w:rPr>
        <w:tab/>
        <w:t>Ver,</w:t>
      </w:r>
      <w:r w:rsidRPr="00BC57A2">
        <w:rPr>
          <w:i/>
          <w:sz w:val="16"/>
          <w:szCs w:val="16"/>
          <w:lang w:val="pt-BR"/>
        </w:rPr>
        <w:t xml:space="preserve"> inter alia, </w:t>
      </w:r>
      <w:r w:rsidRPr="00BC57A2">
        <w:rPr>
          <w:i/>
          <w:sz w:val="16"/>
          <w:szCs w:val="16"/>
          <w:lang w:val="es-CR"/>
        </w:rPr>
        <w:t>Caso Ximenes Lopes Vs. Brasil. Fondo, Reparaciones y Costas</w:t>
      </w:r>
      <w:r w:rsidRPr="00BC57A2">
        <w:rPr>
          <w:sz w:val="16"/>
          <w:szCs w:val="16"/>
          <w:lang w:val="es-CR"/>
        </w:rPr>
        <w:t xml:space="preserve">. Sentencia de 4 de julio de 2006. Serie C No. 149, </w:t>
      </w:r>
      <w:r w:rsidRPr="00BC57A2">
        <w:rPr>
          <w:iCs/>
          <w:sz w:val="16"/>
          <w:szCs w:val="16"/>
          <w:lang w:val="pt-BR"/>
        </w:rPr>
        <w:t xml:space="preserve">párrs. 86, </w:t>
      </w:r>
      <w:r w:rsidRPr="00BC57A2">
        <w:rPr>
          <w:sz w:val="16"/>
          <w:szCs w:val="16"/>
          <w:lang w:val="es-ES"/>
        </w:rPr>
        <w:t xml:space="preserve">89 y 99, y </w:t>
      </w:r>
      <w:r w:rsidRPr="00BC57A2">
        <w:rPr>
          <w:bCs/>
          <w:i/>
          <w:color w:val="000000"/>
          <w:sz w:val="16"/>
          <w:szCs w:val="16"/>
          <w:shd w:val="clear" w:color="auto" w:fill="FFFFFF"/>
          <w:lang w:val="es-CR"/>
        </w:rPr>
        <w:t>Caso I.V. Vs. Bolivia</w:t>
      </w:r>
      <w:r w:rsidRPr="00BC57A2">
        <w:rPr>
          <w:sz w:val="16"/>
          <w:szCs w:val="16"/>
          <w:lang w:val="es-CR"/>
        </w:rPr>
        <w:t xml:space="preserve">, párrs. 154 y 208. Ver, en el mismo sentido, </w:t>
      </w:r>
      <w:r w:rsidRPr="00BC57A2">
        <w:rPr>
          <w:bCs/>
          <w:i/>
          <w:color w:val="000000"/>
          <w:sz w:val="16"/>
          <w:szCs w:val="16"/>
          <w:shd w:val="clear" w:color="auto" w:fill="FFFFFF"/>
          <w:lang w:val="es-CR"/>
        </w:rPr>
        <w:t>Caso Ramírez Escobar y otros Vs. Guatemala</w:t>
      </w:r>
      <w:r w:rsidRPr="00BC57A2">
        <w:rPr>
          <w:sz w:val="16"/>
          <w:szCs w:val="16"/>
          <w:lang w:val="es-CR"/>
        </w:rPr>
        <w:t>, párr. 355.</w:t>
      </w:r>
    </w:p>
    <w:p w14:paraId="63D5EE6D" w14:textId="77777777" w:rsidR="0023585A" w:rsidRPr="00BC57A2" w:rsidRDefault="0023585A" w:rsidP="007C7E7C">
      <w:pPr>
        <w:pStyle w:val="Textonotapie"/>
        <w:tabs>
          <w:tab w:val="left" w:pos="426"/>
        </w:tabs>
        <w:rPr>
          <w:sz w:val="16"/>
          <w:szCs w:val="16"/>
          <w:lang w:val="es-CR"/>
        </w:rPr>
      </w:pPr>
    </w:p>
  </w:footnote>
  <w:footnote w:id="200">
    <w:p w14:paraId="2128B77F" w14:textId="190E915B" w:rsidR="0023585A" w:rsidRPr="00BC57A2" w:rsidRDefault="0023585A" w:rsidP="007C7E7C">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Medio ambiente y derechos humanos (obligaciones estatales en relación con el medio ambiente en el marco de la protección y garantía de los derechos a la vida y a la integridad personal - interpretación y alcance de los artículos 4.1 y 5.1, en relación con los artículos 1.1 y 2 de la Convención Americana sobre Derechos Humanos). Opinión Consultiva OC-23/17</w:t>
      </w:r>
      <w:r w:rsidRPr="00BC57A2">
        <w:rPr>
          <w:sz w:val="16"/>
          <w:szCs w:val="16"/>
          <w:lang w:val="es-CR"/>
        </w:rPr>
        <w:t>, párr. 118. La Corte ha expresado la misma noción, aunque no en forma directamente vinculada al derecho al ambiente</w:t>
      </w:r>
      <w:r>
        <w:rPr>
          <w:sz w:val="16"/>
          <w:szCs w:val="16"/>
          <w:lang w:val="es-CR"/>
        </w:rPr>
        <w:t xml:space="preserve"> sano</w:t>
      </w:r>
      <w:r w:rsidRPr="00BC57A2">
        <w:rPr>
          <w:sz w:val="16"/>
          <w:szCs w:val="16"/>
          <w:lang w:val="es-CR"/>
        </w:rPr>
        <w:t xml:space="preserve">, en otras decisiones: </w:t>
      </w:r>
      <w:r w:rsidRPr="00BC57A2">
        <w:rPr>
          <w:i/>
          <w:sz w:val="16"/>
          <w:szCs w:val="16"/>
          <w:lang w:val="es-CR"/>
        </w:rPr>
        <w:t xml:space="preserve">cfr. Caso Velásquez Rodríguez Vs. Honduras. Fondo, </w:t>
      </w:r>
      <w:r w:rsidRPr="00BC57A2">
        <w:rPr>
          <w:sz w:val="16"/>
          <w:szCs w:val="16"/>
          <w:lang w:val="es-CR"/>
        </w:rPr>
        <w:t xml:space="preserve">párrs. 165 y 166, y </w:t>
      </w:r>
      <w:r w:rsidRPr="00BC57A2">
        <w:rPr>
          <w:bCs/>
          <w:i/>
          <w:color w:val="000000"/>
          <w:sz w:val="16"/>
          <w:szCs w:val="16"/>
          <w:shd w:val="clear" w:color="auto" w:fill="FFFFFF"/>
          <w:lang w:val="es-CR"/>
        </w:rPr>
        <w:t>Caso López Soto y otros Vs. Venezuela. Fondo, Reparaciones y Costas.</w:t>
      </w:r>
      <w:r w:rsidRPr="00BC57A2">
        <w:rPr>
          <w:bCs/>
          <w:color w:val="000000"/>
          <w:sz w:val="16"/>
          <w:szCs w:val="16"/>
          <w:shd w:val="clear" w:color="auto" w:fill="FFFFFF"/>
          <w:lang w:val="es-CR"/>
        </w:rPr>
        <w:t xml:space="preserve"> Sentencia de 26 de septiembre de 2018. Serie C No. 36, párr. 130.</w:t>
      </w:r>
      <w:r w:rsidRPr="00BC57A2">
        <w:rPr>
          <w:sz w:val="16"/>
          <w:szCs w:val="16"/>
          <w:lang w:val="es-CR"/>
        </w:rPr>
        <w:t xml:space="preserve"> En el mismo sentido, la Comisión Africana de Derechos Humanos y de los Pueblos ha destacado que el derecho a un medio ambiente sano impone a los Estados la obligación de adoptar medidas razonables para prevenir la contaminación y degradación del ambiente, promover la conservación y asegurar un desarrollo y uso de los recursos naturales ecológicamente sustentable (</w:t>
      </w:r>
      <w:r w:rsidRPr="00BC57A2">
        <w:rPr>
          <w:i/>
          <w:iCs/>
          <w:sz w:val="16"/>
          <w:szCs w:val="16"/>
          <w:lang w:val="es-CR"/>
        </w:rPr>
        <w:t xml:space="preserve">Cfr. </w:t>
      </w:r>
      <w:r w:rsidRPr="00BC57A2">
        <w:rPr>
          <w:sz w:val="16"/>
          <w:szCs w:val="16"/>
          <w:lang w:val="es-CR"/>
        </w:rPr>
        <w:t xml:space="preserve">Comisión Africana de Derechos Humanos y de los Pueblos, </w:t>
      </w:r>
      <w:r w:rsidRPr="00BC57A2">
        <w:rPr>
          <w:i/>
          <w:iCs/>
          <w:sz w:val="16"/>
          <w:szCs w:val="16"/>
          <w:lang w:val="es-CR"/>
        </w:rPr>
        <w:t>Caso Ogoni Vs. Nigeria</w:t>
      </w:r>
      <w:r w:rsidRPr="00BC57A2">
        <w:rPr>
          <w:sz w:val="16"/>
          <w:szCs w:val="16"/>
          <w:lang w:val="es-CR"/>
        </w:rPr>
        <w:t xml:space="preserve">, Comunicación 155/96. Decisión de 27 de mayo de 2002, párr. 52). </w:t>
      </w:r>
    </w:p>
    <w:p w14:paraId="32144C31" w14:textId="77777777" w:rsidR="0023585A" w:rsidRPr="00BC57A2" w:rsidRDefault="0023585A" w:rsidP="007C7E7C">
      <w:pPr>
        <w:pStyle w:val="Textonotapie"/>
        <w:rPr>
          <w:sz w:val="16"/>
          <w:szCs w:val="16"/>
          <w:lang w:val="es-ES"/>
        </w:rPr>
      </w:pPr>
    </w:p>
  </w:footnote>
  <w:footnote w:id="201">
    <w:p w14:paraId="4FBBD176" w14:textId="77777777" w:rsidR="0023585A" w:rsidRPr="00BC57A2" w:rsidRDefault="0023585A" w:rsidP="007C7E7C">
      <w:pPr>
        <w:pStyle w:val="Textonotapie"/>
        <w:tabs>
          <w:tab w:val="left" w:pos="426"/>
        </w:tabs>
        <w:rPr>
          <w:sz w:val="16"/>
          <w:szCs w:val="16"/>
          <w:lang w:val="es-CR"/>
        </w:rPr>
      </w:pPr>
      <w:r w:rsidRPr="00BC57A2">
        <w:rPr>
          <w:rStyle w:val="Refdenotaalpie"/>
          <w:rFonts w:eastAsia="Times"/>
          <w:sz w:val="16"/>
          <w:szCs w:val="16"/>
        </w:rPr>
        <w:footnoteRef/>
      </w:r>
      <w:r w:rsidRPr="00BC57A2">
        <w:rPr>
          <w:sz w:val="16"/>
          <w:szCs w:val="16"/>
          <w:lang w:val="es-CR"/>
        </w:rPr>
        <w:t xml:space="preserve"> </w:t>
      </w:r>
      <w:r w:rsidRPr="00BC57A2">
        <w:rPr>
          <w:sz w:val="16"/>
          <w:szCs w:val="16"/>
          <w:lang w:val="es-CR"/>
        </w:rPr>
        <w:tab/>
      </w:r>
      <w:r w:rsidRPr="00BC57A2">
        <w:rPr>
          <w:sz w:val="16"/>
          <w:szCs w:val="16"/>
          <w:lang w:val="es-CR"/>
        </w:rPr>
        <w:tab/>
      </w:r>
      <w:r w:rsidRPr="00BC57A2">
        <w:rPr>
          <w:i/>
          <w:sz w:val="16"/>
          <w:szCs w:val="16"/>
          <w:lang w:val="es-CR"/>
        </w:rPr>
        <w:t>Medio ambiente y derechos humanos (obligaciones estatales en relación con el medio ambiente en el marco de la protección y garantía de los derechos a la vida y a la integridad personal - interpretación y alcance de los artículos 4.1 y 5.1, en relación con los artículos 1.1 y 2 de la Convención Americana sobre Derechos Humanos). Opinión Consultiva OC-23/17</w:t>
      </w:r>
      <w:r w:rsidRPr="00BC57A2">
        <w:rPr>
          <w:sz w:val="16"/>
          <w:szCs w:val="16"/>
          <w:lang w:val="es-CR"/>
        </w:rPr>
        <w:t>, nota a pie de página 247 y párr.</w:t>
      </w:r>
      <w:r w:rsidRPr="00BC57A2" w:rsidDel="00E87F3E">
        <w:rPr>
          <w:i/>
          <w:sz w:val="16"/>
          <w:szCs w:val="16"/>
          <w:lang w:val="es-CR"/>
        </w:rPr>
        <w:t xml:space="preserve"> </w:t>
      </w:r>
      <w:r w:rsidRPr="00BC57A2">
        <w:rPr>
          <w:sz w:val="16"/>
          <w:szCs w:val="16"/>
          <w:lang w:val="es-CR"/>
        </w:rPr>
        <w:t xml:space="preserve">142. </w:t>
      </w:r>
    </w:p>
    <w:p w14:paraId="735F77A7" w14:textId="77777777" w:rsidR="0023585A" w:rsidRPr="00BC57A2" w:rsidRDefault="0023585A" w:rsidP="007C7E7C">
      <w:pPr>
        <w:pStyle w:val="Textonotapie"/>
        <w:tabs>
          <w:tab w:val="left" w:pos="426"/>
        </w:tabs>
        <w:rPr>
          <w:sz w:val="16"/>
          <w:szCs w:val="16"/>
          <w:highlight w:val="yellow"/>
          <w:lang w:val="es-CR"/>
        </w:rPr>
      </w:pPr>
    </w:p>
  </w:footnote>
  <w:footnote w:id="202">
    <w:p w14:paraId="307E2F11" w14:textId="77777777" w:rsidR="0023585A" w:rsidRPr="00BC57A2" w:rsidRDefault="0023585A" w:rsidP="007C7E7C">
      <w:pPr>
        <w:pStyle w:val="Textonotapie"/>
        <w:tabs>
          <w:tab w:val="left" w:pos="426"/>
        </w:tabs>
        <w:rPr>
          <w:bCs/>
          <w:iCs/>
          <w:sz w:val="16"/>
          <w:szCs w:val="16"/>
          <w:lang w:val="es-CR"/>
        </w:rPr>
      </w:pPr>
      <w:r w:rsidRPr="00BC57A2">
        <w:rPr>
          <w:rStyle w:val="Refdenotaalpie"/>
          <w:rFonts w:eastAsia="Times"/>
          <w:sz w:val="16"/>
          <w:szCs w:val="16"/>
        </w:rPr>
        <w:footnoteRef/>
      </w:r>
      <w:r w:rsidRPr="00BC57A2">
        <w:rPr>
          <w:sz w:val="16"/>
          <w:szCs w:val="16"/>
          <w:lang w:val="es-CR"/>
        </w:rPr>
        <w:t xml:space="preserve"> </w:t>
      </w:r>
      <w:r w:rsidRPr="00BC57A2">
        <w:rPr>
          <w:sz w:val="16"/>
          <w:szCs w:val="16"/>
          <w:lang w:val="es-CR"/>
        </w:rPr>
        <w:tab/>
      </w:r>
      <w:r w:rsidRPr="00BC57A2">
        <w:rPr>
          <w:sz w:val="16"/>
          <w:szCs w:val="16"/>
          <w:lang w:val="es-CR"/>
        </w:rPr>
        <w:tab/>
      </w:r>
      <w:r w:rsidRPr="00BC57A2">
        <w:rPr>
          <w:i/>
          <w:sz w:val="16"/>
          <w:szCs w:val="16"/>
          <w:lang w:val="es-CR"/>
        </w:rPr>
        <w:t>Cfr.</w:t>
      </w:r>
      <w:r w:rsidRPr="00BC57A2">
        <w:rPr>
          <w:sz w:val="16"/>
          <w:szCs w:val="16"/>
          <w:lang w:val="es-CR"/>
        </w:rPr>
        <w:t xml:space="preserve"> </w:t>
      </w:r>
      <w:r w:rsidRPr="00BC57A2">
        <w:rPr>
          <w:i/>
          <w:sz w:val="16"/>
          <w:szCs w:val="16"/>
          <w:lang w:val="es-CR"/>
        </w:rPr>
        <w:t>Medio ambiente y derechos humanos (obligaciones estatales en relación con el medio ambiente en el marco de la protección y garantía de los derechos a la vida y a la integridad personal - interpretación y alcance de los artículos 4.1 y 5.1, en relación con los artículos 1.1 y 2 de la Convención Americana sobre Derechos Humanos). Opinión Consultiva OC-23/17</w:t>
      </w:r>
      <w:r w:rsidRPr="00BC57A2">
        <w:rPr>
          <w:sz w:val="16"/>
          <w:szCs w:val="16"/>
          <w:lang w:val="es-CR"/>
        </w:rPr>
        <w:t>, párr. 142</w:t>
      </w:r>
      <w:r w:rsidRPr="00BC57A2">
        <w:rPr>
          <w:bCs/>
          <w:iCs/>
          <w:sz w:val="16"/>
          <w:szCs w:val="16"/>
          <w:lang w:val="es-CR"/>
        </w:rPr>
        <w:t xml:space="preserve">. </w:t>
      </w:r>
    </w:p>
    <w:p w14:paraId="73E05A24" w14:textId="77777777" w:rsidR="0023585A" w:rsidRPr="00BC57A2" w:rsidRDefault="0023585A" w:rsidP="007C7E7C">
      <w:pPr>
        <w:pStyle w:val="Textonotapie"/>
        <w:tabs>
          <w:tab w:val="left" w:pos="426"/>
        </w:tabs>
        <w:rPr>
          <w:sz w:val="16"/>
          <w:szCs w:val="16"/>
          <w:lang w:val="es-CR"/>
        </w:rPr>
      </w:pPr>
    </w:p>
  </w:footnote>
  <w:footnote w:id="203">
    <w:p w14:paraId="00EF1569" w14:textId="77777777" w:rsidR="0023585A" w:rsidRPr="00BC57A2" w:rsidRDefault="0023585A" w:rsidP="007C7E7C">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Cfr.</w:t>
      </w:r>
      <w:r w:rsidRPr="00BC57A2">
        <w:rPr>
          <w:sz w:val="16"/>
          <w:szCs w:val="16"/>
          <w:lang w:val="es-CR"/>
        </w:rPr>
        <w:t xml:space="preserve"> </w:t>
      </w:r>
      <w:r w:rsidRPr="00BC57A2">
        <w:rPr>
          <w:i/>
          <w:sz w:val="16"/>
          <w:szCs w:val="16"/>
          <w:lang w:val="es-CR"/>
        </w:rPr>
        <w:t>Medio ambiente y derechos humanos (obligaciones estatales en relación con el medio ambiente en el marco de la protección y garantía de los derechos a la vida y a la integridad personal - interpretación y alcance de los artículos 4.1 y 5.1, en relación con los artículos 1.1 y 2 de la Convención Americana sobre Derechos Humanos). Opinión Consultiva OC-23/17</w:t>
      </w:r>
      <w:r w:rsidRPr="00BC57A2">
        <w:rPr>
          <w:sz w:val="16"/>
          <w:szCs w:val="16"/>
          <w:lang w:val="es-CR"/>
        </w:rPr>
        <w:t>, párr. 145.</w:t>
      </w:r>
    </w:p>
    <w:p w14:paraId="6F151A35" w14:textId="77777777" w:rsidR="0023585A" w:rsidRPr="00BC57A2" w:rsidRDefault="0023585A" w:rsidP="007C7E7C">
      <w:pPr>
        <w:pStyle w:val="Textonotapie"/>
        <w:rPr>
          <w:sz w:val="16"/>
          <w:szCs w:val="16"/>
          <w:lang w:val="es-CR"/>
        </w:rPr>
      </w:pPr>
    </w:p>
  </w:footnote>
  <w:footnote w:id="204">
    <w:p w14:paraId="179B64E2" w14:textId="77777777" w:rsidR="0023585A" w:rsidRPr="00BC57A2" w:rsidRDefault="0023585A" w:rsidP="007C7E7C">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sz w:val="16"/>
          <w:szCs w:val="16"/>
          <w:lang w:val="es-ES"/>
        </w:rPr>
        <w:t>Inclusive a la alimentación adecuada, al agua y a participar en la vida cultural.</w:t>
      </w:r>
      <w:r w:rsidRPr="00BC57A2">
        <w:rPr>
          <w:sz w:val="16"/>
          <w:szCs w:val="16"/>
          <w:lang w:val="es-CR"/>
        </w:rPr>
        <w:t xml:space="preserve"> </w:t>
      </w:r>
    </w:p>
    <w:p w14:paraId="3F79FA42" w14:textId="77777777" w:rsidR="0023585A" w:rsidRPr="00BC57A2" w:rsidRDefault="0023585A" w:rsidP="007C7E7C">
      <w:pPr>
        <w:pStyle w:val="Textonotapie"/>
        <w:rPr>
          <w:sz w:val="16"/>
          <w:szCs w:val="16"/>
          <w:lang w:val="es-CR"/>
        </w:rPr>
      </w:pPr>
    </w:p>
  </w:footnote>
  <w:footnote w:id="205">
    <w:p w14:paraId="45828CBE" w14:textId="77777777" w:rsidR="0023585A" w:rsidRPr="00BC57A2" w:rsidRDefault="0023585A" w:rsidP="007C7E7C">
      <w:pPr>
        <w:pStyle w:val="Textonotapie"/>
        <w:tabs>
          <w:tab w:val="left" w:pos="426"/>
        </w:tabs>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sz w:val="16"/>
          <w:szCs w:val="16"/>
          <w:lang w:val="es-CR"/>
        </w:rPr>
        <w:tab/>
      </w:r>
      <w:r w:rsidRPr="00BC57A2">
        <w:rPr>
          <w:i/>
          <w:sz w:val="16"/>
          <w:szCs w:val="16"/>
          <w:lang w:val="es-CR"/>
        </w:rPr>
        <w:t>Medio ambiente y derechos humanos (obligaciones estatales en relación con el medio ambiente en el marco de la protección y garantía de los derechos a la vida y a la integridad personal - interpretación y alcance de los artículos 4.1 y 5.1, en relación con los artículos 1.1 y 2 de la Convención Americana sobre Derechos Humanos). Opinión Consultiva OC-23/17</w:t>
      </w:r>
      <w:r w:rsidRPr="00BC57A2">
        <w:rPr>
          <w:sz w:val="16"/>
          <w:szCs w:val="16"/>
          <w:lang w:val="es-CR"/>
        </w:rPr>
        <w:t>, párrs. 66 y 67. La cita dentro del texto transcrito corresponde a: “</w:t>
      </w:r>
      <w:r w:rsidRPr="00BC57A2">
        <w:rPr>
          <w:rStyle w:val="Hipervnculo"/>
          <w:color w:val="auto"/>
          <w:sz w:val="16"/>
          <w:szCs w:val="16"/>
          <w:u w:val="none"/>
          <w:lang w:val="es-CR"/>
        </w:rPr>
        <w:t xml:space="preserve">Consejo de Derechos Humanos, Informe de la Oficina del Alto Comisionado de las Naciones Unidas para los Derechos Humanos sobre la relación entre el cambio climático y los derechos humanos, 15 de enero de 2009, Doc. ONU A/HRC/10/61, </w:t>
      </w:r>
      <w:r w:rsidRPr="00BC57A2">
        <w:rPr>
          <w:sz w:val="16"/>
          <w:szCs w:val="16"/>
          <w:lang w:val="es-CR"/>
        </w:rPr>
        <w:t xml:space="preserve">párr. 42, y </w:t>
      </w:r>
      <w:r w:rsidRPr="00BC57A2">
        <w:rPr>
          <w:rStyle w:val="Hipervnculo"/>
          <w:color w:val="auto"/>
          <w:sz w:val="16"/>
          <w:szCs w:val="16"/>
          <w:u w:val="none"/>
          <w:lang w:val="es-CR"/>
        </w:rPr>
        <w:t xml:space="preserve">Consejo de Derechos Humanos, Informe del Relator Especial sobre la cuestión de las obligaciones de derechos humanos relacionadas con el disfrute de un medio ambiente sin riesgos, limpio, saludable y sostenible, 1 de febrero de 2016, Doc. ONU A/HRC/31/52, </w:t>
      </w:r>
      <w:r w:rsidRPr="00BC57A2">
        <w:rPr>
          <w:sz w:val="16"/>
          <w:szCs w:val="16"/>
          <w:lang w:val="es-CR"/>
        </w:rPr>
        <w:t>párr. 81”.</w:t>
      </w:r>
    </w:p>
    <w:p w14:paraId="3C5E3BE7" w14:textId="77777777" w:rsidR="0023585A" w:rsidRPr="00BC57A2" w:rsidRDefault="0023585A" w:rsidP="007C7E7C">
      <w:pPr>
        <w:pStyle w:val="Textonotapie"/>
        <w:tabs>
          <w:tab w:val="left" w:pos="426"/>
        </w:tabs>
        <w:rPr>
          <w:sz w:val="16"/>
          <w:szCs w:val="16"/>
          <w:lang w:val="es-CR"/>
        </w:rPr>
      </w:pPr>
    </w:p>
  </w:footnote>
  <w:footnote w:id="206">
    <w:p w14:paraId="062CCF75" w14:textId="77777777" w:rsidR="0023585A" w:rsidRPr="00BC57A2" w:rsidRDefault="0023585A" w:rsidP="007C7E7C">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Aprobada en la Novena Conferencia Internacional Americana. Bogotá, Colombia, 1948.</w:t>
      </w:r>
    </w:p>
    <w:p w14:paraId="001F7A5F" w14:textId="77777777" w:rsidR="0023585A" w:rsidRPr="00BC57A2" w:rsidRDefault="0023585A" w:rsidP="007C7E7C">
      <w:pPr>
        <w:pStyle w:val="Textonotapie"/>
        <w:rPr>
          <w:sz w:val="16"/>
          <w:szCs w:val="16"/>
          <w:lang w:val="es-CR"/>
        </w:rPr>
      </w:pPr>
    </w:p>
  </w:footnote>
  <w:footnote w:id="207">
    <w:p w14:paraId="52A65132" w14:textId="77777777" w:rsidR="0023585A" w:rsidRPr="00BC57A2" w:rsidRDefault="0023585A" w:rsidP="007C7E7C">
      <w:pPr>
        <w:pStyle w:val="Textonotapie"/>
        <w:rPr>
          <w:rStyle w:val="pdf-link"/>
          <w:color w:val="454545"/>
          <w:sz w:val="16"/>
          <w:szCs w:val="16"/>
          <w:shd w:val="clear" w:color="auto" w:fill="FFFFFF"/>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sz w:val="16"/>
          <w:szCs w:val="16"/>
          <w:shd w:val="clear" w:color="auto" w:fill="FFFFFF"/>
          <w:lang w:val="es-CR"/>
        </w:rPr>
        <w:t>Proclamada por la Asamblea General de las Naciones Unidas en París, el 10 de diciembre de 1948 en su Resolución 217 A (III)</w:t>
      </w:r>
      <w:r w:rsidRPr="00BC57A2">
        <w:rPr>
          <w:rStyle w:val="pdf-link"/>
          <w:color w:val="454545"/>
          <w:sz w:val="16"/>
          <w:szCs w:val="16"/>
          <w:shd w:val="clear" w:color="auto" w:fill="FFFFFF"/>
          <w:lang w:val="es-CR"/>
        </w:rPr>
        <w:t>.</w:t>
      </w:r>
    </w:p>
    <w:p w14:paraId="5185DE54" w14:textId="77777777" w:rsidR="0023585A" w:rsidRPr="00BC57A2" w:rsidRDefault="0023585A" w:rsidP="007C7E7C">
      <w:pPr>
        <w:pStyle w:val="Textonotapie"/>
        <w:rPr>
          <w:sz w:val="16"/>
          <w:szCs w:val="16"/>
          <w:lang w:val="es-CR"/>
        </w:rPr>
      </w:pPr>
    </w:p>
  </w:footnote>
  <w:footnote w:id="208">
    <w:p w14:paraId="17AF2BB6" w14:textId="3AF9AEB0" w:rsidR="0023585A" w:rsidRPr="00BC57A2" w:rsidRDefault="0023585A" w:rsidP="007C7E7C">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El PIDESC entró en vigor el 3 de enero de 1976. Argentina firmó el tratado el 19 de febrero de 1968 y lo ratificó el 8 de agosto de 1986. El instrumento, desde la vigencia de la reforma constitucional nacional aprobada en 1994</w:t>
      </w:r>
      <w:r>
        <w:rPr>
          <w:sz w:val="16"/>
          <w:szCs w:val="16"/>
          <w:lang w:val="es-CR"/>
        </w:rPr>
        <w:t xml:space="preserve"> (</w:t>
      </w:r>
      <w:r>
        <w:rPr>
          <w:i/>
          <w:sz w:val="16"/>
          <w:szCs w:val="16"/>
          <w:lang w:val="es-CR"/>
        </w:rPr>
        <w:t xml:space="preserve">supra </w:t>
      </w:r>
      <w:r>
        <w:rPr>
          <w:sz w:val="16"/>
          <w:szCs w:val="16"/>
          <w:lang w:val="es-CR"/>
        </w:rPr>
        <w:t>párr. 54)</w:t>
      </w:r>
      <w:r w:rsidRPr="00BC57A2">
        <w:rPr>
          <w:sz w:val="16"/>
          <w:szCs w:val="16"/>
          <w:lang w:val="es-CR"/>
        </w:rPr>
        <w:t>, goza en Argentina de jerarquía constitucional (</w:t>
      </w:r>
      <w:r w:rsidRPr="00BC57A2">
        <w:rPr>
          <w:i/>
          <w:sz w:val="16"/>
          <w:szCs w:val="16"/>
          <w:lang w:val="es-CR"/>
        </w:rPr>
        <w:t>infra</w:t>
      </w:r>
      <w:r w:rsidRPr="00BC57A2">
        <w:rPr>
          <w:sz w:val="16"/>
          <w:szCs w:val="16"/>
          <w:lang w:val="es-CR"/>
        </w:rPr>
        <w:t xml:space="preserve">, párr. 214). </w:t>
      </w:r>
    </w:p>
    <w:p w14:paraId="362CADE0" w14:textId="77777777" w:rsidR="0023585A" w:rsidRPr="00BC57A2" w:rsidRDefault="0023585A" w:rsidP="007C7E7C">
      <w:pPr>
        <w:pStyle w:val="Textonotapie"/>
        <w:rPr>
          <w:sz w:val="16"/>
          <w:szCs w:val="16"/>
          <w:lang w:val="es-CR"/>
        </w:rPr>
      </w:pPr>
    </w:p>
  </w:footnote>
  <w:footnote w:id="209">
    <w:p w14:paraId="6B172C29" w14:textId="77777777" w:rsidR="0023585A" w:rsidRPr="00BC57A2" w:rsidRDefault="0023585A" w:rsidP="007C7E7C">
      <w:pPr>
        <w:pStyle w:val="Prrafodelista"/>
        <w:spacing w:after="0" w:line="240" w:lineRule="auto"/>
        <w:ind w:left="0"/>
        <w:jc w:val="both"/>
        <w:rPr>
          <w:rFonts w:ascii="Verdana" w:hAnsi="Verdana"/>
          <w:sz w:val="16"/>
          <w:szCs w:val="16"/>
          <w:lang w:val="es-CR"/>
        </w:rPr>
      </w:pPr>
      <w:r w:rsidRPr="00BC57A2">
        <w:rPr>
          <w:rStyle w:val="Refdenotaalpie"/>
          <w:rFonts w:ascii="Verdana" w:hAnsi="Verdana"/>
          <w:sz w:val="16"/>
          <w:szCs w:val="16"/>
        </w:rPr>
        <w:footnoteRef/>
      </w:r>
      <w:r w:rsidRPr="00BC57A2">
        <w:rPr>
          <w:rFonts w:ascii="Verdana" w:hAnsi="Verdana"/>
          <w:sz w:val="16"/>
          <w:szCs w:val="16"/>
          <w:lang w:val="es-CR"/>
        </w:rPr>
        <w:t xml:space="preserve"> </w:t>
      </w:r>
      <w:r w:rsidRPr="00BC57A2">
        <w:rPr>
          <w:rFonts w:ascii="Verdana" w:hAnsi="Verdana"/>
          <w:sz w:val="16"/>
          <w:szCs w:val="16"/>
          <w:lang w:val="es-CR"/>
        </w:rPr>
        <w:tab/>
      </w:r>
      <w:r w:rsidRPr="00BC57A2">
        <w:rPr>
          <w:rFonts w:ascii="Verdana" w:hAnsi="Verdana"/>
          <w:sz w:val="16"/>
          <w:szCs w:val="16"/>
        </w:rPr>
        <w:t>El artículo 41, denominado “Derecho a la salud”, dice: “</w:t>
      </w:r>
      <w:r w:rsidRPr="00BC57A2">
        <w:rPr>
          <w:rFonts w:ascii="Verdana" w:hAnsi="Verdana"/>
          <w:sz w:val="16"/>
          <w:szCs w:val="16"/>
          <w:lang w:val="es-CR"/>
        </w:rPr>
        <w:t>La salud es un derecho inherente a la vida y su preservación es un deber de cada persona. Es un bien social.</w:t>
      </w:r>
      <w:r w:rsidRPr="00BC57A2">
        <w:rPr>
          <w:rFonts w:ascii="Verdana" w:hAnsi="Verdana"/>
          <w:sz w:val="16"/>
          <w:szCs w:val="16"/>
        </w:rPr>
        <w:t xml:space="preserve"> </w:t>
      </w:r>
      <w:r w:rsidRPr="00BC57A2">
        <w:rPr>
          <w:rFonts w:ascii="Verdana" w:hAnsi="Verdana"/>
          <w:sz w:val="16"/>
          <w:szCs w:val="16"/>
          <w:lang w:val="es-CR"/>
        </w:rPr>
        <w:t>Compete al Estado el cuidado de la salud física, mental y social de las personas, y asegurar a todos la igualdad de prestaciones ante idénticas necesidades”. El artículo 33 establece</w:t>
      </w:r>
      <w:r w:rsidRPr="00BC57A2">
        <w:rPr>
          <w:rFonts w:ascii="Verdana" w:hAnsi="Verdana"/>
          <w:sz w:val="16"/>
          <w:szCs w:val="16"/>
        </w:rPr>
        <w:t xml:space="preserve"> “[e]l Estado asegura la protección de la infancia, cubriendo sus necesidades […] de […] alimentación”. El artículo 35 “</w:t>
      </w:r>
      <w:r w:rsidRPr="00BC57A2">
        <w:rPr>
          <w:rFonts w:ascii="Verdana" w:hAnsi="Verdana"/>
          <w:sz w:val="16"/>
          <w:szCs w:val="16"/>
          <w:lang w:val="es-CR"/>
        </w:rPr>
        <w:t>reconoce a la ancianidad el derecho a una existencia digna”, y establece que “[l]a Provincia procura a los habitantes de la tercera edad: […l]a alimentación”.</w:t>
      </w:r>
    </w:p>
    <w:p w14:paraId="73060D2A" w14:textId="77777777" w:rsidR="0023585A" w:rsidRPr="00BC57A2" w:rsidRDefault="0023585A" w:rsidP="007C7E7C">
      <w:pPr>
        <w:pStyle w:val="Prrafodelista"/>
        <w:spacing w:after="0" w:line="240" w:lineRule="auto"/>
        <w:ind w:left="0"/>
        <w:jc w:val="both"/>
        <w:rPr>
          <w:rFonts w:ascii="Verdana" w:hAnsi="Verdana"/>
          <w:sz w:val="16"/>
          <w:szCs w:val="16"/>
        </w:rPr>
      </w:pPr>
    </w:p>
  </w:footnote>
  <w:footnote w:id="210">
    <w:p w14:paraId="4A33F03B" w14:textId="77777777" w:rsidR="0023585A" w:rsidRPr="00BC57A2" w:rsidRDefault="0023585A" w:rsidP="007C7E7C">
      <w:pPr>
        <w:pStyle w:val="Textonotapie"/>
        <w:rPr>
          <w:sz w:val="16"/>
          <w:szCs w:val="16"/>
          <w:lang w:val="es-UY"/>
        </w:rPr>
      </w:pPr>
      <w:r w:rsidRPr="00BC57A2">
        <w:rPr>
          <w:rStyle w:val="Refdenotaalpie"/>
          <w:sz w:val="16"/>
          <w:szCs w:val="16"/>
        </w:rPr>
        <w:footnoteRef/>
      </w:r>
      <w:r w:rsidRPr="00BC57A2">
        <w:rPr>
          <w:sz w:val="16"/>
          <w:szCs w:val="16"/>
          <w:lang w:val="es-UY"/>
        </w:rPr>
        <w:t xml:space="preserve">  </w:t>
      </w:r>
      <w:r w:rsidRPr="00BC57A2">
        <w:rPr>
          <w:sz w:val="16"/>
          <w:szCs w:val="16"/>
          <w:lang w:val="es-UY"/>
        </w:rPr>
        <w:tab/>
        <w:t xml:space="preserve">Grupo sobre el PSS. </w:t>
      </w:r>
      <w:r w:rsidRPr="00BC57A2">
        <w:rPr>
          <w:i/>
          <w:sz w:val="16"/>
          <w:szCs w:val="16"/>
          <w:lang w:val="es-UY"/>
        </w:rPr>
        <w:t>Indicadores de progreso para la medición de derechos contemplados en el Protocolo de San Salvador.</w:t>
      </w:r>
      <w:r w:rsidRPr="00BC57A2">
        <w:rPr>
          <w:sz w:val="16"/>
          <w:szCs w:val="16"/>
          <w:lang w:val="es-UY"/>
        </w:rPr>
        <w:t xml:space="preserve"> 5 de noviembre de 2013. Doc. OEA/Ser.L/XXV.2.1 GT/PSS/doc.9/13. Segundo agrupamiento de Derechos, párr. 18. En la nota a pie de página 7, correspondiente a ese párrafo, se indicó que “Bolivia (Art. 16), Brasil (Art. 10), Ecuador (Art. 13), Guatemala (99), Guyana (Art. 40), Haití (Art. 22) y Nicaragua (Art. 63) reconocen el derecho a la alimentación para todos y todas en sus constituciones; Colombia (Art. 44), Cuba (Art. 9), Honduras (Art. 142-146) reconocen el derecho a la alimentación de los niños y niñas,  Surinam (Art. 24) reconoce el derecho a la alimentación en el contexto del derecho al trabajo. Argentina, El Salvador y Costa Rica reconocen implícitamente el derecho a la alimentación en sus constituciones al haber elevado a rango constitucional o supraconstitucional el Pacto Internacional de Derechos Económicos, Sociales y Culturales”. </w:t>
      </w:r>
    </w:p>
    <w:p w14:paraId="4593D788" w14:textId="77777777" w:rsidR="0023585A" w:rsidRPr="00BC57A2" w:rsidRDefault="0023585A" w:rsidP="007C7E7C">
      <w:pPr>
        <w:pStyle w:val="Textonotapie"/>
        <w:rPr>
          <w:sz w:val="16"/>
          <w:szCs w:val="16"/>
          <w:lang w:val="es-UY"/>
        </w:rPr>
      </w:pPr>
    </w:p>
  </w:footnote>
  <w:footnote w:id="211">
    <w:p w14:paraId="53C05CEA" w14:textId="796D9C46" w:rsidR="0023585A" w:rsidRPr="00BC57A2" w:rsidRDefault="0023585A" w:rsidP="007C7E7C">
      <w:pPr>
        <w:autoSpaceDE w:val="0"/>
        <w:autoSpaceDN w:val="0"/>
        <w:adjustRightInd w:val="0"/>
        <w:spacing w:after="0" w:line="240" w:lineRule="auto"/>
        <w:jc w:val="both"/>
        <w:rPr>
          <w:rFonts w:ascii="Verdana" w:hAnsi="Verdana" w:cs="Cambria"/>
          <w:sz w:val="16"/>
          <w:szCs w:val="16"/>
          <w:lang w:val="es-CR"/>
        </w:rPr>
      </w:pPr>
      <w:r w:rsidRPr="00BC57A2">
        <w:rPr>
          <w:rStyle w:val="Refdenotaalpie"/>
          <w:rFonts w:ascii="Verdana" w:hAnsi="Verdana"/>
          <w:sz w:val="16"/>
          <w:szCs w:val="16"/>
        </w:rPr>
        <w:footnoteRef/>
      </w:r>
      <w:r w:rsidRPr="00BC57A2">
        <w:rPr>
          <w:rFonts w:ascii="Verdana" w:hAnsi="Verdana"/>
          <w:sz w:val="16"/>
          <w:szCs w:val="16"/>
          <w:lang w:val="es-CR"/>
        </w:rPr>
        <w:t xml:space="preserve"> </w:t>
      </w:r>
      <w:r w:rsidRPr="00BC57A2">
        <w:rPr>
          <w:rFonts w:ascii="Verdana" w:hAnsi="Verdana"/>
          <w:sz w:val="16"/>
          <w:szCs w:val="16"/>
          <w:lang w:val="es-CR"/>
        </w:rPr>
        <w:tab/>
        <w:t xml:space="preserve">Comité DESC, </w:t>
      </w:r>
      <w:r w:rsidRPr="00BC57A2">
        <w:rPr>
          <w:rFonts w:ascii="Verdana" w:hAnsi="Verdana"/>
          <w:i/>
          <w:sz w:val="16"/>
          <w:szCs w:val="16"/>
          <w:lang w:val="es-CR"/>
        </w:rPr>
        <w:t>Observación General 12. El derecho a una alimentación adecuada (artículo 11)</w:t>
      </w:r>
      <w:r w:rsidRPr="00BC57A2">
        <w:rPr>
          <w:rFonts w:ascii="Verdana" w:hAnsi="Verdana"/>
          <w:sz w:val="16"/>
          <w:szCs w:val="16"/>
          <w:lang w:val="es-CR"/>
        </w:rPr>
        <w:t xml:space="preserve">. 20º periodo de sesiones (1999). Doc. E/C.12/1995/5, párr. 6. En el mismo sentido se expidió el Grupo </w:t>
      </w:r>
      <w:r>
        <w:rPr>
          <w:rFonts w:ascii="Verdana" w:hAnsi="Verdana"/>
          <w:sz w:val="16"/>
          <w:szCs w:val="16"/>
          <w:lang w:val="es-CR"/>
        </w:rPr>
        <w:t>sobre el PSS</w:t>
      </w:r>
      <w:r w:rsidRPr="00BC57A2">
        <w:rPr>
          <w:rFonts w:ascii="Verdana" w:hAnsi="Verdana"/>
          <w:sz w:val="16"/>
          <w:szCs w:val="16"/>
          <w:lang w:val="es-CR"/>
        </w:rPr>
        <w:t xml:space="preserve"> (</w:t>
      </w:r>
      <w:r w:rsidRPr="00BC57A2">
        <w:rPr>
          <w:rFonts w:ascii="Verdana" w:hAnsi="Verdana"/>
          <w:i/>
          <w:sz w:val="16"/>
          <w:szCs w:val="16"/>
          <w:lang w:val="es-CR"/>
        </w:rPr>
        <w:t>cfr.</w:t>
      </w:r>
      <w:r w:rsidRPr="00BC57A2">
        <w:rPr>
          <w:rFonts w:ascii="Verdana" w:hAnsi="Verdana"/>
          <w:sz w:val="16"/>
          <w:szCs w:val="16"/>
          <w:lang w:val="es-CR"/>
        </w:rPr>
        <w:t xml:space="preserve"> </w:t>
      </w:r>
      <w:r w:rsidRPr="00BC57A2">
        <w:rPr>
          <w:rFonts w:ascii="Verdana" w:hAnsi="Verdana"/>
          <w:i/>
          <w:sz w:val="16"/>
          <w:szCs w:val="16"/>
          <w:lang w:val="es-CR"/>
        </w:rPr>
        <w:t>Indicadores de progreso para la medición de derechos contemplados en el Protocolo de San Salvador – Segundo agrupamiento de Derechos</w:t>
      </w:r>
      <w:r w:rsidRPr="00BC57A2">
        <w:rPr>
          <w:rFonts w:ascii="Verdana" w:hAnsi="Verdana"/>
          <w:sz w:val="16"/>
          <w:szCs w:val="16"/>
          <w:lang w:val="es-CR"/>
        </w:rPr>
        <w:t xml:space="preserve">, párr. 19). Como se indicó en el </w:t>
      </w:r>
      <w:r w:rsidRPr="00BC57A2">
        <w:rPr>
          <w:rFonts w:ascii="Verdana" w:hAnsi="Verdana" w:cs="Cambria"/>
          <w:sz w:val="16"/>
          <w:szCs w:val="16"/>
          <w:lang w:val="es-CR"/>
        </w:rPr>
        <w:t xml:space="preserve">el escrito de </w:t>
      </w:r>
      <w:r w:rsidRPr="00BC57A2">
        <w:rPr>
          <w:rFonts w:ascii="Verdana" w:hAnsi="Verdana" w:cs="Cambria"/>
          <w:i/>
          <w:sz w:val="16"/>
          <w:szCs w:val="16"/>
          <w:lang w:val="es-CR"/>
        </w:rPr>
        <w:t>amicus curiae</w:t>
      </w:r>
      <w:r w:rsidRPr="00BC57A2">
        <w:rPr>
          <w:rFonts w:ascii="Verdana" w:hAnsi="Verdana" w:cs="Cambria"/>
          <w:sz w:val="16"/>
          <w:szCs w:val="16"/>
          <w:lang w:val="es-CR"/>
        </w:rPr>
        <w:t xml:space="preserve"> presentado por DPLF y otras organizaciones, la Carta genera un parámetro mínimo para la satisfacción del derecho a la alimentación, al establecer que los Estados deben procurar acceso a “una nutrición adecuada”; esta obligación se ve reforzada por el artículo XI de la Declaración Americana, que si bien menciona la “preserva[ción]” de la “salud”, no debe confundirse con el “derecho a la salud”, pues se refiere por separado a las medidas de “asistencia médica” y las “relativas a la alimentación”.</w:t>
      </w:r>
    </w:p>
    <w:p w14:paraId="15B9550D" w14:textId="77777777" w:rsidR="0023585A" w:rsidRPr="00BC57A2" w:rsidRDefault="0023585A" w:rsidP="007C7E7C">
      <w:pPr>
        <w:autoSpaceDE w:val="0"/>
        <w:autoSpaceDN w:val="0"/>
        <w:adjustRightInd w:val="0"/>
        <w:spacing w:after="0" w:line="240" w:lineRule="auto"/>
        <w:jc w:val="both"/>
        <w:rPr>
          <w:rFonts w:ascii="Verdana" w:hAnsi="Verdana"/>
          <w:sz w:val="16"/>
          <w:szCs w:val="16"/>
          <w:lang w:val="es-CR"/>
        </w:rPr>
      </w:pPr>
    </w:p>
  </w:footnote>
  <w:footnote w:id="212">
    <w:p w14:paraId="0200979D" w14:textId="77777777" w:rsidR="0023585A" w:rsidRPr="00BC57A2" w:rsidRDefault="0023585A" w:rsidP="007C7E7C">
      <w:pPr>
        <w:pStyle w:val="Prrafodelista"/>
        <w:spacing w:after="0" w:line="240" w:lineRule="auto"/>
        <w:ind w:left="0"/>
        <w:jc w:val="both"/>
        <w:rPr>
          <w:rFonts w:ascii="Verdana" w:hAnsi="Verdana"/>
          <w:sz w:val="16"/>
          <w:szCs w:val="16"/>
        </w:rPr>
      </w:pPr>
      <w:r w:rsidRPr="00BC57A2">
        <w:rPr>
          <w:rStyle w:val="Refdenotaalpie"/>
          <w:rFonts w:ascii="Verdana" w:hAnsi="Verdana"/>
          <w:sz w:val="16"/>
          <w:szCs w:val="16"/>
        </w:rPr>
        <w:footnoteRef/>
      </w:r>
      <w:r w:rsidRPr="00BC57A2">
        <w:rPr>
          <w:rFonts w:ascii="Verdana" w:hAnsi="Verdana"/>
          <w:sz w:val="16"/>
          <w:szCs w:val="16"/>
          <w:lang w:val="es-CR"/>
        </w:rPr>
        <w:t xml:space="preserve"> </w:t>
      </w:r>
      <w:r w:rsidRPr="00BC57A2">
        <w:rPr>
          <w:rFonts w:ascii="Verdana" w:hAnsi="Verdana"/>
          <w:sz w:val="16"/>
          <w:szCs w:val="16"/>
          <w:lang w:val="es-CR"/>
        </w:rPr>
        <w:tab/>
      </w:r>
      <w:r w:rsidRPr="00BC57A2">
        <w:rPr>
          <w:rFonts w:ascii="Verdana" w:hAnsi="Verdana"/>
          <w:sz w:val="16"/>
          <w:szCs w:val="16"/>
        </w:rPr>
        <w:t xml:space="preserve">Al respecto, aunado a lo ya expuesto, entre los instrumentos relevantes pueden citarse los siguientes: Convención sobre la Eliminación de todas las Formas de Discriminación contra la Mujer, art. 12; Convención sobre los Derechos del Niño, artículos 24 y 27, o la Convención sobre los Derechos de las Personas con Discapacidad, arts. 25 y 28 (Argentina ratificó la Convención sobre la eliminación de todas las formas de discriminación contra la mujer el 15 de julio de 1985, la Convención de los Derechos del niño el 4 de diciembre de 1990, y la Convención sobre los Derechos de las Personas con Discapacidad, el 2 de septiembre de 2008). De modo adicional, pueden señalarse documentos como los siguientes: Declaración Universal sobre la Erradicación del Hambre y la Malnutrición de 1974; la Declaración de Roma de la Seguridad Alimentaria Mundial de 1996; la Declaración de la Cumbre Mundial sobre Alimentación de 2002, o las Directrices voluntarias en apoyo de la realización progresiva del derecho humano a la alimentación en el contexto de la seguridad alimentaria nacional, aprobadas por el Consejo de la Organización de las Naciones Unidas para la Alimentación y la Agricultura (FAO) en 2004. </w:t>
      </w:r>
    </w:p>
    <w:p w14:paraId="6BC504E0" w14:textId="77777777" w:rsidR="0023585A" w:rsidRPr="00BC57A2" w:rsidRDefault="0023585A" w:rsidP="007C7E7C">
      <w:pPr>
        <w:pStyle w:val="Prrafodelista"/>
        <w:spacing w:after="0" w:line="240" w:lineRule="auto"/>
        <w:ind w:left="0"/>
        <w:jc w:val="both"/>
        <w:rPr>
          <w:rFonts w:ascii="Verdana" w:hAnsi="Verdana"/>
          <w:sz w:val="16"/>
          <w:szCs w:val="16"/>
        </w:rPr>
      </w:pPr>
    </w:p>
  </w:footnote>
  <w:footnote w:id="213">
    <w:p w14:paraId="0058F0FB" w14:textId="7D112F53" w:rsidR="0023585A" w:rsidRPr="00BC57A2" w:rsidRDefault="0023585A" w:rsidP="007C7E7C">
      <w:pPr>
        <w:pStyle w:val="Textonotapie"/>
        <w:rPr>
          <w:sz w:val="16"/>
          <w:szCs w:val="16"/>
          <w:lang w:val="fr-F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 xml:space="preserve">En un sentido similar procedió la Corte respecto de otros derechos. Así, puede citarse </w:t>
      </w:r>
      <w:r w:rsidRPr="00BC57A2">
        <w:rPr>
          <w:sz w:val="16"/>
          <w:szCs w:val="16"/>
          <w:lang w:val="es-PE"/>
        </w:rPr>
        <w:t xml:space="preserve">la sentencia sobre el caso </w:t>
      </w:r>
      <w:r w:rsidRPr="00BC57A2">
        <w:rPr>
          <w:i/>
          <w:sz w:val="16"/>
          <w:szCs w:val="16"/>
          <w:lang w:val="es-PE"/>
        </w:rPr>
        <w:t>Poblete Vilches y otros Vs. Chile</w:t>
      </w:r>
      <w:r w:rsidRPr="00BC57A2">
        <w:rPr>
          <w:sz w:val="16"/>
          <w:szCs w:val="16"/>
          <w:lang w:val="es-PE"/>
        </w:rPr>
        <w:t xml:space="preserve"> en relación con el derecho a la salud, o </w:t>
      </w:r>
      <w:r w:rsidRPr="00BC57A2">
        <w:rPr>
          <w:sz w:val="16"/>
          <w:szCs w:val="16"/>
          <w:lang w:val="es-CR"/>
        </w:rPr>
        <w:t>la sentencia sobre el caso</w:t>
      </w:r>
      <w:r w:rsidRPr="00BC57A2">
        <w:rPr>
          <w:i/>
          <w:sz w:val="16"/>
          <w:szCs w:val="16"/>
          <w:lang w:val="es-PE"/>
        </w:rPr>
        <w:t xml:space="preserve"> Muelle Flores Vs. Perú</w:t>
      </w:r>
      <w:r w:rsidRPr="00BC57A2">
        <w:rPr>
          <w:sz w:val="16"/>
          <w:szCs w:val="16"/>
          <w:lang w:val="es-PE"/>
        </w:rPr>
        <w:t>, respecto al derecho a la seguridad social (</w:t>
      </w:r>
      <w:r w:rsidRPr="00BC57A2">
        <w:rPr>
          <w:i/>
          <w:sz w:val="16"/>
          <w:szCs w:val="16"/>
          <w:lang w:val="es-PE"/>
        </w:rPr>
        <w:t>cfr.</w:t>
      </w:r>
      <w:r w:rsidRPr="00BC57A2">
        <w:rPr>
          <w:sz w:val="16"/>
          <w:szCs w:val="16"/>
          <w:lang w:val="es-PE"/>
        </w:rPr>
        <w:t xml:space="preserve"> </w:t>
      </w:r>
      <w:r w:rsidRPr="00BC57A2">
        <w:rPr>
          <w:rStyle w:val="Textoennegrita"/>
          <w:b w:val="0"/>
          <w:i/>
          <w:color w:val="000000"/>
          <w:sz w:val="16"/>
          <w:szCs w:val="16"/>
          <w:shd w:val="clear" w:color="auto" w:fill="FFFFFF"/>
          <w:lang w:val="es-CR"/>
        </w:rPr>
        <w:t>Caso Poblete Vilches y otros Vs. Chile</w:t>
      </w:r>
      <w:r w:rsidRPr="00BC57A2">
        <w:rPr>
          <w:rStyle w:val="Textoennegrita"/>
          <w:b w:val="0"/>
          <w:color w:val="000000"/>
          <w:sz w:val="16"/>
          <w:szCs w:val="16"/>
          <w:shd w:val="clear" w:color="auto" w:fill="FFFFFF"/>
          <w:lang w:val="es-CR"/>
        </w:rPr>
        <w:t xml:space="preserve">, párrs. 115, 118 y 120, y </w:t>
      </w:r>
      <w:r w:rsidRPr="00BC57A2">
        <w:rPr>
          <w:rStyle w:val="Textoennegrita"/>
          <w:b w:val="0"/>
          <w:i/>
          <w:color w:val="000000"/>
          <w:sz w:val="16"/>
          <w:szCs w:val="16"/>
          <w:shd w:val="clear" w:color="auto" w:fill="FFFFFF"/>
          <w:lang w:val="es-CR"/>
        </w:rPr>
        <w:t>Caso Muelle Flores Vs. Perú</w:t>
      </w:r>
      <w:r w:rsidRPr="00BC57A2">
        <w:rPr>
          <w:rStyle w:val="Textoennegrita"/>
          <w:b w:val="0"/>
          <w:color w:val="000000"/>
          <w:sz w:val="16"/>
          <w:szCs w:val="16"/>
          <w:shd w:val="clear" w:color="auto" w:fill="FFFFFF"/>
          <w:lang w:val="es-CR"/>
        </w:rPr>
        <w:t>,</w:t>
      </w:r>
      <w:r w:rsidRPr="00BC57A2">
        <w:rPr>
          <w:sz w:val="16"/>
          <w:szCs w:val="16"/>
          <w:lang w:val="es-PE"/>
        </w:rPr>
        <w:t xml:space="preserve"> párr. 184</w:t>
      </w:r>
      <w:r w:rsidRPr="00BC57A2">
        <w:rPr>
          <w:rStyle w:val="Textoennegrita"/>
          <w:b w:val="0"/>
          <w:color w:val="000000"/>
          <w:sz w:val="16"/>
          <w:szCs w:val="16"/>
          <w:shd w:val="clear" w:color="auto" w:fill="FFFFFF"/>
          <w:lang w:val="es-CR"/>
        </w:rPr>
        <w:t>)</w:t>
      </w:r>
      <w:r>
        <w:rPr>
          <w:rStyle w:val="Textoennegrita"/>
          <w:b w:val="0"/>
          <w:color w:val="000000"/>
          <w:sz w:val="16"/>
          <w:szCs w:val="16"/>
          <w:shd w:val="clear" w:color="auto" w:fill="FFFFFF"/>
          <w:lang w:val="es-CR"/>
        </w:rPr>
        <w:t>.</w:t>
      </w:r>
      <w:r w:rsidRPr="00BC57A2">
        <w:rPr>
          <w:sz w:val="16"/>
          <w:szCs w:val="16"/>
          <w:lang w:val="es-PE"/>
        </w:rPr>
        <w:t xml:space="preserve"> También el Grupo sobre el PSS procedió en forma similar, tomando los señalamientos del Comité DESC como una referencia relevante (</w:t>
      </w:r>
      <w:r w:rsidRPr="00BC57A2">
        <w:rPr>
          <w:i/>
          <w:sz w:val="16"/>
          <w:szCs w:val="16"/>
          <w:lang w:val="es-CR"/>
        </w:rPr>
        <w:t>cfr.</w:t>
      </w:r>
      <w:r w:rsidRPr="00BC57A2">
        <w:rPr>
          <w:sz w:val="16"/>
          <w:szCs w:val="16"/>
          <w:lang w:val="es-CR"/>
        </w:rPr>
        <w:t xml:space="preserve"> </w:t>
      </w:r>
      <w:r w:rsidRPr="00BC57A2">
        <w:rPr>
          <w:i/>
          <w:sz w:val="16"/>
          <w:szCs w:val="16"/>
          <w:lang w:val="es-CR"/>
        </w:rPr>
        <w:t>Indicadores de progreso para la medición de derechos contemplados en el Protocolo de San Salvador. -</w:t>
      </w:r>
      <w:r w:rsidRPr="00BC57A2">
        <w:rPr>
          <w:sz w:val="16"/>
          <w:szCs w:val="16"/>
          <w:lang w:val="es-CR"/>
        </w:rPr>
        <w:t xml:space="preserve"> </w:t>
      </w:r>
      <w:r w:rsidRPr="00BC57A2">
        <w:rPr>
          <w:i/>
          <w:sz w:val="16"/>
          <w:szCs w:val="16"/>
          <w:lang w:val="es-CR"/>
        </w:rPr>
        <w:t>Segundo agrupamiento de Derechos</w:t>
      </w:r>
      <w:r w:rsidRPr="00BC57A2">
        <w:rPr>
          <w:sz w:val="16"/>
          <w:szCs w:val="16"/>
          <w:lang w:val="es-CR"/>
        </w:rPr>
        <w:t>”</w:t>
      </w:r>
      <w:r w:rsidRPr="00BC57A2">
        <w:rPr>
          <w:sz w:val="16"/>
          <w:szCs w:val="16"/>
          <w:lang w:val="fr-FR"/>
        </w:rPr>
        <w:t>).</w:t>
      </w:r>
    </w:p>
    <w:p w14:paraId="6F216B14" w14:textId="77777777" w:rsidR="0023585A" w:rsidRPr="00BC57A2" w:rsidRDefault="0023585A" w:rsidP="007C7E7C">
      <w:pPr>
        <w:pStyle w:val="Textonotapie"/>
        <w:rPr>
          <w:sz w:val="16"/>
          <w:szCs w:val="16"/>
          <w:lang w:val="fr-FR"/>
        </w:rPr>
      </w:pPr>
      <w:r w:rsidRPr="00BC57A2">
        <w:rPr>
          <w:sz w:val="16"/>
          <w:szCs w:val="16"/>
          <w:lang w:val="fr-FR"/>
        </w:rPr>
        <w:t xml:space="preserve"> </w:t>
      </w:r>
    </w:p>
  </w:footnote>
  <w:footnote w:id="214">
    <w:p w14:paraId="7015CA50" w14:textId="77777777" w:rsidR="0023585A" w:rsidRPr="00BC57A2" w:rsidRDefault="0023585A" w:rsidP="007C7E7C">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 xml:space="preserve">Comité DESC. </w:t>
      </w:r>
      <w:r w:rsidRPr="00BC57A2">
        <w:rPr>
          <w:i/>
          <w:sz w:val="16"/>
          <w:szCs w:val="16"/>
          <w:lang w:val="es-CR"/>
        </w:rPr>
        <w:t>Observación General 12. El derecho a una alimentación adecuada (artículo 11)</w:t>
      </w:r>
      <w:r w:rsidRPr="00BC57A2">
        <w:rPr>
          <w:sz w:val="16"/>
          <w:szCs w:val="16"/>
          <w:lang w:val="es-CR"/>
        </w:rPr>
        <w:t>, párr. 8.</w:t>
      </w:r>
    </w:p>
    <w:p w14:paraId="0EFF4472" w14:textId="77777777" w:rsidR="0023585A" w:rsidRPr="00BC57A2" w:rsidRDefault="0023585A" w:rsidP="007C7E7C">
      <w:pPr>
        <w:pStyle w:val="Textonotapie"/>
        <w:rPr>
          <w:sz w:val="16"/>
          <w:szCs w:val="16"/>
          <w:lang w:val="es-CR"/>
        </w:rPr>
      </w:pPr>
      <w:r w:rsidRPr="00BC57A2">
        <w:rPr>
          <w:sz w:val="16"/>
          <w:szCs w:val="16"/>
          <w:lang w:val="es-CR"/>
        </w:rPr>
        <w:t xml:space="preserve"> </w:t>
      </w:r>
    </w:p>
  </w:footnote>
  <w:footnote w:id="215">
    <w:p w14:paraId="71F173BF" w14:textId="77777777" w:rsidR="0023585A" w:rsidRPr="00BC57A2" w:rsidRDefault="0023585A" w:rsidP="007C7E7C">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 xml:space="preserve">Comité DESC. </w:t>
      </w:r>
      <w:r w:rsidRPr="00BC57A2">
        <w:rPr>
          <w:i/>
          <w:sz w:val="16"/>
          <w:szCs w:val="16"/>
          <w:lang w:val="es-CR"/>
        </w:rPr>
        <w:t>Observación General 12. El derecho a una alimentación adecuada (artículo 11)</w:t>
      </w:r>
      <w:r w:rsidRPr="00BC57A2">
        <w:rPr>
          <w:sz w:val="16"/>
          <w:szCs w:val="16"/>
          <w:lang w:val="es-CR"/>
        </w:rPr>
        <w:t xml:space="preserve">, párrs. 12 y 13. En el último párrafo indicado, el Comité DESC expresó también que: a) “[l]a </w:t>
      </w:r>
      <w:r w:rsidRPr="00BC57A2">
        <w:rPr>
          <w:i/>
          <w:sz w:val="16"/>
          <w:szCs w:val="16"/>
          <w:lang w:val="es-CR"/>
        </w:rPr>
        <w:t>accesibilidad económica</w:t>
      </w:r>
      <w:r w:rsidRPr="00BC57A2">
        <w:rPr>
          <w:sz w:val="16"/>
          <w:szCs w:val="16"/>
          <w:lang w:val="es-CR"/>
        </w:rPr>
        <w:t xml:space="preserve"> implica que los costos financieros personales o familiares asociados con la adquisición de los alimentos necesarios para un régimen de alimentación adecuado deben estar a un nivel tal que no se vean amenazados o en peligro la provisión y la satisfacción de otras necesidades básicas. La accesibilidad económica se aplica a cualquier tipo o derecho de adquisición por el que las personas obtienen sus alimentos y es una medida del grado en que es satisfactorio para el disfrute del derecho a la alimentación adecuada. Los grupos socialmente vulnerables como las personas sin tierra y otros segmentos particularmente empobrecidos de la población pueden requerir la atención de programas especiales”, y b) “[l]a </w:t>
      </w:r>
      <w:r w:rsidRPr="00BC57A2">
        <w:rPr>
          <w:i/>
          <w:sz w:val="16"/>
          <w:szCs w:val="16"/>
          <w:lang w:val="es-CR"/>
        </w:rPr>
        <w:t>accesibilidad física</w:t>
      </w:r>
      <w:r w:rsidRPr="00BC57A2">
        <w:rPr>
          <w:sz w:val="16"/>
          <w:szCs w:val="16"/>
          <w:lang w:val="es-CR"/>
        </w:rPr>
        <w:t xml:space="preserve"> implica que la alimentación adecuada debe ser accesible a todos, incluidos los individuos físicamente vulnerables, tales como los lactantes y los niños pequeños, las personas de edad, los discapacitados físicos, los moribundos y las personas con problemas médicos persistentes, tales como los enfermos mentales. Será necesario prestar especial atención y, a veces, conceder prioridad con respecto a la accesibilidad de los alimentos a las personas que viven en zonas propensas a los desastres y a otros grupos particularmente desfavorecidos. Son especialmente vulnerables muchos grupos de pueblos indígenas cuyo acceso a las tierras ancestrales puede verse amenazado”.</w:t>
      </w:r>
    </w:p>
    <w:p w14:paraId="56F25847" w14:textId="77777777" w:rsidR="0023585A" w:rsidRPr="00BC57A2" w:rsidRDefault="0023585A" w:rsidP="007C7E7C">
      <w:pPr>
        <w:pStyle w:val="Textonotapie"/>
        <w:rPr>
          <w:sz w:val="16"/>
          <w:szCs w:val="16"/>
          <w:lang w:val="es-CR"/>
        </w:rPr>
      </w:pPr>
    </w:p>
  </w:footnote>
  <w:footnote w:id="216">
    <w:p w14:paraId="2A31793B" w14:textId="77777777" w:rsidR="0023585A" w:rsidRPr="00BC57A2" w:rsidRDefault="0023585A" w:rsidP="007C7E7C">
      <w:pPr>
        <w:pStyle w:val="Textonotapie"/>
        <w:rPr>
          <w:sz w:val="16"/>
          <w:szCs w:val="16"/>
          <w:lang w:val="es-CR"/>
        </w:rPr>
      </w:pPr>
      <w:r w:rsidRPr="00BC57A2">
        <w:rPr>
          <w:rStyle w:val="Refdenotaalpie"/>
          <w:sz w:val="16"/>
          <w:szCs w:val="16"/>
        </w:rPr>
        <w:footnoteRef/>
      </w:r>
      <w:r w:rsidRPr="00BC57A2">
        <w:rPr>
          <w:sz w:val="16"/>
          <w:szCs w:val="16"/>
          <w:lang w:val="fr-FR"/>
        </w:rPr>
        <w:t xml:space="preserve"> </w:t>
      </w:r>
      <w:r w:rsidRPr="00BC57A2">
        <w:rPr>
          <w:sz w:val="16"/>
          <w:szCs w:val="16"/>
          <w:lang w:val="fr-FR"/>
        </w:rPr>
        <w:tab/>
      </w:r>
      <w:r w:rsidRPr="00BC57A2">
        <w:rPr>
          <w:sz w:val="16"/>
          <w:szCs w:val="16"/>
          <w:lang w:val="es-CR"/>
        </w:rPr>
        <w:t xml:space="preserve">Comité DESC. </w:t>
      </w:r>
      <w:r w:rsidRPr="00BC57A2">
        <w:rPr>
          <w:i/>
          <w:sz w:val="16"/>
          <w:szCs w:val="16"/>
          <w:lang w:val="es-CR"/>
        </w:rPr>
        <w:t>Observación General 12. El derecho a una alimentación adecuada (artículo 11),</w:t>
      </w:r>
      <w:r w:rsidRPr="00BC57A2">
        <w:rPr>
          <w:sz w:val="16"/>
          <w:szCs w:val="16"/>
          <w:lang w:val="es-CR"/>
        </w:rPr>
        <w:t xml:space="preserve"> </w:t>
      </w:r>
      <w:r w:rsidRPr="00BC57A2">
        <w:rPr>
          <w:sz w:val="16"/>
          <w:szCs w:val="16"/>
          <w:lang w:val="fr-FR"/>
        </w:rPr>
        <w:t xml:space="preserve">párrs. </w:t>
      </w:r>
      <w:r w:rsidRPr="00BC57A2">
        <w:rPr>
          <w:sz w:val="16"/>
          <w:szCs w:val="16"/>
          <w:lang w:val="es-CR"/>
        </w:rPr>
        <w:t>7 y 11.</w:t>
      </w:r>
    </w:p>
    <w:p w14:paraId="47049351" w14:textId="77777777" w:rsidR="0023585A" w:rsidRPr="00BC57A2" w:rsidRDefault="0023585A" w:rsidP="007C7E7C">
      <w:pPr>
        <w:pStyle w:val="Textonotapie"/>
        <w:rPr>
          <w:sz w:val="16"/>
          <w:szCs w:val="16"/>
          <w:lang w:val="es-CR"/>
        </w:rPr>
      </w:pPr>
    </w:p>
  </w:footnote>
  <w:footnote w:id="217">
    <w:p w14:paraId="15945DD3" w14:textId="0180B4F1" w:rsidR="0023585A" w:rsidRPr="00BC57A2" w:rsidRDefault="0023585A" w:rsidP="007C7E7C">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 xml:space="preserve">La Corte ha señalado que, dado el deber de “respeto” mandado por el artículo 1.1 de la Convención, “los Estados deben abstenerse de […] cualquier práctica o actividad que deniegue o restrinja el acceso, en condiciones de igualdad, a los requisitos para una vida digna, como lo </w:t>
      </w:r>
      <w:r>
        <w:rPr>
          <w:sz w:val="16"/>
          <w:szCs w:val="16"/>
          <w:lang w:val="es-CR"/>
        </w:rPr>
        <w:t xml:space="preserve">[es] la alimentación adecuada” </w:t>
      </w:r>
      <w:r w:rsidRPr="00BC57A2">
        <w:rPr>
          <w:sz w:val="16"/>
          <w:szCs w:val="16"/>
          <w:lang w:val="es-CR"/>
        </w:rPr>
        <w:t>(</w:t>
      </w:r>
      <w:r w:rsidRPr="00BC57A2">
        <w:rPr>
          <w:i/>
          <w:sz w:val="16"/>
          <w:szCs w:val="16"/>
          <w:lang w:val="es-CR"/>
        </w:rPr>
        <w:t>Medio ambiente y derechos humanos (obligaciones estatales en relación con el medio ambiente en el marco de la protección y garantía de los derechos a la vida y a la integridad personal - interpretación y alcance de los artículos 4.1 y 5.1, en relación con los artículos 1.1 y 2 de la Convención Americana sobre Derechos Humanos). Opinión Consultiva OC-23/17</w:t>
      </w:r>
      <w:r w:rsidRPr="00BC57A2">
        <w:rPr>
          <w:sz w:val="16"/>
          <w:szCs w:val="16"/>
          <w:lang w:val="es-CR"/>
        </w:rPr>
        <w:t>, párr. 117)</w:t>
      </w:r>
      <w:r>
        <w:rPr>
          <w:sz w:val="16"/>
          <w:szCs w:val="16"/>
          <w:lang w:val="es-CR"/>
        </w:rPr>
        <w:t>.</w:t>
      </w:r>
      <w:r w:rsidRPr="00BC57A2">
        <w:rPr>
          <w:sz w:val="16"/>
          <w:szCs w:val="16"/>
          <w:lang w:val="es-CR"/>
        </w:rPr>
        <w:t xml:space="preserve">  </w:t>
      </w:r>
    </w:p>
    <w:p w14:paraId="77E0217E" w14:textId="77777777" w:rsidR="0023585A" w:rsidRPr="00BC57A2" w:rsidRDefault="0023585A" w:rsidP="007C7E7C">
      <w:pPr>
        <w:pStyle w:val="Textonotapie"/>
        <w:rPr>
          <w:sz w:val="16"/>
          <w:szCs w:val="16"/>
          <w:lang w:val="es-CR"/>
        </w:rPr>
      </w:pPr>
    </w:p>
  </w:footnote>
  <w:footnote w:id="218">
    <w:p w14:paraId="6C71E7AA" w14:textId="77777777" w:rsidR="0023585A" w:rsidRPr="00BC57A2" w:rsidRDefault="0023585A" w:rsidP="007C7E7C">
      <w:pPr>
        <w:pStyle w:val="Textonotapie"/>
        <w:rPr>
          <w:iCs/>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 xml:space="preserve">Comité DESC. </w:t>
      </w:r>
      <w:r w:rsidRPr="00BC57A2">
        <w:rPr>
          <w:i/>
          <w:sz w:val="16"/>
          <w:szCs w:val="16"/>
          <w:lang w:val="es-CR"/>
        </w:rPr>
        <w:t>Observación General 12. El derecho a una alimentación adecuada (artículo 11)</w:t>
      </w:r>
      <w:r w:rsidRPr="00BC57A2">
        <w:rPr>
          <w:sz w:val="16"/>
          <w:szCs w:val="16"/>
          <w:lang w:val="fr-FR"/>
        </w:rPr>
        <w:t>, párrs.</w:t>
      </w:r>
      <w:r w:rsidRPr="00BC57A2">
        <w:rPr>
          <w:sz w:val="16"/>
          <w:szCs w:val="16"/>
          <w:lang w:val="es-CR"/>
        </w:rPr>
        <w:t xml:space="preserve"> 15 y 19. Por otra parte, debe destacarse que la Corte ha señalado también que “</w:t>
      </w:r>
      <w:r w:rsidRPr="00BC57A2">
        <w:rPr>
          <w:iCs/>
          <w:sz w:val="16"/>
          <w:szCs w:val="16"/>
          <w:lang w:val="es-CR"/>
        </w:rPr>
        <w:t>en casos particulares de personas o grupos de personas que no están en condiciones de acceder por sí mismos […] a una alimentación adecuada, por razones ajenas a su voluntad, los Estados deben garantizar un mínimo esencial de […] alimentación” (</w:t>
      </w:r>
      <w:r w:rsidRPr="00BC57A2">
        <w:rPr>
          <w:i/>
          <w:sz w:val="16"/>
          <w:szCs w:val="16"/>
          <w:lang w:val="es-CR"/>
        </w:rPr>
        <w:t>Medio ambiente y derechos humanos (obligaciones estatales en relación con el medio ambiente en el marco de la protección y garantía de los derechos a la vida y a la integridad personal - interpretación y alcance de los artículos 4.1 y 5.1, en relación con los artículos 1.1 y 2 de la Convención Americana sobre Derechos Humanos). Opinión Consultiva OC-23/17</w:t>
      </w:r>
      <w:r w:rsidRPr="00BC57A2">
        <w:rPr>
          <w:iCs/>
          <w:sz w:val="16"/>
          <w:szCs w:val="16"/>
          <w:lang w:val="es-CR"/>
        </w:rPr>
        <w:t>, párr. 121).</w:t>
      </w:r>
    </w:p>
    <w:p w14:paraId="68D15F90" w14:textId="77777777" w:rsidR="0023585A" w:rsidRPr="00BC57A2" w:rsidRDefault="0023585A" w:rsidP="007C7E7C">
      <w:pPr>
        <w:pStyle w:val="Textonotapie"/>
        <w:rPr>
          <w:sz w:val="16"/>
          <w:szCs w:val="16"/>
          <w:lang w:val="es-CR"/>
        </w:rPr>
      </w:pPr>
    </w:p>
  </w:footnote>
  <w:footnote w:id="219">
    <w:p w14:paraId="434C0C6D" w14:textId="77777777" w:rsidR="0023585A" w:rsidRPr="00BC57A2" w:rsidRDefault="0023585A" w:rsidP="007C7E7C">
      <w:pPr>
        <w:pStyle w:val="Textonotapie"/>
        <w:rPr>
          <w:rFonts w:cs="Arial"/>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Este Tribunal ya con anterioridad ha adoptado decisiones sobre la base de advertir la existencia de derechos a partir del contenido de otros que surgen de textos convencionales aplicables. Así se ha hecho, por ejemplo</w:t>
      </w:r>
      <w:r>
        <w:rPr>
          <w:sz w:val="16"/>
          <w:szCs w:val="16"/>
          <w:lang w:val="es-CR"/>
        </w:rPr>
        <w:t>,</w:t>
      </w:r>
      <w:r w:rsidRPr="00BC57A2">
        <w:rPr>
          <w:sz w:val="16"/>
          <w:szCs w:val="16"/>
          <w:lang w:val="es-CR"/>
        </w:rPr>
        <w:t xml:space="preserve"> respecto al “derecho a la verdad”: la Corte ha indicado que </w:t>
      </w:r>
      <w:r w:rsidRPr="00BC57A2">
        <w:rPr>
          <w:sz w:val="16"/>
          <w:szCs w:val="16"/>
          <w:lang w:val="es-ES"/>
        </w:rPr>
        <w:t>“toda persona, incluyendo los familiares de las víctimas de graves violaciones a derechos humanos, tiene, de acuerdo con los artículos 1.1, 8.1, 25, así como en determinadas circunstancias el artículo 13 de la Convención, el derecho a conocer la verdad”</w:t>
      </w:r>
      <w:r w:rsidRPr="00BC57A2">
        <w:rPr>
          <w:rFonts w:cs="Arial"/>
          <w:sz w:val="16"/>
          <w:szCs w:val="16"/>
          <w:lang w:val="es-CR"/>
        </w:rPr>
        <w:t xml:space="preserve"> (</w:t>
      </w:r>
      <w:r w:rsidRPr="00BC57A2">
        <w:rPr>
          <w:rStyle w:val="Textoennegrita"/>
          <w:b w:val="0"/>
          <w:i/>
          <w:color w:val="000000"/>
          <w:sz w:val="16"/>
          <w:szCs w:val="16"/>
          <w:shd w:val="clear" w:color="auto" w:fill="FFFFFF"/>
          <w:lang w:val="es-CR"/>
        </w:rPr>
        <w:t>Caso Gelman Vs. Uruguay</w:t>
      </w:r>
      <w:r w:rsidRPr="00BC57A2">
        <w:rPr>
          <w:rStyle w:val="Textoennegrita"/>
          <w:b w:val="0"/>
          <w:color w:val="000000"/>
          <w:sz w:val="16"/>
          <w:szCs w:val="16"/>
          <w:shd w:val="clear" w:color="auto" w:fill="FFFFFF"/>
          <w:lang w:val="es-CR"/>
        </w:rPr>
        <w:t>,</w:t>
      </w:r>
      <w:r w:rsidRPr="00BC57A2">
        <w:rPr>
          <w:rStyle w:val="Textoennegrita"/>
          <w:color w:val="000000"/>
          <w:sz w:val="16"/>
          <w:szCs w:val="16"/>
          <w:shd w:val="clear" w:color="auto" w:fill="FFFFFF"/>
          <w:lang w:val="es-CR"/>
        </w:rPr>
        <w:t xml:space="preserve"> </w:t>
      </w:r>
      <w:r w:rsidRPr="00BC57A2">
        <w:rPr>
          <w:color w:val="000000"/>
          <w:sz w:val="16"/>
          <w:szCs w:val="16"/>
          <w:lang w:val="es-CR"/>
        </w:rPr>
        <w:t>párr. 243, y</w:t>
      </w:r>
      <w:r w:rsidRPr="00BC57A2">
        <w:rPr>
          <w:rStyle w:val="Ttulo1Car"/>
          <w:rFonts w:ascii="Verdana" w:hAnsi="Verdana"/>
          <w:color w:val="000000"/>
          <w:sz w:val="16"/>
          <w:szCs w:val="16"/>
          <w:shd w:val="clear" w:color="auto" w:fill="FFFFFF"/>
        </w:rPr>
        <w:t xml:space="preserve"> </w:t>
      </w:r>
      <w:r w:rsidRPr="00BC57A2">
        <w:rPr>
          <w:rStyle w:val="Textoennegrita"/>
          <w:b w:val="0"/>
          <w:i/>
          <w:color w:val="000000"/>
          <w:sz w:val="16"/>
          <w:szCs w:val="16"/>
          <w:shd w:val="clear" w:color="auto" w:fill="FFFFFF"/>
          <w:lang w:val="es-CR"/>
        </w:rPr>
        <w:t>Caso Masacres de El Mozote y lugares aledaños Vs. El Salvador. Fondo, Reparaciones y Costas.</w:t>
      </w:r>
      <w:r w:rsidRPr="00BC57A2">
        <w:rPr>
          <w:rStyle w:val="Textoennegrita"/>
          <w:b w:val="0"/>
          <w:color w:val="000000"/>
          <w:sz w:val="16"/>
          <w:szCs w:val="16"/>
          <w:shd w:val="clear" w:color="auto" w:fill="FFFFFF"/>
          <w:lang w:val="es-CR"/>
        </w:rPr>
        <w:t xml:space="preserve"> Sentencia de 25 de octubre de 2012. Serie C No. 252,</w:t>
      </w:r>
      <w:r w:rsidRPr="00BC57A2">
        <w:rPr>
          <w:rFonts w:cs="Arial"/>
          <w:sz w:val="16"/>
          <w:szCs w:val="16"/>
          <w:lang w:val="es-CR"/>
        </w:rPr>
        <w:t xml:space="preserve"> párr. 298; también, en el mismo sentido, </w:t>
      </w:r>
      <w:r w:rsidRPr="00BC57A2">
        <w:rPr>
          <w:rStyle w:val="Textoennegrita"/>
          <w:b w:val="0"/>
          <w:i/>
          <w:color w:val="000000"/>
          <w:sz w:val="16"/>
          <w:szCs w:val="16"/>
          <w:shd w:val="clear" w:color="auto" w:fill="FFFFFF"/>
          <w:lang w:val="es-CR"/>
        </w:rPr>
        <w:t>Caso Trujillo Oroza Vs. Bolivia. Reparaciones y Costas.</w:t>
      </w:r>
      <w:r w:rsidRPr="00BC57A2">
        <w:rPr>
          <w:rStyle w:val="Textoennegrita"/>
          <w:b w:val="0"/>
          <w:color w:val="000000"/>
          <w:sz w:val="16"/>
          <w:szCs w:val="16"/>
          <w:shd w:val="clear" w:color="auto" w:fill="FFFFFF"/>
          <w:lang w:val="es-CR"/>
        </w:rPr>
        <w:t xml:space="preserve"> Sentencia de 27 de febrero de 2002. Serie C No. 92, párr. 114, y</w:t>
      </w:r>
      <w:r w:rsidRPr="00BC57A2">
        <w:rPr>
          <w:rStyle w:val="Textoennegrita"/>
          <w:color w:val="000000"/>
          <w:sz w:val="16"/>
          <w:szCs w:val="16"/>
          <w:shd w:val="clear" w:color="auto" w:fill="FFFFFF"/>
          <w:lang w:val="es-CR"/>
        </w:rPr>
        <w:t xml:space="preserve"> </w:t>
      </w:r>
      <w:r w:rsidRPr="00BC57A2">
        <w:rPr>
          <w:rFonts w:cs="Arial"/>
          <w:i/>
          <w:sz w:val="16"/>
          <w:szCs w:val="16"/>
          <w:lang w:val="es-CR"/>
        </w:rPr>
        <w:t>Caso Omeara Carrascal y otros Vs. Colombia</w:t>
      </w:r>
      <w:r w:rsidRPr="00BC57A2">
        <w:rPr>
          <w:rFonts w:cs="Arial"/>
          <w:sz w:val="16"/>
          <w:szCs w:val="16"/>
          <w:lang w:val="es-CR"/>
        </w:rPr>
        <w:t xml:space="preserve">, párr. 256). </w:t>
      </w:r>
    </w:p>
    <w:p w14:paraId="578587C4" w14:textId="77777777" w:rsidR="0023585A" w:rsidRPr="00BC57A2" w:rsidRDefault="0023585A" w:rsidP="007C7E7C">
      <w:pPr>
        <w:pStyle w:val="Textonotapie"/>
        <w:rPr>
          <w:sz w:val="16"/>
          <w:szCs w:val="16"/>
          <w:lang w:val="es-CR"/>
        </w:rPr>
      </w:pPr>
    </w:p>
  </w:footnote>
  <w:footnote w:id="220">
    <w:p w14:paraId="38B63FB2" w14:textId="47BED782" w:rsidR="0023585A" w:rsidRPr="00BC57A2" w:rsidRDefault="0023585A" w:rsidP="007C7E7C">
      <w:pPr>
        <w:pStyle w:val="Prrafodelista"/>
        <w:shd w:val="clear" w:color="auto" w:fill="FFFFFF"/>
        <w:spacing w:after="0" w:line="240" w:lineRule="auto"/>
        <w:ind w:left="0"/>
        <w:jc w:val="both"/>
        <w:rPr>
          <w:rFonts w:ascii="Verdana" w:hAnsi="Verdana"/>
          <w:sz w:val="16"/>
          <w:szCs w:val="16"/>
        </w:rPr>
      </w:pPr>
      <w:r w:rsidRPr="00BC57A2">
        <w:rPr>
          <w:rStyle w:val="Refdenotaalpie"/>
          <w:rFonts w:ascii="Verdana" w:hAnsi="Verdana"/>
          <w:sz w:val="16"/>
          <w:szCs w:val="16"/>
        </w:rPr>
        <w:footnoteRef/>
      </w:r>
      <w:r w:rsidRPr="00BC57A2">
        <w:rPr>
          <w:rFonts w:ascii="Verdana" w:hAnsi="Verdana"/>
          <w:sz w:val="16"/>
          <w:szCs w:val="16"/>
          <w:lang w:val="es-CR"/>
        </w:rPr>
        <w:t xml:space="preserve"> </w:t>
      </w:r>
      <w:r w:rsidRPr="00BC57A2">
        <w:rPr>
          <w:rFonts w:ascii="Verdana" w:hAnsi="Verdana"/>
          <w:sz w:val="16"/>
          <w:szCs w:val="16"/>
          <w:lang w:val="es-CR"/>
        </w:rPr>
        <w:tab/>
      </w:r>
      <w:r w:rsidRPr="00BC57A2">
        <w:rPr>
          <w:rFonts w:ascii="Verdana" w:hAnsi="Verdana"/>
          <w:sz w:val="16"/>
          <w:szCs w:val="16"/>
        </w:rPr>
        <w:t xml:space="preserve">Debe dejarse sentado que </w:t>
      </w:r>
      <w:r w:rsidRPr="00BC57A2">
        <w:rPr>
          <w:rFonts w:ascii="Verdana" w:hAnsi="Verdana" w:cs="Arial"/>
          <w:sz w:val="16"/>
          <w:szCs w:val="16"/>
        </w:rPr>
        <w:t xml:space="preserve">la Corte ya ha indicado que </w:t>
      </w:r>
      <w:r w:rsidRPr="00BC57A2">
        <w:rPr>
          <w:rFonts w:ascii="Verdana" w:hAnsi="Verdana"/>
          <w:sz w:val="16"/>
          <w:szCs w:val="16"/>
          <w:lang w:val="es-CR"/>
        </w:rPr>
        <w:t>el derecho a la salud se incluye en el artículo 26, pues se deriva de los artículos 31.i, 31.l y 45.h de la Carta (</w:t>
      </w:r>
      <w:r w:rsidRPr="00BC57A2">
        <w:rPr>
          <w:rFonts w:ascii="Verdana" w:hAnsi="Verdana"/>
          <w:i/>
          <w:sz w:val="16"/>
          <w:szCs w:val="16"/>
          <w:lang w:val="es-CR"/>
        </w:rPr>
        <w:t>cfr.</w:t>
      </w:r>
      <w:r w:rsidRPr="00BC57A2">
        <w:rPr>
          <w:rFonts w:ascii="Verdana" w:hAnsi="Verdana"/>
          <w:sz w:val="16"/>
          <w:szCs w:val="16"/>
          <w:lang w:val="es-CR"/>
        </w:rPr>
        <w:t xml:space="preserve"> </w:t>
      </w:r>
      <w:r w:rsidRPr="00BC57A2">
        <w:rPr>
          <w:rFonts w:ascii="Verdana" w:hAnsi="Verdana"/>
          <w:i/>
          <w:sz w:val="16"/>
          <w:szCs w:val="16"/>
          <w:lang w:val="es-CR"/>
        </w:rPr>
        <w:t>Caso Poblete Vilches y otros Vs. Chile</w:t>
      </w:r>
      <w:r w:rsidRPr="00BC57A2">
        <w:rPr>
          <w:rFonts w:ascii="Verdana" w:hAnsi="Verdana"/>
          <w:sz w:val="16"/>
          <w:szCs w:val="16"/>
          <w:lang w:val="es-CR"/>
        </w:rPr>
        <w:t>, párr.106, y</w:t>
      </w:r>
      <w:r w:rsidRPr="00BC57A2">
        <w:rPr>
          <w:rFonts w:ascii="Verdana" w:hAnsi="Verdana"/>
          <w:i/>
          <w:sz w:val="16"/>
          <w:szCs w:val="16"/>
          <w:lang w:val="es-CR"/>
        </w:rPr>
        <w:t xml:space="preserve"> Caso Hernández Vs. Argentina</w:t>
      </w:r>
      <w:r w:rsidRPr="00BC57A2">
        <w:rPr>
          <w:rFonts w:ascii="Verdana" w:hAnsi="Verdana"/>
          <w:sz w:val="16"/>
          <w:szCs w:val="16"/>
          <w:lang w:val="es-CR"/>
        </w:rPr>
        <w:t>, párr. 64). Ahora bien, l</w:t>
      </w:r>
      <w:r w:rsidRPr="00BC57A2">
        <w:rPr>
          <w:rFonts w:ascii="Verdana" w:hAnsi="Verdana" w:cs="Arial"/>
          <w:sz w:val="16"/>
          <w:szCs w:val="16"/>
        </w:rPr>
        <w:t>a relación entre alimentación, salud y agua resulta evidente. Ha sido expresamente advertida por el Comité DESC, que ha dicho que “</w:t>
      </w:r>
      <w:r w:rsidRPr="00BC57A2">
        <w:rPr>
          <w:rFonts w:ascii="Verdana" w:hAnsi="Verdana"/>
          <w:color w:val="000000"/>
          <w:sz w:val="16"/>
          <w:szCs w:val="16"/>
        </w:rPr>
        <w:t xml:space="preserve">el derecho al agua […] está indisolublemente asociado al derecho al más alto nivel posible de salud [… y a] una alimentación </w:t>
      </w:r>
      <w:r w:rsidRPr="00BC57A2">
        <w:rPr>
          <w:rFonts w:ascii="Verdana" w:hAnsi="Verdana"/>
          <w:sz w:val="16"/>
          <w:szCs w:val="16"/>
        </w:rPr>
        <w:t xml:space="preserve">adecuada” </w:t>
      </w:r>
      <w:r w:rsidRPr="00BC57A2">
        <w:rPr>
          <w:rFonts w:ascii="Verdana" w:hAnsi="Verdana" w:cs="Arial"/>
          <w:sz w:val="16"/>
          <w:szCs w:val="16"/>
          <w:shd w:val="clear" w:color="auto" w:fill="FFFFFF"/>
        </w:rPr>
        <w:t xml:space="preserve">(Comité DESC. </w:t>
      </w:r>
      <w:r w:rsidRPr="00BC57A2">
        <w:rPr>
          <w:rFonts w:ascii="Verdana" w:hAnsi="Verdana" w:cs="Arial"/>
          <w:i/>
          <w:sz w:val="16"/>
          <w:szCs w:val="16"/>
          <w:shd w:val="clear" w:color="auto" w:fill="FFFFFF"/>
        </w:rPr>
        <w:t>Observación General 15. El derecho al agua (artículos 11 y 12 del Pacto Internacional de Derechos Económicos, Sociales y Culturales)</w:t>
      </w:r>
      <w:r w:rsidRPr="00BC57A2">
        <w:rPr>
          <w:rFonts w:ascii="Verdana" w:hAnsi="Verdana" w:cs="Arial"/>
          <w:sz w:val="16"/>
          <w:szCs w:val="16"/>
          <w:shd w:val="clear" w:color="auto" w:fill="FFFFFF"/>
        </w:rPr>
        <w:t xml:space="preserve">, párr. 3). </w:t>
      </w:r>
      <w:r w:rsidRPr="00BC57A2">
        <w:rPr>
          <w:rFonts w:ascii="Verdana" w:hAnsi="Verdana"/>
          <w:sz w:val="16"/>
          <w:szCs w:val="16"/>
        </w:rPr>
        <w:t xml:space="preserve">Este </w:t>
      </w:r>
      <w:r w:rsidRPr="00BC57A2">
        <w:rPr>
          <w:rFonts w:ascii="Verdana" w:hAnsi="Verdana" w:cs="Arial"/>
          <w:sz w:val="16"/>
          <w:szCs w:val="16"/>
        </w:rPr>
        <w:t>Tribunal, por su parte, ha recordado que “[e]</w:t>
      </w:r>
      <w:r w:rsidRPr="00BC57A2">
        <w:rPr>
          <w:rFonts w:ascii="Verdana" w:hAnsi="Verdana"/>
          <w:sz w:val="16"/>
          <w:szCs w:val="16"/>
        </w:rPr>
        <w:t xml:space="preserve">ntre las condiciones necesarias para una vida digna, </w:t>
      </w:r>
      <w:r>
        <w:rPr>
          <w:rFonts w:ascii="Verdana" w:hAnsi="Verdana"/>
          <w:sz w:val="16"/>
          <w:szCs w:val="16"/>
        </w:rPr>
        <w:t>[</w:t>
      </w:r>
      <w:r w:rsidRPr="00BC57A2">
        <w:rPr>
          <w:rFonts w:ascii="Verdana" w:hAnsi="Verdana"/>
          <w:sz w:val="16"/>
          <w:szCs w:val="16"/>
        </w:rPr>
        <w:t xml:space="preserve">…] se ha referido al acceso y calidad del agua, alimentación y salud, cuyo contenido ya ha sido definido en la jurisprudencia de esta Corte, indicando que estas condiciones impactan de manera aguda el derecho a una existencia digna y las condiciones básicas para el ejercicio de otros derechos humanos. Asimismo, </w:t>
      </w:r>
      <w:r w:rsidRPr="00BC57A2">
        <w:rPr>
          <w:rFonts w:ascii="Verdana" w:hAnsi="Verdana" w:cs="Arial"/>
          <w:sz w:val="16"/>
          <w:szCs w:val="16"/>
          <w:lang w:val="es-MX"/>
        </w:rPr>
        <w:t xml:space="preserve">la Corte ha incluido la protección del </w:t>
      </w:r>
      <w:r>
        <w:rPr>
          <w:rFonts w:ascii="Verdana" w:hAnsi="Verdana" w:cs="Arial"/>
          <w:sz w:val="16"/>
          <w:szCs w:val="16"/>
          <w:lang w:val="es-MX"/>
        </w:rPr>
        <w:t>[…]</w:t>
      </w:r>
      <w:r w:rsidRPr="00BC57A2">
        <w:rPr>
          <w:rFonts w:ascii="Verdana" w:hAnsi="Verdana" w:cs="Arial"/>
          <w:sz w:val="16"/>
          <w:szCs w:val="16"/>
          <w:lang w:val="es-MX"/>
        </w:rPr>
        <w:t xml:space="preserve"> ambiente como una condición para la vida digna”. Ha advertido que “[e]</w:t>
      </w:r>
      <w:r w:rsidRPr="00BC57A2">
        <w:rPr>
          <w:rFonts w:ascii="Verdana" w:hAnsi="Verdana"/>
          <w:iCs/>
          <w:sz w:val="16"/>
          <w:szCs w:val="16"/>
          <w:lang w:val="es-CR"/>
        </w:rPr>
        <w:t xml:space="preserve">ntre dichas condiciones cabe destacar que </w:t>
      </w:r>
      <w:r w:rsidRPr="00BC57A2">
        <w:rPr>
          <w:rFonts w:ascii="Verdana" w:hAnsi="Verdana"/>
          <w:sz w:val="16"/>
          <w:szCs w:val="16"/>
        </w:rPr>
        <w:t>la salud requiere de ciertas precondiciones necesarias para una vida saludable, por lo que se relaciona directamente con el acceso a la alimentación y al agua”, y que “la contaminación ambiental puede causar afectaciones a la salud”</w:t>
      </w:r>
      <w:r w:rsidRPr="00BC57A2">
        <w:rPr>
          <w:rFonts w:ascii="Verdana" w:hAnsi="Verdana"/>
          <w:iCs/>
          <w:sz w:val="16"/>
          <w:szCs w:val="16"/>
          <w:lang w:val="es-CR"/>
        </w:rPr>
        <w:t>, por lo que la protección del ambiente se relaciona directamente con el acceso a la alimentación, al agua y a salud.</w:t>
      </w:r>
      <w:r w:rsidRPr="00BC57A2">
        <w:rPr>
          <w:rFonts w:ascii="Verdana" w:hAnsi="Verdana"/>
          <w:sz w:val="16"/>
          <w:szCs w:val="16"/>
        </w:rPr>
        <w:t xml:space="preserve"> (</w:t>
      </w:r>
      <w:r w:rsidRPr="00BC57A2">
        <w:rPr>
          <w:rFonts w:ascii="Verdana" w:hAnsi="Verdana"/>
          <w:i/>
          <w:sz w:val="16"/>
          <w:szCs w:val="16"/>
          <w:lang w:val="es-CR"/>
        </w:rPr>
        <w:t>Medio ambiente y derechos humanos (obligaciones estatales en relación con el medio ambiente en el marco de la protección y garantía de los derechos a la vida y a la integridad personal - interpretación y alcance de los artículos 4.1 y 5.1, en relación con los artículos 1.1 y 2 de la Convención Americana sobre Derechos Humanos). Opinión Consultiva OC-23/17</w:t>
      </w:r>
      <w:r w:rsidRPr="00BC57A2">
        <w:rPr>
          <w:rFonts w:ascii="Verdana" w:hAnsi="Verdana"/>
          <w:sz w:val="16"/>
          <w:szCs w:val="16"/>
        </w:rPr>
        <w:t>, párrs. 109 y 110. Allí se cita la siguiente jurisprudencia de este Tribunal:</w:t>
      </w:r>
      <w:r w:rsidRPr="00BC57A2">
        <w:rPr>
          <w:rFonts w:ascii="Verdana" w:hAnsi="Verdana"/>
          <w:sz w:val="16"/>
          <w:szCs w:val="16"/>
          <w:lang w:val="es-CR"/>
        </w:rPr>
        <w:t xml:space="preserve"> </w:t>
      </w:r>
      <w:r w:rsidRPr="00BC57A2">
        <w:rPr>
          <w:rStyle w:val="Textoennegrita"/>
          <w:rFonts w:ascii="Verdana" w:hAnsi="Verdana"/>
          <w:b w:val="0"/>
          <w:i/>
          <w:color w:val="000000"/>
          <w:sz w:val="16"/>
          <w:szCs w:val="16"/>
          <w:shd w:val="clear" w:color="auto" w:fill="FFFFFF"/>
        </w:rPr>
        <w:t>Caso Comunidad Indígena Yakye Axa Vs. Paraguay</w:t>
      </w:r>
      <w:r w:rsidRPr="00BC57A2">
        <w:rPr>
          <w:rFonts w:ascii="Verdana" w:hAnsi="Verdana"/>
          <w:sz w:val="16"/>
          <w:szCs w:val="16"/>
          <w:lang w:val="es-CR"/>
        </w:rPr>
        <w:t xml:space="preserve">, párrs. 163 y 167; </w:t>
      </w:r>
      <w:r w:rsidRPr="00BC57A2">
        <w:rPr>
          <w:rStyle w:val="Textoennegrita"/>
          <w:rFonts w:ascii="Verdana" w:hAnsi="Verdana"/>
          <w:b w:val="0"/>
          <w:i/>
          <w:color w:val="000000"/>
          <w:sz w:val="16"/>
          <w:szCs w:val="16"/>
          <w:shd w:val="clear" w:color="auto" w:fill="FFFFFF"/>
        </w:rPr>
        <w:t>Caso Comunidad Indígena Sawhoyamaxa Vs. Paraguay</w:t>
      </w:r>
      <w:r w:rsidRPr="00BC57A2">
        <w:rPr>
          <w:rFonts w:ascii="Verdana" w:hAnsi="Verdana"/>
          <w:sz w:val="16"/>
          <w:szCs w:val="16"/>
          <w:lang w:val="es-CR"/>
        </w:rPr>
        <w:t xml:space="preserve">, párrs. 156 a 178; </w:t>
      </w:r>
      <w:r w:rsidRPr="00BC57A2">
        <w:rPr>
          <w:rStyle w:val="Textoennegrita"/>
          <w:rFonts w:ascii="Verdana" w:hAnsi="Verdana"/>
          <w:b w:val="0"/>
          <w:i/>
          <w:color w:val="000000"/>
          <w:sz w:val="16"/>
          <w:szCs w:val="16"/>
          <w:shd w:val="clear" w:color="auto" w:fill="FFFFFF"/>
        </w:rPr>
        <w:t xml:space="preserve">Caso Comunidad Indígena Xákmok Kásek Vs. Paraguay. Fondo, Reparaciones y Costas. </w:t>
      </w:r>
      <w:r w:rsidRPr="00BC57A2">
        <w:rPr>
          <w:rStyle w:val="Textoennegrita"/>
          <w:rFonts w:ascii="Verdana" w:hAnsi="Verdana"/>
          <w:b w:val="0"/>
          <w:color w:val="000000"/>
          <w:sz w:val="16"/>
          <w:szCs w:val="16"/>
          <w:shd w:val="clear" w:color="auto" w:fill="FFFFFF"/>
        </w:rPr>
        <w:t>Sentencia de 24 de agosto de 2010. Serie C No. 214</w:t>
      </w:r>
      <w:r w:rsidRPr="00BC57A2">
        <w:rPr>
          <w:rFonts w:ascii="Verdana" w:hAnsi="Verdana"/>
          <w:iCs/>
          <w:sz w:val="16"/>
          <w:szCs w:val="16"/>
          <w:lang w:val="es-CR"/>
        </w:rPr>
        <w:t xml:space="preserve">, párrs. 187 y 195 a 213; </w:t>
      </w:r>
      <w:r w:rsidRPr="00BC57A2">
        <w:rPr>
          <w:rStyle w:val="Textoennegrita"/>
          <w:rFonts w:ascii="Verdana" w:hAnsi="Verdana"/>
          <w:b w:val="0"/>
          <w:i/>
          <w:color w:val="000000"/>
          <w:sz w:val="16"/>
          <w:szCs w:val="16"/>
          <w:shd w:val="clear" w:color="auto" w:fill="FFFFFF"/>
        </w:rPr>
        <w:t xml:space="preserve">Caso Artavia Murillo y otros (Fecundación in Vitro) Vs. Costa Rica. Excepciones Preliminares, Fondo, Reparaciones y Costas. </w:t>
      </w:r>
      <w:r w:rsidRPr="00BC57A2">
        <w:rPr>
          <w:rStyle w:val="Textoennegrita"/>
          <w:rFonts w:ascii="Verdana" w:hAnsi="Verdana"/>
          <w:b w:val="0"/>
          <w:color w:val="000000"/>
          <w:sz w:val="16"/>
          <w:szCs w:val="16"/>
          <w:shd w:val="clear" w:color="auto" w:fill="FFFFFF"/>
        </w:rPr>
        <w:t>Sentencia de 28 de noviembre de 2012. Serie C No. 257</w:t>
      </w:r>
      <w:r w:rsidRPr="00BC57A2">
        <w:rPr>
          <w:rFonts w:ascii="Verdana" w:hAnsi="Verdana"/>
          <w:sz w:val="16"/>
          <w:szCs w:val="16"/>
          <w:lang w:val="es-CR"/>
        </w:rPr>
        <w:t xml:space="preserve">, párr. 148; </w:t>
      </w:r>
      <w:r w:rsidRPr="00BC57A2">
        <w:rPr>
          <w:rStyle w:val="Textoennegrita"/>
          <w:rFonts w:ascii="Verdana" w:hAnsi="Verdana"/>
          <w:b w:val="0"/>
          <w:i/>
          <w:color w:val="000000"/>
          <w:sz w:val="16"/>
          <w:szCs w:val="16"/>
          <w:shd w:val="clear" w:color="auto" w:fill="FFFFFF"/>
        </w:rPr>
        <w:t>Caso Pueblos Kaliña y Lokono Vs. Surinam</w:t>
      </w:r>
      <w:r w:rsidRPr="00BC57A2">
        <w:rPr>
          <w:rFonts w:ascii="Verdana" w:hAnsi="Verdana"/>
          <w:iCs/>
          <w:sz w:val="16"/>
          <w:szCs w:val="16"/>
          <w:lang w:val="es-CR"/>
        </w:rPr>
        <w:t>, párr. 172, y</w:t>
      </w:r>
      <w:r w:rsidRPr="00BC57A2">
        <w:rPr>
          <w:rFonts w:ascii="Verdana" w:hAnsi="Verdana"/>
          <w:b/>
          <w:iCs/>
          <w:sz w:val="16"/>
          <w:szCs w:val="16"/>
          <w:lang w:val="es-CR"/>
        </w:rPr>
        <w:t xml:space="preserve"> </w:t>
      </w:r>
      <w:r w:rsidRPr="00BC57A2">
        <w:rPr>
          <w:rStyle w:val="Textoennegrita"/>
          <w:rFonts w:ascii="Verdana" w:hAnsi="Verdana"/>
          <w:b w:val="0"/>
          <w:i/>
          <w:color w:val="000000"/>
          <w:sz w:val="16"/>
          <w:szCs w:val="16"/>
          <w:shd w:val="clear" w:color="auto" w:fill="FFFFFF"/>
        </w:rPr>
        <w:t>Caso Chinchilla Sandoval y otros Vs. Guatemala. Excepción Preliminar, Fondo, Reparaciones y Costas.</w:t>
      </w:r>
      <w:r w:rsidRPr="00BC57A2">
        <w:rPr>
          <w:rStyle w:val="Textoennegrita"/>
          <w:rFonts w:ascii="Verdana" w:hAnsi="Verdana"/>
          <w:b w:val="0"/>
          <w:color w:val="000000"/>
          <w:sz w:val="16"/>
          <w:szCs w:val="16"/>
          <w:shd w:val="clear" w:color="auto" w:fill="FFFFFF"/>
        </w:rPr>
        <w:t xml:space="preserve"> Sentencia de 29 de febrero de 2016. Serie C No. 312</w:t>
      </w:r>
      <w:r w:rsidRPr="00BC57A2">
        <w:rPr>
          <w:rStyle w:val="Textoennegrita"/>
          <w:rFonts w:ascii="Verdana" w:hAnsi="Verdana"/>
          <w:b w:val="0"/>
          <w:sz w:val="16"/>
          <w:szCs w:val="16"/>
          <w:shd w:val="clear" w:color="auto" w:fill="FFFFFF"/>
          <w:lang w:val="es-CR"/>
        </w:rPr>
        <w:t>, párr. 168. También se cita:</w:t>
      </w:r>
      <w:r w:rsidRPr="00BC57A2">
        <w:rPr>
          <w:rStyle w:val="Textoennegrita"/>
          <w:rFonts w:ascii="Verdana" w:hAnsi="Verdana"/>
          <w:sz w:val="16"/>
          <w:szCs w:val="16"/>
          <w:shd w:val="clear" w:color="auto" w:fill="FFFFFF"/>
          <w:lang w:val="es-CR"/>
        </w:rPr>
        <w:t xml:space="preserve"> </w:t>
      </w:r>
      <w:r w:rsidRPr="00BC57A2">
        <w:rPr>
          <w:rFonts w:ascii="Verdana" w:hAnsi="Verdana"/>
          <w:sz w:val="16"/>
          <w:szCs w:val="16"/>
          <w:lang w:val="es-CR"/>
        </w:rPr>
        <w:t xml:space="preserve">Comité DESC. </w:t>
      </w:r>
      <w:r w:rsidRPr="00BC57A2">
        <w:rPr>
          <w:rFonts w:ascii="Verdana" w:hAnsi="Verdana"/>
          <w:i/>
          <w:sz w:val="16"/>
          <w:szCs w:val="16"/>
          <w:lang w:val="es-CR"/>
        </w:rPr>
        <w:t>Observación General 14: El derecho al disfrute del más alto de nivel posible de salud (artículo 12 del Pacto Internacional de Derechos Económicos, Sociales y Culturales)</w:t>
      </w:r>
      <w:r w:rsidRPr="00BC57A2">
        <w:rPr>
          <w:rFonts w:ascii="Verdana" w:hAnsi="Verdana"/>
          <w:sz w:val="16"/>
          <w:szCs w:val="16"/>
          <w:lang w:val="es-CR"/>
        </w:rPr>
        <w:t xml:space="preserve">, párrs. 4 y 34 y </w:t>
      </w:r>
      <w:r w:rsidRPr="00BC57A2">
        <w:rPr>
          <w:rFonts w:ascii="Verdana" w:hAnsi="Verdana"/>
          <w:iCs/>
          <w:sz w:val="16"/>
          <w:szCs w:val="16"/>
          <w:lang w:val="es-CR"/>
        </w:rPr>
        <w:t xml:space="preserve">Comité Europeo de Derechos Sociales, </w:t>
      </w:r>
      <w:r w:rsidRPr="00BC57A2">
        <w:rPr>
          <w:rFonts w:ascii="Verdana" w:hAnsi="Verdana"/>
          <w:i/>
          <w:iCs/>
          <w:sz w:val="16"/>
          <w:szCs w:val="16"/>
          <w:lang w:val="es-CR"/>
        </w:rPr>
        <w:t>Demanda Nº 30/2005, Fundación para los derechos humanos “Marangopoulos” Vs. Grecia</w:t>
      </w:r>
      <w:r w:rsidRPr="00BC57A2">
        <w:rPr>
          <w:rFonts w:ascii="Verdana" w:hAnsi="Verdana"/>
          <w:iCs/>
          <w:sz w:val="16"/>
          <w:szCs w:val="16"/>
          <w:lang w:val="es-CR"/>
        </w:rPr>
        <w:t xml:space="preserve"> (Fondo). Decisión del 6 de diciembre de 2006, párr. 195. L</w:t>
      </w:r>
      <w:r w:rsidRPr="00BC57A2">
        <w:rPr>
          <w:rFonts w:ascii="Verdana" w:hAnsi="Verdana" w:cs="Arial"/>
          <w:sz w:val="16"/>
          <w:szCs w:val="16"/>
        </w:rPr>
        <w:t xml:space="preserve">a Corte ha señalado además que: a) el “derecho al agua” está </w:t>
      </w:r>
      <w:r w:rsidRPr="00BC57A2">
        <w:rPr>
          <w:rFonts w:ascii="Verdana" w:hAnsi="Verdana"/>
          <w:sz w:val="16"/>
          <w:szCs w:val="16"/>
          <w:lang w:val="es-ES"/>
        </w:rPr>
        <w:t>entre “los derechos particularmente</w:t>
      </w:r>
      <w:r w:rsidRPr="00BC57A2">
        <w:rPr>
          <w:rFonts w:ascii="Verdana" w:eastAsia="Times New Roman" w:hAnsi="Verdana" w:cs="Arial"/>
          <w:sz w:val="16"/>
          <w:szCs w:val="16"/>
          <w:lang w:val="es-CR" w:eastAsia="es-CR"/>
        </w:rPr>
        <w:t xml:space="preserve"> </w:t>
      </w:r>
      <w:r w:rsidRPr="00BC57A2">
        <w:rPr>
          <w:rFonts w:ascii="Verdana" w:hAnsi="Verdana"/>
          <w:sz w:val="16"/>
          <w:szCs w:val="16"/>
          <w:lang w:val="es-ES"/>
        </w:rPr>
        <w:t xml:space="preserve">vulnerables a afectaciones ambientales”, </w:t>
      </w:r>
      <w:r w:rsidRPr="00BC57A2">
        <w:rPr>
          <w:rFonts w:ascii="Verdana" w:hAnsi="Verdana" w:cs="Arial"/>
          <w:sz w:val="16"/>
          <w:szCs w:val="16"/>
        </w:rPr>
        <w:t>b) “</w:t>
      </w:r>
      <w:r w:rsidRPr="00BC57A2">
        <w:rPr>
          <w:rFonts w:ascii="Verdana" w:hAnsi="Verdana"/>
          <w:sz w:val="16"/>
          <w:szCs w:val="16"/>
        </w:rPr>
        <w:t>el Consejo de Derechos Humanos ha identificado amenazas ambientales que pueden afectar, de manera directa o indirecta, el goce efectivo de derechos humanos concretos, [entre ellos, el derecho al] agua”, y c) que “el acceso al agua y a […] aliment[os] puede ser afectado por ejemplo, si la contaminación limita la disponibilidad de los mismos en cantidades suficientes o afecta su calidad”(</w:t>
      </w:r>
      <w:r w:rsidRPr="00BC57A2">
        <w:rPr>
          <w:rFonts w:ascii="Verdana" w:hAnsi="Verdana"/>
          <w:i/>
          <w:sz w:val="16"/>
          <w:szCs w:val="16"/>
          <w:lang w:val="es-CR"/>
        </w:rPr>
        <w:t>Medio ambiente y derechos humanos (obligaciones estatales en relación con el medio ambiente en el marco de la protección y garantía de los derechos a la vida y a la integridad personal - interpretación y alcance de los artículos 4.1 y 5.1, en relación con los artículos 1.1 y 2 de la Convención Americana sobre Derechos Humanos). Opinión Consultiva OC-23/17</w:t>
      </w:r>
      <w:r w:rsidRPr="00BC57A2">
        <w:rPr>
          <w:rFonts w:ascii="Verdana" w:hAnsi="Verdana"/>
          <w:sz w:val="16"/>
          <w:szCs w:val="16"/>
        </w:rPr>
        <w:t xml:space="preserve">, párrs. 66, 54, 111. Respecto a la mención al Consejo de Derechos Humanos, se citó: “Consejo de Derechos Humanos, Resolución 35, titulada ‘Los derechos humanos y el cambio climático’, adoptada el 19 de junio de 2017, Doc. ONU A/HRC/35/L.32; Consejo de Derechos Humanos, Informe del Relator Especial sobre la cuestión de las obligaciones de derechos humanos relacionadas con el disfrute de un medio ambiente sin riesgos, limpio, saludable y sostenible, 1 de febrero de 2016, Doc. ONU A/HRC/31/52, párrs. 9 y 23; Consejo de Derechos Humanos, Informe de la Oficina del Alto Comisionado de las Naciones Unidas para los Derechos Humanos sobre la relación entre el cambio climático y los derechos humanos, 15 de enero de 2009, Doc. ONU A/HRC/10/61, párrs. 18 y 24, y Consejo de Derechos Humanos, Estudio analítico de la relación entre los derechos humanos y el medio ambiente, Informe de la Alta Comisionada de las Naciones Unidas para los Derechos Humanos, 16 de diciembre de 2001, Doc. ONU A/HRC/19/34, párr. 7”). </w:t>
      </w:r>
    </w:p>
    <w:p w14:paraId="42B6732B" w14:textId="77777777" w:rsidR="0023585A" w:rsidRPr="00BC57A2" w:rsidRDefault="0023585A" w:rsidP="007C7E7C">
      <w:pPr>
        <w:pStyle w:val="Prrafodelista"/>
        <w:shd w:val="clear" w:color="auto" w:fill="FFFFFF"/>
        <w:spacing w:after="0" w:line="240" w:lineRule="auto"/>
        <w:ind w:left="0"/>
        <w:jc w:val="both"/>
        <w:rPr>
          <w:rFonts w:ascii="Verdana" w:hAnsi="Verdana"/>
          <w:sz w:val="16"/>
          <w:szCs w:val="16"/>
          <w:lang w:val="es-CR"/>
        </w:rPr>
      </w:pPr>
    </w:p>
  </w:footnote>
  <w:footnote w:id="221">
    <w:p w14:paraId="6C6D1ADA" w14:textId="77777777" w:rsidR="0023585A" w:rsidRPr="00BC57A2" w:rsidRDefault="0023585A" w:rsidP="007C7E7C">
      <w:pPr>
        <w:pStyle w:val="Prrafodelista"/>
        <w:shd w:val="clear" w:color="auto" w:fill="FFFFFF"/>
        <w:spacing w:after="0" w:line="240" w:lineRule="auto"/>
        <w:ind w:left="0"/>
        <w:jc w:val="both"/>
        <w:rPr>
          <w:rFonts w:ascii="Verdana" w:hAnsi="Verdana" w:cs="Arial"/>
          <w:sz w:val="16"/>
          <w:szCs w:val="16"/>
        </w:rPr>
      </w:pPr>
      <w:r w:rsidRPr="00BC57A2">
        <w:rPr>
          <w:rStyle w:val="Refdenotaalpie"/>
          <w:rFonts w:ascii="Verdana" w:hAnsi="Verdana"/>
          <w:sz w:val="16"/>
          <w:szCs w:val="16"/>
        </w:rPr>
        <w:footnoteRef/>
      </w:r>
      <w:r w:rsidRPr="00BC57A2">
        <w:rPr>
          <w:rFonts w:ascii="Verdana" w:hAnsi="Verdana"/>
          <w:sz w:val="16"/>
          <w:szCs w:val="16"/>
        </w:rPr>
        <w:t xml:space="preserve"> </w:t>
      </w:r>
      <w:r w:rsidRPr="00BC57A2">
        <w:rPr>
          <w:rFonts w:ascii="Verdana" w:hAnsi="Verdana"/>
          <w:sz w:val="16"/>
          <w:szCs w:val="16"/>
        </w:rPr>
        <w:tab/>
      </w:r>
      <w:r w:rsidRPr="00BC57A2">
        <w:rPr>
          <w:rFonts w:ascii="Verdana" w:hAnsi="Verdana"/>
          <w:sz w:val="16"/>
          <w:szCs w:val="16"/>
          <w:lang w:val="es-CR"/>
        </w:rPr>
        <w:t>Adviértase que el Comité DESC ha señalado que</w:t>
      </w:r>
      <w:r w:rsidRPr="00BC57A2">
        <w:rPr>
          <w:rFonts w:ascii="Verdana" w:hAnsi="Verdana"/>
          <w:sz w:val="16"/>
          <w:szCs w:val="16"/>
        </w:rPr>
        <w:t xml:space="preserve"> “[e]</w:t>
      </w:r>
      <w:r w:rsidRPr="00BC57A2">
        <w:rPr>
          <w:rFonts w:ascii="Verdana" w:hAnsi="Verdana"/>
          <w:sz w:val="16"/>
          <w:szCs w:val="16"/>
          <w:lang w:val="es-CR"/>
        </w:rPr>
        <w:t>l agua es fundamental para procurarse medios de subsistencia (el derecho a ganarse la vida mediante un trabajo) y para disfrutar de determinadas prácticas culturales (el derecho a participar en la vida cultural)”, y que “[e]</w:t>
      </w:r>
      <w:r w:rsidRPr="00BC57A2">
        <w:rPr>
          <w:rFonts w:ascii="Verdana" w:hAnsi="Verdana" w:cs="Arial"/>
          <w:sz w:val="16"/>
          <w:szCs w:val="16"/>
          <w:shd w:val="clear" w:color="auto" w:fill="FFFFFF"/>
        </w:rPr>
        <w:t xml:space="preserve">l derecho al agua se encuadra claramente en la categoría de las garantías indispensables para asegurar un nivel de vida adecuado, en particular porque es una de las condiciones fundamentales para la supervivencia.[…] El derecho al agua también está indisolublemente asociado al […] derecho a una vivienda […]. Este derecho también debe considerarse conjuntamente con otros derechos consagrados en la Carta Internacional de Derechos Humanos, en primer lugar el derecho a la vida y a la dignidad humana”. </w:t>
      </w:r>
      <w:r w:rsidRPr="00BC57A2">
        <w:rPr>
          <w:rFonts w:ascii="Verdana" w:hAnsi="Verdana"/>
          <w:sz w:val="16"/>
          <w:szCs w:val="16"/>
          <w:lang w:val="es-CR"/>
        </w:rPr>
        <w:t>Además, el Comité DESC notó que “[e]</w:t>
      </w:r>
      <w:r w:rsidRPr="00BC57A2">
        <w:rPr>
          <w:rFonts w:ascii="Verdana" w:hAnsi="Verdana" w:cs="Arial"/>
          <w:sz w:val="16"/>
          <w:szCs w:val="16"/>
          <w:shd w:val="clear" w:color="auto" w:fill="FFFFFF"/>
        </w:rPr>
        <w:t>l derecho al agua ha sido reconocido en un gran número de documentos internacionales, tales como tratados, declaraciones y otras normas”, aludiendo no a instrumentos generales sobre derechos humanos, sino a diversos documentos sobre cuestiones específicas, que no hace falta exponer aquí (</w:t>
      </w:r>
      <w:r w:rsidRPr="00BC57A2">
        <w:rPr>
          <w:rFonts w:ascii="Verdana" w:hAnsi="Verdana" w:cs="Arial"/>
          <w:i/>
          <w:sz w:val="16"/>
          <w:szCs w:val="16"/>
          <w:shd w:val="clear" w:color="auto" w:fill="FFFFFF"/>
        </w:rPr>
        <w:t xml:space="preserve">cfr. </w:t>
      </w:r>
      <w:r w:rsidRPr="00BC57A2">
        <w:rPr>
          <w:rFonts w:ascii="Verdana" w:hAnsi="Verdana" w:cs="Arial"/>
          <w:sz w:val="16"/>
          <w:szCs w:val="16"/>
          <w:shd w:val="clear" w:color="auto" w:fill="FFFFFF"/>
        </w:rPr>
        <w:t xml:space="preserve">Comité DESC. </w:t>
      </w:r>
      <w:r w:rsidRPr="00BC57A2">
        <w:rPr>
          <w:rFonts w:ascii="Verdana" w:hAnsi="Verdana" w:cs="Arial"/>
          <w:i/>
          <w:sz w:val="16"/>
          <w:szCs w:val="16"/>
          <w:shd w:val="clear" w:color="auto" w:fill="FFFFFF"/>
        </w:rPr>
        <w:t>Observación General 15. El derecho al agua (artículos 11 y 12 del Pacto Internacional de Derechos Económicos, Sociales y Culturales)</w:t>
      </w:r>
      <w:r w:rsidRPr="00BC57A2">
        <w:rPr>
          <w:rFonts w:ascii="Verdana" w:hAnsi="Verdana" w:cs="Arial"/>
          <w:sz w:val="16"/>
          <w:szCs w:val="16"/>
          <w:shd w:val="clear" w:color="auto" w:fill="FFFFFF"/>
        </w:rPr>
        <w:t>, párrs</w:t>
      </w:r>
      <w:r>
        <w:rPr>
          <w:rFonts w:ascii="Verdana" w:hAnsi="Verdana" w:cs="Arial"/>
          <w:sz w:val="16"/>
          <w:szCs w:val="16"/>
          <w:shd w:val="clear" w:color="auto" w:fill="FFFFFF"/>
        </w:rPr>
        <w:t>.</w:t>
      </w:r>
      <w:r w:rsidRPr="00BC57A2">
        <w:rPr>
          <w:rFonts w:ascii="Verdana" w:hAnsi="Verdana" w:cs="Arial"/>
          <w:sz w:val="16"/>
          <w:szCs w:val="16"/>
          <w:shd w:val="clear" w:color="auto" w:fill="FFFFFF"/>
        </w:rPr>
        <w:t xml:space="preserve"> 6, 3 y 4, y nota a pie de página 5, respectivamente). Dado lo dicho, puede destacarse el vínculo del derecho al agua</w:t>
      </w:r>
      <w:r w:rsidRPr="00BC57A2">
        <w:rPr>
          <w:rFonts w:ascii="Verdana" w:hAnsi="Verdana"/>
          <w:sz w:val="16"/>
          <w:szCs w:val="16"/>
          <w:lang w:val="es-CR"/>
        </w:rPr>
        <w:t xml:space="preserve"> </w:t>
      </w:r>
      <w:r w:rsidRPr="00BC57A2">
        <w:rPr>
          <w:rFonts w:ascii="Verdana" w:hAnsi="Verdana" w:cs="Arial"/>
          <w:sz w:val="16"/>
          <w:szCs w:val="16"/>
        </w:rPr>
        <w:t>con el derecho a la vida, recogido en el artículo 4 de la Convención</w:t>
      </w:r>
      <w:r w:rsidRPr="00BC57A2">
        <w:rPr>
          <w:rFonts w:ascii="Verdana" w:hAnsi="Verdana"/>
          <w:sz w:val="16"/>
          <w:szCs w:val="16"/>
          <w:lang w:val="es-CR"/>
        </w:rPr>
        <w:t>. También surge de lo expuesto que el derecho al agua podría desprenderse y/o tener relación con otros derechos. No resulta necesario, a efectos del examen del presente caso, ahondar en consideraciones al respecto</w:t>
      </w:r>
      <w:r w:rsidRPr="00BC57A2">
        <w:rPr>
          <w:rFonts w:ascii="Verdana" w:hAnsi="Verdana" w:cs="Arial"/>
          <w:sz w:val="16"/>
          <w:szCs w:val="16"/>
        </w:rPr>
        <w:t>.</w:t>
      </w:r>
    </w:p>
    <w:p w14:paraId="30ABFC0E" w14:textId="77777777" w:rsidR="0023585A" w:rsidRPr="00BC57A2" w:rsidRDefault="0023585A" w:rsidP="007C7E7C">
      <w:pPr>
        <w:pStyle w:val="Prrafodelista"/>
        <w:shd w:val="clear" w:color="auto" w:fill="FFFFFF"/>
        <w:spacing w:after="0" w:line="240" w:lineRule="auto"/>
        <w:ind w:left="0"/>
        <w:jc w:val="both"/>
        <w:rPr>
          <w:rFonts w:ascii="Verdana" w:hAnsi="Verdana"/>
          <w:sz w:val="16"/>
          <w:szCs w:val="16"/>
        </w:rPr>
      </w:pPr>
    </w:p>
  </w:footnote>
  <w:footnote w:id="222">
    <w:p w14:paraId="50F17D6D" w14:textId="77777777" w:rsidR="0023585A" w:rsidRPr="00BC57A2" w:rsidRDefault="0023585A" w:rsidP="007C7E7C">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Cfr.</w:t>
      </w:r>
      <w:r w:rsidRPr="00BC57A2">
        <w:rPr>
          <w:sz w:val="16"/>
          <w:szCs w:val="16"/>
          <w:lang w:val="es-CR"/>
        </w:rPr>
        <w:t xml:space="preserve"> </w:t>
      </w:r>
      <w:r w:rsidRPr="00BC57A2">
        <w:rPr>
          <w:rFonts w:cs="Arial"/>
          <w:sz w:val="16"/>
          <w:szCs w:val="16"/>
          <w:shd w:val="clear" w:color="auto" w:fill="FFFFFF"/>
          <w:lang w:val="es-CR"/>
        </w:rPr>
        <w:t xml:space="preserve">Comité DESC. </w:t>
      </w:r>
      <w:r w:rsidRPr="00BC57A2">
        <w:rPr>
          <w:rFonts w:cs="Arial"/>
          <w:i/>
          <w:sz w:val="16"/>
          <w:szCs w:val="16"/>
          <w:shd w:val="clear" w:color="auto" w:fill="FFFFFF"/>
          <w:lang w:val="es-CR"/>
        </w:rPr>
        <w:t>Observación General. 15. El derecho al agua (artículos 11 y 12 del Pacto Internacional de Derechos Económicos, Sociales y Culturales)</w:t>
      </w:r>
      <w:r w:rsidRPr="00BC57A2">
        <w:rPr>
          <w:rFonts w:cs="Arial"/>
          <w:sz w:val="16"/>
          <w:szCs w:val="16"/>
          <w:shd w:val="clear" w:color="auto" w:fill="FFFFFF"/>
          <w:lang w:val="es-CR"/>
        </w:rPr>
        <w:t xml:space="preserve">, </w:t>
      </w:r>
      <w:r w:rsidRPr="00BC57A2">
        <w:rPr>
          <w:sz w:val="16"/>
          <w:szCs w:val="16"/>
          <w:lang w:val="es-CR"/>
        </w:rPr>
        <w:t xml:space="preserve">párrs. 3 y 4. </w:t>
      </w:r>
    </w:p>
    <w:p w14:paraId="5B659E5B" w14:textId="77777777" w:rsidR="0023585A" w:rsidRPr="00BC57A2" w:rsidRDefault="0023585A" w:rsidP="007C7E7C">
      <w:pPr>
        <w:pStyle w:val="Textonotapie"/>
        <w:rPr>
          <w:sz w:val="16"/>
          <w:szCs w:val="16"/>
          <w:lang w:val="es-CR"/>
        </w:rPr>
      </w:pPr>
    </w:p>
  </w:footnote>
  <w:footnote w:id="223">
    <w:p w14:paraId="6478E824" w14:textId="77777777" w:rsidR="0023585A" w:rsidRPr="00BC57A2" w:rsidRDefault="0023585A" w:rsidP="007C7E7C">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 xml:space="preserve">Ratificada por Argentina el 23 de octubre de 2017. </w:t>
      </w:r>
    </w:p>
    <w:p w14:paraId="0D6E9A2D" w14:textId="77777777" w:rsidR="0023585A" w:rsidRPr="00BC57A2" w:rsidRDefault="0023585A" w:rsidP="007C7E7C">
      <w:pPr>
        <w:pStyle w:val="Textonotapie"/>
        <w:rPr>
          <w:sz w:val="16"/>
          <w:szCs w:val="16"/>
          <w:lang w:val="es-CR"/>
        </w:rPr>
      </w:pPr>
    </w:p>
  </w:footnote>
  <w:footnote w:id="224">
    <w:p w14:paraId="671D75CE" w14:textId="77777777" w:rsidR="0023585A" w:rsidRPr="00BC57A2" w:rsidRDefault="0023585A" w:rsidP="007C7E7C">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rFonts w:cs="Arial"/>
          <w:sz w:val="16"/>
          <w:szCs w:val="16"/>
          <w:shd w:val="clear" w:color="auto" w:fill="FFFFFF"/>
          <w:lang w:val="es-CR"/>
        </w:rPr>
        <w:t xml:space="preserve">Comité DESC. </w:t>
      </w:r>
      <w:r w:rsidRPr="00BC57A2">
        <w:rPr>
          <w:rFonts w:cs="Arial"/>
          <w:i/>
          <w:sz w:val="16"/>
          <w:szCs w:val="16"/>
          <w:shd w:val="clear" w:color="auto" w:fill="FFFFFF"/>
          <w:lang w:val="es-CR"/>
        </w:rPr>
        <w:t>Observación General 15. El derecho al agua (artículos 11 y 12 del Pacto Internacional de Derechos Económicos, Sociales y Culturales)</w:t>
      </w:r>
      <w:r w:rsidRPr="00BC57A2">
        <w:rPr>
          <w:rFonts w:cs="Arial"/>
          <w:sz w:val="16"/>
          <w:szCs w:val="16"/>
          <w:shd w:val="clear" w:color="auto" w:fill="FFFFFF"/>
          <w:lang w:val="es-CR"/>
        </w:rPr>
        <w:t xml:space="preserve">, </w:t>
      </w:r>
      <w:r w:rsidRPr="00BC57A2">
        <w:rPr>
          <w:sz w:val="16"/>
          <w:szCs w:val="16"/>
          <w:lang w:val="es-CR"/>
        </w:rPr>
        <w:t>párr. 2.</w:t>
      </w:r>
    </w:p>
    <w:p w14:paraId="703D4849" w14:textId="77777777" w:rsidR="0023585A" w:rsidRPr="00BC57A2" w:rsidRDefault="0023585A" w:rsidP="007C7E7C">
      <w:pPr>
        <w:pStyle w:val="Textonotapie"/>
        <w:rPr>
          <w:sz w:val="16"/>
          <w:szCs w:val="16"/>
          <w:lang w:val="es-CR"/>
        </w:rPr>
      </w:pPr>
      <w:r w:rsidRPr="00BC57A2">
        <w:rPr>
          <w:sz w:val="16"/>
          <w:szCs w:val="16"/>
          <w:lang w:val="es-CR"/>
        </w:rPr>
        <w:t xml:space="preserve"> </w:t>
      </w:r>
    </w:p>
  </w:footnote>
  <w:footnote w:id="225">
    <w:p w14:paraId="7A0AFA4C" w14:textId="6B9A6B93" w:rsidR="0023585A" w:rsidRPr="00BC57A2" w:rsidRDefault="0023585A" w:rsidP="007C7E7C">
      <w:pPr>
        <w:pStyle w:val="Textonotapie"/>
        <w:tabs>
          <w:tab w:val="left" w:pos="426"/>
        </w:tabs>
        <w:rPr>
          <w:rStyle w:val="Textoennegrita"/>
          <w:b w:val="0"/>
          <w:color w:val="000000"/>
          <w:sz w:val="16"/>
          <w:szCs w:val="16"/>
          <w:shd w:val="clear" w:color="auto" w:fill="FFFFFF"/>
          <w:lang w:val="es-CR"/>
        </w:rPr>
      </w:pPr>
      <w:r w:rsidRPr="00BC57A2">
        <w:rPr>
          <w:rStyle w:val="Refdenotaalpie"/>
          <w:rFonts w:eastAsia="Calibri"/>
          <w:sz w:val="16"/>
          <w:szCs w:val="16"/>
        </w:rPr>
        <w:footnoteRef/>
      </w:r>
      <w:r w:rsidRPr="00BC57A2">
        <w:rPr>
          <w:sz w:val="16"/>
          <w:szCs w:val="16"/>
          <w:lang w:val="es-CR"/>
        </w:rPr>
        <w:t xml:space="preserve"> </w:t>
      </w:r>
      <w:r>
        <w:rPr>
          <w:sz w:val="16"/>
          <w:szCs w:val="16"/>
          <w:lang w:val="es-CR"/>
        </w:rPr>
        <w:tab/>
      </w:r>
      <w:r>
        <w:rPr>
          <w:sz w:val="16"/>
          <w:szCs w:val="16"/>
          <w:lang w:val="es-CR"/>
        </w:rPr>
        <w:tab/>
      </w:r>
      <w:r w:rsidRPr="00BC57A2">
        <w:rPr>
          <w:i/>
          <w:sz w:val="16"/>
          <w:szCs w:val="16"/>
          <w:lang w:val="es-CR"/>
        </w:rPr>
        <w:t>Medio ambiente y derechos humanos (obligaciones estatales en relación con el medio ambiente en el marco de la protección y garantía de los derechos a la vida y a la integridad personal - interpretación y alcance de los artículos 4.1 y 5.1, en relación con los artículos 1.1 y 2 de la Convención Americana sobre Derechos Humanos). Opinión Consultiva OC-23/17</w:t>
      </w:r>
      <w:r w:rsidRPr="00BC57A2">
        <w:rPr>
          <w:iCs/>
          <w:sz w:val="16"/>
          <w:szCs w:val="16"/>
          <w:lang w:val="es-CR"/>
        </w:rPr>
        <w:t xml:space="preserve">, párr. 111. Véase también </w:t>
      </w:r>
      <w:r w:rsidRPr="00BC57A2">
        <w:rPr>
          <w:rStyle w:val="Textoennegrita"/>
          <w:b w:val="0"/>
          <w:i/>
          <w:color w:val="000000"/>
          <w:sz w:val="16"/>
          <w:szCs w:val="16"/>
          <w:shd w:val="clear" w:color="auto" w:fill="FFFFFF"/>
          <w:lang w:val="es-CR"/>
        </w:rPr>
        <w:t>Caso Comunidad Indígena Xákmok Kásek Vs. Paraguay</w:t>
      </w:r>
      <w:r w:rsidRPr="00BC57A2">
        <w:rPr>
          <w:rStyle w:val="Textoennegrita"/>
          <w:b w:val="0"/>
          <w:color w:val="000000"/>
          <w:sz w:val="16"/>
          <w:szCs w:val="16"/>
          <w:shd w:val="clear" w:color="auto" w:fill="FFFFFF"/>
          <w:lang w:val="es-CR"/>
        </w:rPr>
        <w:t>, párr. 195.</w:t>
      </w:r>
    </w:p>
    <w:p w14:paraId="12313777" w14:textId="77777777" w:rsidR="0023585A" w:rsidRPr="00BC57A2" w:rsidRDefault="0023585A" w:rsidP="007C7E7C">
      <w:pPr>
        <w:pStyle w:val="Textonotapie"/>
        <w:tabs>
          <w:tab w:val="left" w:pos="426"/>
        </w:tabs>
        <w:rPr>
          <w:i/>
          <w:sz w:val="16"/>
          <w:szCs w:val="16"/>
          <w:lang w:val="es-CR"/>
        </w:rPr>
      </w:pPr>
    </w:p>
  </w:footnote>
  <w:footnote w:id="226">
    <w:p w14:paraId="05297B78" w14:textId="41AA2418" w:rsidR="0023585A" w:rsidRPr="00BC57A2" w:rsidRDefault="0023585A" w:rsidP="007C7E7C">
      <w:pPr>
        <w:pStyle w:val="Textonotapie"/>
        <w:rPr>
          <w:color w:val="000000"/>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color w:val="000000"/>
          <w:sz w:val="16"/>
          <w:szCs w:val="16"/>
          <w:lang w:val="es-CR"/>
        </w:rPr>
        <w:t>Agregó que “debe ser sostenible” el “modo en que se ejerza el derecho al agua”, para que pueda “ser ejercido por las generaciones actuales y futura</w:t>
      </w:r>
      <w:r>
        <w:rPr>
          <w:color w:val="000000"/>
          <w:sz w:val="16"/>
          <w:szCs w:val="16"/>
          <w:lang w:val="es-CR"/>
        </w:rPr>
        <w:t>s</w:t>
      </w:r>
      <w:r w:rsidRPr="00BC57A2">
        <w:rPr>
          <w:color w:val="000000"/>
          <w:sz w:val="16"/>
          <w:szCs w:val="16"/>
          <w:lang w:val="es-CR"/>
        </w:rPr>
        <w:t>”.</w:t>
      </w:r>
    </w:p>
    <w:p w14:paraId="237256A7" w14:textId="77777777" w:rsidR="0023585A" w:rsidRPr="00BC57A2" w:rsidRDefault="0023585A" w:rsidP="007C7E7C">
      <w:pPr>
        <w:pStyle w:val="Textonotapie"/>
        <w:rPr>
          <w:sz w:val="16"/>
          <w:szCs w:val="16"/>
          <w:lang w:val="es-CR"/>
        </w:rPr>
      </w:pPr>
    </w:p>
  </w:footnote>
  <w:footnote w:id="227">
    <w:p w14:paraId="74731703" w14:textId="77777777" w:rsidR="0023585A" w:rsidRPr="00BC57A2" w:rsidRDefault="0023585A" w:rsidP="007C7E7C">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rFonts w:cs="Arial"/>
          <w:sz w:val="16"/>
          <w:szCs w:val="16"/>
          <w:shd w:val="clear" w:color="auto" w:fill="FFFFFF"/>
          <w:lang w:val="es-CR"/>
        </w:rPr>
        <w:t xml:space="preserve">Comité DESC. </w:t>
      </w:r>
      <w:r w:rsidRPr="00BC57A2">
        <w:rPr>
          <w:rFonts w:cs="Arial"/>
          <w:i/>
          <w:sz w:val="16"/>
          <w:szCs w:val="16"/>
          <w:shd w:val="clear" w:color="auto" w:fill="FFFFFF"/>
          <w:lang w:val="es-CR"/>
        </w:rPr>
        <w:t>Observación General 15. El derecho al agua (artículos 11 y 12 del Pacto Internacional de Derechos Económicos, Sociales y Culturales)</w:t>
      </w:r>
      <w:r w:rsidRPr="00BC57A2">
        <w:rPr>
          <w:sz w:val="16"/>
          <w:szCs w:val="16"/>
          <w:lang w:val="es-CR"/>
        </w:rPr>
        <w:t>, párrs. 10, 11 y 12. En cuanto a la “accesibilidad”, el Comité DESC, en el último párrafo citado, explicó que “</w:t>
      </w:r>
      <w:r w:rsidRPr="00BC57A2">
        <w:rPr>
          <w:color w:val="000000"/>
          <w:sz w:val="16"/>
          <w:szCs w:val="16"/>
          <w:lang w:val="es-CR"/>
        </w:rPr>
        <w:t>presenta cuatro dimensiones superpuestas: i)</w:t>
      </w:r>
      <w:r w:rsidRPr="00BC57A2">
        <w:rPr>
          <w:i/>
          <w:iCs/>
          <w:color w:val="000000"/>
          <w:sz w:val="16"/>
          <w:szCs w:val="16"/>
          <w:lang w:val="es-CR"/>
        </w:rPr>
        <w:t xml:space="preserve"> Accesibilidad física</w:t>
      </w:r>
      <w:r w:rsidRPr="00BC57A2">
        <w:rPr>
          <w:color w:val="000000"/>
          <w:sz w:val="16"/>
          <w:szCs w:val="16"/>
          <w:lang w:val="es-CR"/>
        </w:rPr>
        <w:t xml:space="preserve">. El agua y las instalaciones y servicios de agua deben estar al alcance físico de todos los sectores de la población. […] ii) </w:t>
      </w:r>
      <w:r w:rsidRPr="00BC57A2">
        <w:rPr>
          <w:i/>
          <w:iCs/>
          <w:color w:val="000000"/>
          <w:sz w:val="16"/>
          <w:szCs w:val="16"/>
          <w:lang w:val="es-CR"/>
        </w:rPr>
        <w:t>Accesibilidad económica</w:t>
      </w:r>
      <w:r w:rsidRPr="00BC57A2">
        <w:rPr>
          <w:color w:val="000000"/>
          <w:sz w:val="16"/>
          <w:szCs w:val="16"/>
          <w:lang w:val="es-CR"/>
        </w:rPr>
        <w:t xml:space="preserve">. El agua y los servicios e instalaciones de agua deben estar al alcance de todos. Los costos y cargos directos e indirectos asociados con el abastecimiento de agua deben ser asequibles y no deben comprometer ni poner en peligro el ejercicio de otros derechos reconocidos en el P[IDESC] iii) </w:t>
      </w:r>
      <w:r w:rsidRPr="00BC57A2">
        <w:rPr>
          <w:i/>
          <w:iCs/>
          <w:color w:val="000000"/>
          <w:sz w:val="16"/>
          <w:szCs w:val="16"/>
          <w:lang w:val="es-CR"/>
        </w:rPr>
        <w:t>No discriminación</w:t>
      </w:r>
      <w:r w:rsidRPr="00BC57A2">
        <w:rPr>
          <w:color w:val="000000"/>
          <w:sz w:val="16"/>
          <w:szCs w:val="16"/>
          <w:lang w:val="es-CR"/>
        </w:rPr>
        <w:t xml:space="preserve">. El agua y los servicios e instalaciones de agua deben ser accesibles a todos de hecho y de derecho, incluso a los sectores más vulnerables y marginados de la población, sin discriminación alguna por cualquiera de los motivos prohibidos. iv) </w:t>
      </w:r>
      <w:r w:rsidRPr="00BC57A2">
        <w:rPr>
          <w:i/>
          <w:iCs/>
          <w:color w:val="000000"/>
          <w:sz w:val="16"/>
          <w:szCs w:val="16"/>
          <w:lang w:val="es-CR"/>
        </w:rPr>
        <w:t>Acceso a la información</w:t>
      </w:r>
      <w:r w:rsidRPr="00BC57A2">
        <w:rPr>
          <w:color w:val="000000"/>
          <w:sz w:val="16"/>
          <w:szCs w:val="16"/>
          <w:lang w:val="es-CR"/>
        </w:rPr>
        <w:t>. La accesibilidad comprende el derecho de solicitar, recibir y difundir información sobre las cuestiones del agua”.</w:t>
      </w:r>
      <w:r w:rsidRPr="00BC57A2">
        <w:rPr>
          <w:sz w:val="16"/>
          <w:szCs w:val="16"/>
          <w:lang w:val="es-CR"/>
        </w:rPr>
        <w:t xml:space="preserve"> </w:t>
      </w:r>
    </w:p>
    <w:p w14:paraId="7E46BFD4" w14:textId="77777777" w:rsidR="0023585A" w:rsidRPr="00BC57A2" w:rsidRDefault="0023585A" w:rsidP="007C7E7C">
      <w:pPr>
        <w:pStyle w:val="Textonotapie"/>
        <w:rPr>
          <w:sz w:val="16"/>
          <w:szCs w:val="16"/>
          <w:lang w:val="es-CR"/>
        </w:rPr>
      </w:pPr>
      <w:r w:rsidRPr="00BC57A2">
        <w:rPr>
          <w:sz w:val="16"/>
          <w:szCs w:val="16"/>
          <w:lang w:val="es-CR"/>
        </w:rPr>
        <w:t xml:space="preserve"> </w:t>
      </w:r>
    </w:p>
  </w:footnote>
  <w:footnote w:id="228">
    <w:p w14:paraId="7B3A1E06" w14:textId="77777777" w:rsidR="0023585A" w:rsidRPr="00BC57A2" w:rsidRDefault="0023585A" w:rsidP="007C7E7C">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rFonts w:cs="Arial"/>
          <w:sz w:val="16"/>
          <w:szCs w:val="16"/>
          <w:shd w:val="clear" w:color="auto" w:fill="FFFFFF"/>
          <w:lang w:val="es-CR"/>
        </w:rPr>
        <w:t xml:space="preserve">Comité DESC. </w:t>
      </w:r>
      <w:r w:rsidRPr="00BC57A2">
        <w:rPr>
          <w:rFonts w:cs="Arial"/>
          <w:i/>
          <w:sz w:val="16"/>
          <w:szCs w:val="16"/>
          <w:shd w:val="clear" w:color="auto" w:fill="FFFFFF"/>
          <w:lang w:val="es-CR"/>
        </w:rPr>
        <w:t>Observación General 15. El derecho al agua (artículos 11 y 12 del Pacto Internacional de Derechos Económicos, Sociales y Culturales)</w:t>
      </w:r>
      <w:r w:rsidRPr="00BC57A2">
        <w:rPr>
          <w:sz w:val="16"/>
          <w:szCs w:val="16"/>
          <w:lang w:val="es-CR"/>
        </w:rPr>
        <w:t xml:space="preserve">, párrs. 7 y 8. </w:t>
      </w:r>
    </w:p>
    <w:p w14:paraId="7F9ECFAD" w14:textId="77777777" w:rsidR="0023585A" w:rsidRPr="00BC57A2" w:rsidRDefault="0023585A" w:rsidP="007C7E7C">
      <w:pPr>
        <w:pStyle w:val="Textonotapie"/>
        <w:rPr>
          <w:sz w:val="16"/>
          <w:szCs w:val="16"/>
          <w:lang w:val="es-CR"/>
        </w:rPr>
      </w:pPr>
    </w:p>
  </w:footnote>
  <w:footnote w:id="229">
    <w:p w14:paraId="0A9217A9" w14:textId="7B024730" w:rsidR="0023585A" w:rsidRPr="00BC57A2" w:rsidRDefault="0023585A" w:rsidP="007C7E7C">
      <w:pPr>
        <w:pStyle w:val="Textonotapie"/>
        <w:tabs>
          <w:tab w:val="left" w:pos="426"/>
        </w:tabs>
        <w:rPr>
          <w:sz w:val="16"/>
          <w:szCs w:val="16"/>
          <w:lang w:val="es-CR"/>
        </w:rPr>
      </w:pPr>
      <w:r w:rsidRPr="00BC57A2">
        <w:rPr>
          <w:rStyle w:val="Refdenotaalpie"/>
          <w:sz w:val="16"/>
          <w:szCs w:val="16"/>
        </w:rPr>
        <w:footnoteRef/>
      </w:r>
      <w:r w:rsidRPr="00BC57A2">
        <w:rPr>
          <w:sz w:val="16"/>
          <w:szCs w:val="16"/>
          <w:lang w:val="es-CR"/>
        </w:rPr>
        <w:t xml:space="preserve"> </w:t>
      </w:r>
      <w:r>
        <w:rPr>
          <w:sz w:val="16"/>
          <w:szCs w:val="16"/>
          <w:lang w:val="es-CR"/>
        </w:rPr>
        <w:tab/>
      </w:r>
      <w:r>
        <w:rPr>
          <w:sz w:val="16"/>
          <w:szCs w:val="16"/>
          <w:lang w:val="es-CR"/>
        </w:rPr>
        <w:tab/>
      </w:r>
      <w:r w:rsidRPr="00BC57A2">
        <w:rPr>
          <w:i/>
          <w:sz w:val="16"/>
          <w:szCs w:val="16"/>
          <w:lang w:val="es-CR"/>
        </w:rPr>
        <w:t>Medio ambiente y derechos humanos (obligaciones estatales en relación con el medio ambiente en el marco de la protección y garantía de los derechos a la vida y a la integridad personal - interpretación y alcance de los artículos 4.1 y 5.1, en relación con los artículos 1.1 y 2 de la Convención Americana sobre Derechos Humanos). Opinión Consultiva OC-23/17</w:t>
      </w:r>
      <w:r w:rsidRPr="00BC57A2">
        <w:rPr>
          <w:iCs/>
          <w:sz w:val="16"/>
          <w:szCs w:val="16"/>
          <w:lang w:val="es-CR"/>
        </w:rPr>
        <w:t>, párr. 66. La Corte ha indicado que “la salud [se relaciona directamente con el acceso a la alimentación y al agua (</w:t>
      </w:r>
      <w:r w:rsidRPr="00BC57A2">
        <w:rPr>
          <w:i/>
          <w:sz w:val="16"/>
          <w:szCs w:val="16"/>
          <w:lang w:val="es-CR"/>
        </w:rPr>
        <w:t>cfr</w:t>
      </w:r>
      <w:r w:rsidRPr="00BC57A2">
        <w:rPr>
          <w:sz w:val="16"/>
          <w:szCs w:val="16"/>
          <w:lang w:val="es-CR"/>
        </w:rPr>
        <w:t xml:space="preserve">. </w:t>
      </w:r>
      <w:r w:rsidRPr="00BC57A2">
        <w:rPr>
          <w:i/>
          <w:sz w:val="16"/>
          <w:szCs w:val="16"/>
          <w:lang w:val="es-CR"/>
        </w:rPr>
        <w:t xml:space="preserve">Caso Comunidad Indígena Yakye Axa Vs. Paraguay, </w:t>
      </w:r>
      <w:r w:rsidRPr="00BC57A2">
        <w:rPr>
          <w:sz w:val="16"/>
          <w:szCs w:val="16"/>
          <w:lang w:val="es-CR"/>
        </w:rPr>
        <w:t xml:space="preserve">párr. 167, </w:t>
      </w:r>
      <w:r w:rsidRPr="00BC57A2">
        <w:rPr>
          <w:i/>
          <w:sz w:val="16"/>
          <w:szCs w:val="16"/>
          <w:lang w:val="es-CR"/>
        </w:rPr>
        <w:t xml:space="preserve">Caso Comunidad Indígena Sawhoyamaxa Vs. Paraguay, </w:t>
      </w:r>
      <w:r w:rsidRPr="00BC57A2">
        <w:rPr>
          <w:sz w:val="16"/>
          <w:szCs w:val="16"/>
          <w:lang w:val="es-CR"/>
        </w:rPr>
        <w:t xml:space="preserve">párrs. 156 a 178; </w:t>
      </w:r>
      <w:r w:rsidRPr="00BC57A2">
        <w:rPr>
          <w:i/>
          <w:iCs/>
          <w:sz w:val="16"/>
          <w:szCs w:val="16"/>
          <w:lang w:val="es-CR"/>
        </w:rPr>
        <w:t xml:space="preserve">Caso de la Comunidad Indígena Xákmok Kásek vs. Paraguay, </w:t>
      </w:r>
      <w:r w:rsidRPr="00BC57A2">
        <w:rPr>
          <w:iCs/>
          <w:sz w:val="16"/>
          <w:szCs w:val="16"/>
          <w:lang w:val="es-CR"/>
        </w:rPr>
        <w:t xml:space="preserve">párrs. 195 a 213 y </w:t>
      </w:r>
      <w:r w:rsidRPr="00BC57A2">
        <w:rPr>
          <w:i/>
          <w:sz w:val="16"/>
          <w:szCs w:val="16"/>
          <w:lang w:val="es-CR"/>
        </w:rPr>
        <w:t>Medio ambiente y derechos humanos (obligaciones estatales en relación con el medio ambiente en el marco de la protección y garantía de los derechos a la vida y a la integridad personal - interpretación y alcance de los artículos 4.1 y 5.1, en relación con los artículos 1.1 y 2 de la Convención Americana sobre Derechos Humanos). Opinión Consultiva OC-23/17</w:t>
      </w:r>
      <w:r w:rsidRPr="00BC57A2">
        <w:rPr>
          <w:iCs/>
          <w:sz w:val="16"/>
          <w:szCs w:val="16"/>
          <w:lang w:val="es-CR"/>
        </w:rPr>
        <w:t>, párr. 110) y</w:t>
      </w:r>
      <w:r w:rsidRPr="00BC57A2">
        <w:rPr>
          <w:sz w:val="16"/>
          <w:szCs w:val="16"/>
          <w:lang w:val="es-CR"/>
        </w:rPr>
        <w:t xml:space="preserve"> que “el acceso al agua y a la alimentación puede ser afectado por ejemplo, si la contaminación limita la disponibilidad de los mismos en cantidades suficientes o afecta su calidad” (</w:t>
      </w:r>
      <w:r w:rsidRPr="00BC57A2">
        <w:rPr>
          <w:i/>
          <w:sz w:val="16"/>
          <w:szCs w:val="16"/>
          <w:lang w:val="es-CR"/>
        </w:rPr>
        <w:t>cfr.</w:t>
      </w:r>
      <w:r w:rsidRPr="00BC57A2">
        <w:rPr>
          <w:sz w:val="16"/>
          <w:szCs w:val="16"/>
          <w:lang w:val="es-CR"/>
        </w:rPr>
        <w:t xml:space="preserve"> </w:t>
      </w:r>
      <w:r w:rsidRPr="00BC57A2">
        <w:rPr>
          <w:i/>
          <w:sz w:val="16"/>
          <w:szCs w:val="16"/>
          <w:lang w:val="es-CR"/>
        </w:rPr>
        <w:t xml:space="preserve">Caso del Pueblo Saramaka Vs. Surinam, </w:t>
      </w:r>
      <w:r w:rsidRPr="00BC57A2">
        <w:rPr>
          <w:sz w:val="16"/>
          <w:szCs w:val="16"/>
          <w:lang w:val="es-CR"/>
        </w:rPr>
        <w:t xml:space="preserve">párr. 126; </w:t>
      </w:r>
      <w:r w:rsidRPr="00BC57A2">
        <w:rPr>
          <w:i/>
          <w:iCs/>
          <w:sz w:val="16"/>
          <w:szCs w:val="16"/>
          <w:lang w:val="es-CR"/>
        </w:rPr>
        <w:t xml:space="preserve">Caso de la Comunidad Indígena Xákmok Kásek vs. Paraguay, </w:t>
      </w:r>
      <w:r w:rsidRPr="00BC57A2">
        <w:rPr>
          <w:iCs/>
          <w:sz w:val="16"/>
          <w:szCs w:val="16"/>
          <w:lang w:val="es-CR"/>
        </w:rPr>
        <w:t xml:space="preserve">párrs. 195 y 198 y </w:t>
      </w:r>
      <w:r w:rsidRPr="00BC57A2">
        <w:rPr>
          <w:i/>
          <w:sz w:val="16"/>
          <w:szCs w:val="16"/>
          <w:lang w:val="es-CR"/>
        </w:rPr>
        <w:t>Medio ambiente y derechos humanos (obligaciones estatales en relación con el medio ambiente en el marco de la protección y garantía de los derechos a la vida y a la integridad personal - interpretación y alcance de los artículos 4.1 y 5.1, en relación con los artículos 1.1 y 2 de la Convención Americana sobre Derechos Humanos). Opinión Consultiva OC-23/17</w:t>
      </w:r>
      <w:r w:rsidRPr="00BC57A2">
        <w:rPr>
          <w:iCs/>
          <w:sz w:val="16"/>
          <w:szCs w:val="16"/>
          <w:lang w:val="es-CR"/>
        </w:rPr>
        <w:t>, párr 11)</w:t>
      </w:r>
      <w:r w:rsidRPr="00BC57A2">
        <w:rPr>
          <w:sz w:val="16"/>
          <w:szCs w:val="16"/>
          <w:lang w:val="es-CR"/>
        </w:rPr>
        <w:t>.</w:t>
      </w:r>
    </w:p>
    <w:p w14:paraId="21A272F5" w14:textId="77777777" w:rsidR="0023585A" w:rsidRPr="00BC57A2" w:rsidRDefault="0023585A" w:rsidP="007C7E7C">
      <w:pPr>
        <w:pStyle w:val="Textonotapie"/>
        <w:tabs>
          <w:tab w:val="left" w:pos="426"/>
        </w:tabs>
        <w:rPr>
          <w:sz w:val="16"/>
          <w:szCs w:val="16"/>
          <w:lang w:val="es-CR"/>
        </w:rPr>
      </w:pPr>
    </w:p>
  </w:footnote>
  <w:footnote w:id="230">
    <w:p w14:paraId="7020DC32" w14:textId="77777777" w:rsidR="0023585A" w:rsidRPr="00BC57A2" w:rsidRDefault="0023585A" w:rsidP="007C7E7C">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De conformidad al deber de respeto ordenado por el artículo 1.1 de la Convención, “los Estados deben abstenerse de […] cualquier práctica o actividad que deniegue o restrinja el acceso, en condiciones de igualdad, a los requisitos para una vida digna, como […] el agua” (</w:t>
      </w:r>
      <w:r w:rsidRPr="00BC57A2">
        <w:rPr>
          <w:i/>
          <w:sz w:val="16"/>
          <w:szCs w:val="16"/>
          <w:lang w:val="es-CR"/>
        </w:rPr>
        <w:t>Medio ambiente y derechos humanos (obligaciones estatales en relación con el medio ambiente en el marco de la protección y garantía de los derechos a la vida y a la integridad personal - interpretación y alcance de los artículos 4.1 y 5.1, en relación con los artículos 1.1 y 2 de la Convención Americana sobre Derechos Humanos). Opinión Consultiva OC-23/17</w:t>
      </w:r>
      <w:r w:rsidRPr="00BC57A2">
        <w:rPr>
          <w:sz w:val="16"/>
          <w:szCs w:val="16"/>
          <w:lang w:val="es-CR"/>
        </w:rPr>
        <w:t>, párr. 117).</w:t>
      </w:r>
    </w:p>
    <w:p w14:paraId="37AC5709" w14:textId="77777777" w:rsidR="0023585A" w:rsidRPr="00BC57A2" w:rsidRDefault="0023585A" w:rsidP="007C7E7C">
      <w:pPr>
        <w:pStyle w:val="Textonotapie"/>
        <w:rPr>
          <w:sz w:val="16"/>
          <w:szCs w:val="16"/>
          <w:lang w:val="es-CR"/>
        </w:rPr>
      </w:pPr>
    </w:p>
  </w:footnote>
  <w:footnote w:id="231">
    <w:p w14:paraId="6993CB42" w14:textId="2172045C" w:rsidR="0023585A" w:rsidRPr="00BC57A2" w:rsidRDefault="0023585A" w:rsidP="007C7E7C">
      <w:pPr>
        <w:pStyle w:val="Textonotapie"/>
        <w:tabs>
          <w:tab w:val="left" w:pos="426"/>
        </w:tabs>
        <w:rPr>
          <w:iCs/>
          <w:sz w:val="16"/>
          <w:szCs w:val="16"/>
          <w:lang w:val="es-CR"/>
        </w:rPr>
      </w:pPr>
      <w:r w:rsidRPr="00BC57A2">
        <w:rPr>
          <w:rStyle w:val="Refdenotaalpie"/>
          <w:rFonts w:eastAsia="Calibri"/>
          <w:sz w:val="16"/>
          <w:szCs w:val="16"/>
        </w:rPr>
        <w:footnoteRef/>
      </w:r>
      <w:r w:rsidRPr="00BC57A2">
        <w:rPr>
          <w:iCs/>
          <w:sz w:val="16"/>
          <w:szCs w:val="16"/>
          <w:lang w:val="es-CR"/>
        </w:rPr>
        <w:t xml:space="preserve"> </w:t>
      </w:r>
      <w:r w:rsidRPr="00BC57A2">
        <w:rPr>
          <w:iCs/>
          <w:sz w:val="16"/>
          <w:szCs w:val="16"/>
          <w:lang w:val="es-CR"/>
        </w:rPr>
        <w:tab/>
      </w:r>
      <w:r>
        <w:rPr>
          <w:iCs/>
          <w:sz w:val="16"/>
          <w:szCs w:val="16"/>
          <w:lang w:val="es-CR"/>
        </w:rPr>
        <w:tab/>
      </w:r>
      <w:r w:rsidRPr="00BC57A2">
        <w:rPr>
          <w:i/>
          <w:sz w:val="16"/>
          <w:szCs w:val="16"/>
          <w:lang w:val="es-CR"/>
        </w:rPr>
        <w:t>Medio ambiente y derechos humanos (obligaciones estatales en relación con el medio ambiente en el marco de la protección y garantía de los derechos a la vida y a la integridad personal - interpretación y alcance de los artículos 4.1 y 5.1, en relación con los artículos 1.1 y 2 de la Convención Americana sobre Derechos Humanos). Opinión Consultiva OC-23/17</w:t>
      </w:r>
      <w:r w:rsidRPr="00BC57A2">
        <w:rPr>
          <w:iCs/>
          <w:sz w:val="16"/>
          <w:szCs w:val="16"/>
          <w:lang w:val="es-CR"/>
        </w:rPr>
        <w:t xml:space="preserve">, párr. 111. </w:t>
      </w:r>
    </w:p>
    <w:p w14:paraId="65E99EC2" w14:textId="77777777" w:rsidR="0023585A" w:rsidRPr="00BC57A2" w:rsidRDefault="0023585A" w:rsidP="007C7E7C">
      <w:pPr>
        <w:pStyle w:val="Textonotapie"/>
        <w:tabs>
          <w:tab w:val="left" w:pos="426"/>
        </w:tabs>
        <w:rPr>
          <w:i/>
          <w:sz w:val="16"/>
          <w:szCs w:val="16"/>
          <w:lang w:val="es-CR"/>
        </w:rPr>
      </w:pPr>
    </w:p>
  </w:footnote>
  <w:footnote w:id="232">
    <w:p w14:paraId="4E7C5503" w14:textId="2E1E0415" w:rsidR="0023585A" w:rsidRPr="00BC57A2" w:rsidRDefault="0023585A" w:rsidP="007C7E7C">
      <w:pPr>
        <w:pStyle w:val="Textonotapie"/>
        <w:tabs>
          <w:tab w:val="left" w:pos="426"/>
        </w:tabs>
        <w:rPr>
          <w:iCs/>
          <w:sz w:val="16"/>
          <w:szCs w:val="16"/>
          <w:lang w:val="es-CR"/>
        </w:rPr>
      </w:pPr>
      <w:r w:rsidRPr="00BC57A2">
        <w:rPr>
          <w:rStyle w:val="Refdenotaalpie"/>
          <w:rFonts w:eastAsia="Calibri"/>
          <w:sz w:val="16"/>
          <w:szCs w:val="16"/>
        </w:rPr>
        <w:footnoteRef/>
      </w:r>
      <w:r w:rsidRPr="00BC57A2">
        <w:rPr>
          <w:sz w:val="16"/>
          <w:szCs w:val="16"/>
          <w:lang w:val="es-CR"/>
        </w:rPr>
        <w:t xml:space="preserve"> </w:t>
      </w:r>
      <w:r w:rsidRPr="00BC57A2">
        <w:rPr>
          <w:sz w:val="16"/>
          <w:szCs w:val="16"/>
          <w:lang w:val="es-CR"/>
        </w:rPr>
        <w:tab/>
      </w:r>
      <w:r>
        <w:rPr>
          <w:sz w:val="16"/>
          <w:szCs w:val="16"/>
          <w:lang w:val="es-CR"/>
        </w:rPr>
        <w:tab/>
      </w:r>
      <w:r w:rsidRPr="00BC57A2">
        <w:rPr>
          <w:sz w:val="16"/>
          <w:szCs w:val="16"/>
          <w:lang w:val="es-CR"/>
        </w:rPr>
        <w:t xml:space="preserve">La Corte advirtió que igual consideración corresponde a la alimentación. </w:t>
      </w:r>
      <w:r w:rsidRPr="00BC57A2">
        <w:rPr>
          <w:i/>
          <w:sz w:val="16"/>
          <w:szCs w:val="16"/>
          <w:lang w:val="es-CR"/>
        </w:rPr>
        <w:t>Medio ambiente y derechos humanos (obligaciones estatales en relación con el medio ambiente en el marco de la protección y garantía de los derechos a la vida y a la integridad personal - interpretación y alcance de los artículos 4.1 y 5.1, en relación con los artículos 1.1 y 2 de la Convención Americana sobre Derechos Humanos). Opinión Consultiva OC-23/17</w:t>
      </w:r>
      <w:r w:rsidRPr="00BC57A2">
        <w:rPr>
          <w:sz w:val="16"/>
          <w:szCs w:val="16"/>
          <w:lang w:val="es-CR"/>
        </w:rPr>
        <w:t>, párr. 121</w:t>
      </w:r>
      <w:r w:rsidRPr="00BC57A2">
        <w:rPr>
          <w:iCs/>
          <w:sz w:val="16"/>
          <w:szCs w:val="16"/>
          <w:lang w:val="es-CR"/>
        </w:rPr>
        <w:t xml:space="preserve">. </w:t>
      </w:r>
    </w:p>
    <w:p w14:paraId="12D63A72" w14:textId="77777777" w:rsidR="0023585A" w:rsidRPr="00BC57A2" w:rsidRDefault="0023585A" w:rsidP="007C7E7C">
      <w:pPr>
        <w:pStyle w:val="Textonotapie"/>
        <w:tabs>
          <w:tab w:val="left" w:pos="426"/>
        </w:tabs>
        <w:rPr>
          <w:i/>
          <w:sz w:val="16"/>
          <w:szCs w:val="16"/>
          <w:lang w:val="es-CR"/>
        </w:rPr>
      </w:pPr>
    </w:p>
  </w:footnote>
  <w:footnote w:id="233">
    <w:p w14:paraId="3F8CDF89" w14:textId="77777777" w:rsidR="0023585A" w:rsidRPr="00BC57A2" w:rsidRDefault="0023585A" w:rsidP="007C7E7C">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rFonts w:cs="Arial"/>
          <w:sz w:val="16"/>
          <w:szCs w:val="16"/>
          <w:shd w:val="clear" w:color="auto" w:fill="FFFFFF"/>
          <w:lang w:val="es-CR"/>
        </w:rPr>
        <w:t xml:space="preserve">Comité DESC. </w:t>
      </w:r>
      <w:r w:rsidRPr="00BC57A2">
        <w:rPr>
          <w:rFonts w:cs="Arial"/>
          <w:i/>
          <w:sz w:val="16"/>
          <w:szCs w:val="16"/>
          <w:shd w:val="clear" w:color="auto" w:fill="FFFFFF"/>
          <w:lang w:val="es-CR"/>
        </w:rPr>
        <w:t>Observación General 15. El derecho al agua (artículos 11 y 12 del Pacto Internacional de Derechos Económicos, Sociales y Culturales)</w:t>
      </w:r>
      <w:r w:rsidRPr="00BC57A2">
        <w:rPr>
          <w:sz w:val="16"/>
          <w:szCs w:val="16"/>
          <w:lang w:val="es-CR"/>
        </w:rPr>
        <w:t>, párr. 16.</w:t>
      </w:r>
    </w:p>
    <w:p w14:paraId="1A68667C" w14:textId="77777777" w:rsidR="0023585A" w:rsidRPr="00BC57A2" w:rsidRDefault="0023585A" w:rsidP="007C7E7C">
      <w:pPr>
        <w:pStyle w:val="Textonotapie"/>
        <w:rPr>
          <w:sz w:val="16"/>
          <w:szCs w:val="16"/>
          <w:lang w:val="es-CR"/>
        </w:rPr>
      </w:pPr>
      <w:r w:rsidRPr="00BC57A2">
        <w:rPr>
          <w:sz w:val="16"/>
          <w:szCs w:val="16"/>
          <w:lang w:val="es-CR"/>
        </w:rPr>
        <w:t xml:space="preserve"> </w:t>
      </w:r>
    </w:p>
  </w:footnote>
  <w:footnote w:id="234">
    <w:p w14:paraId="3230631D" w14:textId="26346379" w:rsidR="0023585A" w:rsidRPr="00BC57A2" w:rsidRDefault="0023585A" w:rsidP="007C7E7C">
      <w:pPr>
        <w:pStyle w:val="Default"/>
        <w:jc w:val="both"/>
        <w:rPr>
          <w:sz w:val="16"/>
          <w:szCs w:val="16"/>
        </w:rPr>
      </w:pPr>
      <w:r w:rsidRPr="00BC57A2">
        <w:rPr>
          <w:rStyle w:val="Refdenotaalpie"/>
          <w:sz w:val="16"/>
          <w:szCs w:val="16"/>
        </w:rPr>
        <w:footnoteRef/>
      </w:r>
      <w:r w:rsidRPr="00BC57A2">
        <w:rPr>
          <w:sz w:val="16"/>
          <w:szCs w:val="16"/>
        </w:rPr>
        <w:t xml:space="preserve"> </w:t>
      </w:r>
      <w:r w:rsidRPr="00BC57A2">
        <w:rPr>
          <w:sz w:val="16"/>
          <w:szCs w:val="16"/>
        </w:rPr>
        <w:tab/>
        <w:t>En la presente Sentencia, dadas las características de los hechos relevantes que se examinan y los alegatos al respecto, se abordará el derecho a “participar en la vida cultural” en un aspecto específico, que es el derecho a la “identidad cultural”. En ese sentido, se ha aducido en este caso la afectación a los rasgos culturales propios o identitarios, a la cultura como “modo de vida”. La noción de “identidad cultural” se encuentra en el Convenio 169 de la OIT y en la Declaración Americana sobre los Derechos de los Pueblos indígenas, y puede entenderse incorporada en la Declaración de Naciones Unidas sobre Derechos de los Pueblos Indígenas, que se expresa en términos equivalentes, y ha ya sido utilizada por la Corte respecto a comunidades indígenas. Este Tribunal ha dicho que la “identidad cultural” es un “derecho humano fundamental y de naturaleza colectiva de las comunidades indígenas, que debe ser respetado en una sociedad multicultural, pluralista y democrática” (</w:t>
      </w:r>
      <w:r w:rsidRPr="00BC57A2">
        <w:rPr>
          <w:i/>
          <w:sz w:val="16"/>
          <w:szCs w:val="16"/>
        </w:rPr>
        <w:t>Medio ambiente y derechos humanos (obligaciones estatales en relación con el medio ambiente en el marco de la protección y garantía de los derechos a la vida y a la integridad personal - interpretación y alcance de los artículos 4.1 y 5.1, en relación con los artículos 1.1 y 2 de la Convención Americana sobre Derechos Humanos). Opinión Consultiva OC-23/17</w:t>
      </w:r>
      <w:r w:rsidRPr="00BC57A2">
        <w:rPr>
          <w:sz w:val="16"/>
          <w:szCs w:val="16"/>
        </w:rPr>
        <w:t xml:space="preserve">, párr. 113; en el mismo sentido, </w:t>
      </w:r>
      <w:r w:rsidRPr="00BC57A2">
        <w:rPr>
          <w:rStyle w:val="Textoennegrita"/>
          <w:b w:val="0"/>
          <w:i/>
          <w:sz w:val="16"/>
          <w:szCs w:val="16"/>
          <w:shd w:val="clear" w:color="auto" w:fill="FFFFFF"/>
        </w:rPr>
        <w:t>Caso Pueblo Indígena Kichwa de Sarayaku Vs. Ecuador</w:t>
      </w:r>
      <w:r w:rsidRPr="00BC57A2">
        <w:rPr>
          <w:rStyle w:val="Textoennegrita"/>
          <w:b w:val="0"/>
          <w:sz w:val="16"/>
          <w:szCs w:val="16"/>
          <w:shd w:val="clear" w:color="auto" w:fill="FFFFFF"/>
        </w:rPr>
        <w:t>, párr. 217.</w:t>
      </w:r>
      <w:r w:rsidRPr="00BC57A2">
        <w:rPr>
          <w:sz w:val="16"/>
          <w:szCs w:val="16"/>
        </w:rPr>
        <w:t>) El derecho a la identidad cultural es atinente a pueblos indígenas, pero no solo a ellos: presenta una estrecha relación con el derecho de toda persona a “participar en la vida cultural” y con el derecho de integrantes de grupos considerados “minorías” a “tener su propia vida cultural”, conforme, respectivamente, los artículos 15 y 27 de los Pactos Internacionales de Derechos Económicos, Sociales y Culturales y de Derechos Civiles y Políticos (</w:t>
      </w:r>
      <w:r w:rsidRPr="00BC57A2">
        <w:rPr>
          <w:i/>
          <w:sz w:val="16"/>
          <w:szCs w:val="16"/>
        </w:rPr>
        <w:t xml:space="preserve">infra </w:t>
      </w:r>
      <w:r w:rsidRPr="00BC57A2">
        <w:rPr>
          <w:sz w:val="16"/>
          <w:szCs w:val="16"/>
        </w:rPr>
        <w:t>párr. 234), según ha sido indicado por los Comités correspondientes (</w:t>
      </w:r>
      <w:r w:rsidRPr="00BC57A2">
        <w:rPr>
          <w:i/>
          <w:sz w:val="16"/>
          <w:szCs w:val="16"/>
        </w:rPr>
        <w:t>cfr</w:t>
      </w:r>
      <w:r>
        <w:rPr>
          <w:i/>
          <w:sz w:val="16"/>
          <w:szCs w:val="16"/>
        </w:rPr>
        <w:t>.</w:t>
      </w:r>
      <w:r w:rsidRPr="00BC57A2">
        <w:rPr>
          <w:sz w:val="16"/>
          <w:szCs w:val="16"/>
        </w:rPr>
        <w:t xml:space="preserve"> Comité DESC. </w:t>
      </w:r>
      <w:r w:rsidRPr="00BC57A2">
        <w:rPr>
          <w:i/>
          <w:sz w:val="16"/>
          <w:szCs w:val="16"/>
        </w:rPr>
        <w:t xml:space="preserve">Observación General 21. </w:t>
      </w:r>
      <w:r w:rsidRPr="00BC57A2">
        <w:rPr>
          <w:bCs/>
          <w:i/>
          <w:sz w:val="16"/>
          <w:szCs w:val="16"/>
        </w:rPr>
        <w:t>Derecho de toda persona a participar en la vida cultural (artículo 15, párrafo 1 a), del Pacto Internacional de Derechos Económicos, Sociales y Culturales).</w:t>
      </w:r>
      <w:r w:rsidRPr="00BC57A2">
        <w:rPr>
          <w:sz w:val="16"/>
          <w:szCs w:val="16"/>
        </w:rPr>
        <w:t xml:space="preserve"> 43º período de sesiones (2009) Doc. E/C.12/GC/21, párrs 3, 7, 9, 13, 15, 32, 33, 36, 37, 42, 43, 49, 53 y 55 , y Comité de Derechos Humanos. </w:t>
      </w:r>
      <w:r w:rsidRPr="00BC57A2">
        <w:rPr>
          <w:i/>
          <w:sz w:val="16"/>
          <w:szCs w:val="16"/>
        </w:rPr>
        <w:t xml:space="preserve">Observación General 23. </w:t>
      </w:r>
      <w:r w:rsidRPr="00BC57A2">
        <w:rPr>
          <w:bCs/>
          <w:i/>
          <w:sz w:val="16"/>
          <w:szCs w:val="16"/>
        </w:rPr>
        <w:t>Derecho de las minorías (artículo 27).</w:t>
      </w:r>
      <w:r w:rsidRPr="00BC57A2">
        <w:rPr>
          <w:bCs/>
          <w:sz w:val="16"/>
          <w:szCs w:val="16"/>
        </w:rPr>
        <w:t xml:space="preserve"> 50º período de sesiones (1994). </w:t>
      </w:r>
      <w:r w:rsidRPr="00BE63EC">
        <w:rPr>
          <w:bCs/>
          <w:sz w:val="16"/>
          <w:szCs w:val="16"/>
          <w:lang w:val="es-ES"/>
        </w:rPr>
        <w:t xml:space="preserve">Doc. CCPR/C/21/Rev.1/Add.5, </w:t>
      </w:r>
      <w:r w:rsidRPr="00BE63EC">
        <w:rPr>
          <w:sz w:val="16"/>
          <w:szCs w:val="16"/>
          <w:lang w:val="es-ES"/>
        </w:rPr>
        <w:t xml:space="preserve">párrs. </w:t>
      </w:r>
      <w:r w:rsidRPr="00BC57A2">
        <w:rPr>
          <w:sz w:val="16"/>
          <w:szCs w:val="16"/>
        </w:rPr>
        <w:t xml:space="preserve">1 y 3). Por otra parte, este Tribunal aclara que los derechos culturales no se limitan a lo anterior. No resulta necesario aquí profundizar en esto último, baste con señalar que el artículo XIII de la Declaración Americana habla también de “gozar de las artes y disfrutar de los beneficios que resulten de los progresos intelectuales y especialmente de los descubrimientos científicos [y] asimismo [de] la protección de los intereses morales y materiales” relativos a “inventos [y] obras”. Puede observarse también, en el mismo sentido, lo señalado por el Comité DESC en el párrafo 2 de la citada Observación General 21, en que de forma clara habla del derecho a “participar en la vida cultural” y, además, de “otros derechos culturales”. </w:t>
      </w:r>
    </w:p>
    <w:p w14:paraId="05570EA1" w14:textId="77777777" w:rsidR="0023585A" w:rsidRPr="00BC57A2" w:rsidRDefault="0023585A" w:rsidP="007C7E7C">
      <w:pPr>
        <w:pStyle w:val="Default"/>
        <w:jc w:val="both"/>
        <w:rPr>
          <w:sz w:val="16"/>
          <w:szCs w:val="16"/>
          <w:highlight w:val="yellow"/>
        </w:rPr>
      </w:pPr>
    </w:p>
  </w:footnote>
  <w:footnote w:id="235">
    <w:p w14:paraId="77D8E7B7" w14:textId="29044B1F" w:rsidR="0023585A" w:rsidRPr="00BC57A2" w:rsidRDefault="0023585A" w:rsidP="007C7E7C">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La Corte considera relevante dejar sentado que las normas indicadas deben entenderse y aplicarse de forma armónica con otros compromisos internacionales de los Estados, tales como los que surgen, por ejemplo, del artículo 15 del Pacto Internacional de Derechos Económicos, Sociales y Culturales y del artículo 27 del Pacto Internacional de Derechos Civiles y Políticos (</w:t>
      </w:r>
      <w:r w:rsidRPr="00BC57A2">
        <w:rPr>
          <w:i/>
          <w:sz w:val="16"/>
          <w:szCs w:val="16"/>
          <w:lang w:val="es-CR"/>
        </w:rPr>
        <w:t xml:space="preserve">infra </w:t>
      </w:r>
      <w:r w:rsidRPr="00BC57A2">
        <w:rPr>
          <w:sz w:val="16"/>
          <w:szCs w:val="16"/>
          <w:lang w:val="es-CR"/>
        </w:rPr>
        <w:t>párr. 234), o del Convenio 169. Por ello, no corresponde entender que tales normas mandan políticas estatales que propendan a la asimilación de grupos minoritarios, o con pautas culturales propias, a una cultura que se pretenda mayoritaria o dominante. Por el contrario, los mandatos de procurar un desarrollo “integral”, “incorporar” y acrecentar la “participación” de sectores poblacionales para su “plena integración”, estimular la cultura y “preservar y enriquecer” el patrimonio cultural, deben entenderse en el marco del respeto a la propia vida cultural de los diversos grupos, tales como comunidades indígenas. Por lo tanto, la “participación”, “integración” o “incorporación” en la “vida cultural” deben procurarse sin perjuicio de la diversidad cultural, y entenderse de modo respetuoso de la misma y de los derechos de los distintos grupos y las personas que los integran.</w:t>
      </w:r>
    </w:p>
    <w:p w14:paraId="573E3E48" w14:textId="77777777" w:rsidR="0023585A" w:rsidRPr="00BC57A2" w:rsidRDefault="0023585A" w:rsidP="007C7E7C">
      <w:pPr>
        <w:pStyle w:val="Textonotapie"/>
        <w:rPr>
          <w:sz w:val="16"/>
          <w:szCs w:val="16"/>
          <w:lang w:val="es-CR"/>
        </w:rPr>
      </w:pPr>
      <w:r w:rsidRPr="00BC57A2">
        <w:rPr>
          <w:sz w:val="16"/>
          <w:szCs w:val="16"/>
          <w:lang w:val="es-CR"/>
        </w:rPr>
        <w:t xml:space="preserve"> </w:t>
      </w:r>
    </w:p>
  </w:footnote>
  <w:footnote w:id="236">
    <w:p w14:paraId="09E83217" w14:textId="77777777" w:rsidR="0023585A" w:rsidRPr="00BC57A2" w:rsidRDefault="0023585A" w:rsidP="007C7E7C">
      <w:pPr>
        <w:pStyle w:val="Prrafodelista"/>
        <w:spacing w:after="0" w:line="240" w:lineRule="auto"/>
        <w:ind w:left="0"/>
        <w:jc w:val="both"/>
        <w:rPr>
          <w:rFonts w:ascii="Verdana" w:hAnsi="Verdana"/>
          <w:sz w:val="16"/>
          <w:szCs w:val="16"/>
        </w:rPr>
      </w:pPr>
      <w:r w:rsidRPr="00BC57A2">
        <w:rPr>
          <w:rStyle w:val="Refdenotaalpie"/>
          <w:rFonts w:ascii="Verdana" w:hAnsi="Verdana"/>
          <w:sz w:val="16"/>
          <w:szCs w:val="16"/>
        </w:rPr>
        <w:footnoteRef/>
      </w:r>
      <w:r w:rsidRPr="00BC57A2">
        <w:rPr>
          <w:rFonts w:ascii="Verdana" w:hAnsi="Verdana"/>
          <w:sz w:val="16"/>
          <w:szCs w:val="16"/>
          <w:lang w:val="es-CR"/>
        </w:rPr>
        <w:t xml:space="preserve"> </w:t>
      </w:r>
      <w:r w:rsidRPr="00BC57A2">
        <w:rPr>
          <w:rFonts w:ascii="Verdana" w:hAnsi="Verdana"/>
          <w:sz w:val="16"/>
          <w:szCs w:val="16"/>
          <w:lang w:val="es-CR"/>
        </w:rPr>
        <w:tab/>
        <w:t>Preámbulo de la Declaración Universal de la UNESCO sobre la diversidad cultural, de 2 de noviembre de 2001. Allí se indica que es una “[d]</w:t>
      </w:r>
      <w:r w:rsidRPr="00BC57A2">
        <w:rPr>
          <w:rFonts w:ascii="Verdana" w:hAnsi="Verdana"/>
          <w:color w:val="000000"/>
          <w:sz w:val="16"/>
          <w:szCs w:val="16"/>
          <w:shd w:val="clear" w:color="auto" w:fill="FFFFFF"/>
        </w:rPr>
        <w:t>efinición conforme a las conclusiones de la Conferencia Mundial sobre las Políticas Culturales (MONDIACULT, México, 1982), de la Comisión Mundial de Cultura y Desarrollo (Nuestra Diversidad Creativa, 1995) y de la Conferencia Intergubernamental sobre Políticas Culturales para el Desarrollo (Estocolmo, 1998)”</w:t>
      </w:r>
      <w:r w:rsidRPr="00BC57A2">
        <w:rPr>
          <w:rFonts w:ascii="Verdana" w:hAnsi="Verdana"/>
          <w:sz w:val="16"/>
          <w:szCs w:val="16"/>
        </w:rPr>
        <w:t>.</w:t>
      </w:r>
    </w:p>
    <w:p w14:paraId="2BD65F58" w14:textId="77777777" w:rsidR="0023585A" w:rsidRPr="00BC57A2" w:rsidRDefault="0023585A" w:rsidP="007C7E7C">
      <w:pPr>
        <w:pStyle w:val="Prrafodelista"/>
        <w:spacing w:after="0" w:line="240" w:lineRule="auto"/>
        <w:ind w:left="0"/>
        <w:jc w:val="both"/>
        <w:rPr>
          <w:rFonts w:ascii="Verdana" w:hAnsi="Verdana"/>
          <w:sz w:val="16"/>
          <w:szCs w:val="16"/>
        </w:rPr>
      </w:pPr>
    </w:p>
  </w:footnote>
  <w:footnote w:id="237">
    <w:p w14:paraId="5A147547" w14:textId="77777777" w:rsidR="0023585A" w:rsidRPr="00BC57A2" w:rsidRDefault="0023585A" w:rsidP="007C7E7C">
      <w:pPr>
        <w:spacing w:after="0" w:line="240" w:lineRule="auto"/>
        <w:ind w:right="18"/>
        <w:jc w:val="both"/>
        <w:rPr>
          <w:rFonts w:ascii="Verdana" w:hAnsi="Verdana"/>
          <w:color w:val="000000"/>
          <w:sz w:val="16"/>
          <w:szCs w:val="16"/>
          <w:shd w:val="clear" w:color="auto" w:fill="FFFFFF"/>
        </w:rPr>
      </w:pPr>
      <w:r w:rsidRPr="00BC57A2">
        <w:rPr>
          <w:rStyle w:val="Refdenotaalpie"/>
          <w:rFonts w:ascii="Verdana" w:hAnsi="Verdana"/>
          <w:sz w:val="16"/>
          <w:szCs w:val="16"/>
        </w:rPr>
        <w:footnoteRef/>
      </w:r>
      <w:r w:rsidRPr="00BC57A2">
        <w:rPr>
          <w:rFonts w:ascii="Verdana" w:hAnsi="Verdana"/>
          <w:sz w:val="16"/>
          <w:szCs w:val="16"/>
        </w:rPr>
        <w:t xml:space="preserve"> </w:t>
      </w:r>
      <w:r w:rsidRPr="00BC57A2">
        <w:rPr>
          <w:rFonts w:ascii="Verdana" w:hAnsi="Verdana"/>
          <w:sz w:val="16"/>
          <w:szCs w:val="16"/>
        </w:rPr>
        <w:tab/>
        <w:t>Declaración Universal de la UNESCO sobre la diversidad cultural, arts. 1 y 2. El artículo 4 agrega que “[l]</w:t>
      </w:r>
      <w:r w:rsidRPr="00BC57A2">
        <w:rPr>
          <w:rFonts w:ascii="Verdana" w:hAnsi="Verdana"/>
          <w:color w:val="000000"/>
          <w:sz w:val="16"/>
          <w:szCs w:val="16"/>
          <w:shd w:val="clear" w:color="auto" w:fill="FFFFFF"/>
        </w:rPr>
        <w:t>a defensa de la diversidad cultural es un imperativo ético, inseparable del respeto de la dignidad de la persona humana. Ella supone el compromiso de respetar los derechos humanos y las libertades fundamentales, en particular los derechos de las personas que pertenecen a minorías y los de los pueblos indígenas”.</w:t>
      </w:r>
    </w:p>
    <w:p w14:paraId="5DE41B7A" w14:textId="77777777" w:rsidR="0023585A" w:rsidRPr="00BC57A2" w:rsidRDefault="0023585A" w:rsidP="007C7E7C">
      <w:pPr>
        <w:spacing w:after="0" w:line="240" w:lineRule="auto"/>
        <w:ind w:right="18"/>
        <w:jc w:val="both"/>
        <w:rPr>
          <w:rFonts w:ascii="Verdana" w:hAnsi="Verdana"/>
          <w:bCs/>
          <w:sz w:val="16"/>
          <w:szCs w:val="16"/>
          <w:lang w:val="es-ES"/>
        </w:rPr>
      </w:pPr>
    </w:p>
  </w:footnote>
  <w:footnote w:id="238">
    <w:p w14:paraId="12FF0CBC" w14:textId="77777777" w:rsidR="0023585A" w:rsidRPr="00BC57A2" w:rsidRDefault="0023585A" w:rsidP="007C7E7C">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 xml:space="preserve">Comité DESC. </w:t>
      </w:r>
      <w:r w:rsidRPr="00BC57A2">
        <w:rPr>
          <w:i/>
          <w:sz w:val="16"/>
          <w:szCs w:val="16"/>
          <w:lang w:val="es-CR"/>
        </w:rPr>
        <w:t xml:space="preserve">Observación General 21. </w:t>
      </w:r>
      <w:r w:rsidRPr="00BC57A2">
        <w:rPr>
          <w:bCs/>
          <w:i/>
          <w:sz w:val="16"/>
          <w:szCs w:val="16"/>
          <w:lang w:val="es-CR"/>
        </w:rPr>
        <w:t>Derecho de toda persona a participar en la vida cultural (artículo 15, párrafo 1 a), del Pacto Internacional de Derechos Económicos, Sociales y Culturales)</w:t>
      </w:r>
      <w:r w:rsidRPr="00BC57A2">
        <w:rPr>
          <w:sz w:val="16"/>
          <w:szCs w:val="16"/>
          <w:lang w:val="es-CR"/>
        </w:rPr>
        <w:t>, párr. 12.</w:t>
      </w:r>
    </w:p>
    <w:p w14:paraId="5D9853F9" w14:textId="77777777" w:rsidR="0023585A" w:rsidRPr="00BC57A2" w:rsidRDefault="0023585A" w:rsidP="007C7E7C">
      <w:pPr>
        <w:pStyle w:val="Textonotapie"/>
        <w:rPr>
          <w:sz w:val="16"/>
          <w:szCs w:val="16"/>
          <w:lang w:val="es-CR"/>
        </w:rPr>
      </w:pPr>
    </w:p>
  </w:footnote>
  <w:footnote w:id="239">
    <w:p w14:paraId="37DA62D5" w14:textId="77777777" w:rsidR="0023585A" w:rsidRPr="00BC57A2" w:rsidRDefault="0023585A" w:rsidP="007C7E7C">
      <w:pPr>
        <w:pStyle w:val="Textonotapie"/>
        <w:tabs>
          <w:tab w:val="left" w:pos="975"/>
        </w:tabs>
        <w:rPr>
          <w:rFonts w:eastAsia="Times New Roman" w:cs="Times New Roman"/>
          <w:color w:val="000000"/>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Es posible señalar, en el mismo sentido que lo indicado, los conceptos referidos por UNESCO (</w:t>
      </w:r>
      <w:r w:rsidRPr="00BC57A2">
        <w:rPr>
          <w:i/>
          <w:sz w:val="16"/>
          <w:szCs w:val="16"/>
          <w:lang w:val="es-CR"/>
        </w:rPr>
        <w:t xml:space="preserve">supra </w:t>
      </w:r>
      <w:r w:rsidRPr="00BC57A2">
        <w:rPr>
          <w:sz w:val="16"/>
          <w:szCs w:val="16"/>
          <w:lang w:val="es-CR"/>
        </w:rPr>
        <w:t>párrs. 237 y 238</w:t>
      </w:r>
      <w:r w:rsidRPr="00BC57A2">
        <w:rPr>
          <w:i/>
          <w:sz w:val="16"/>
          <w:szCs w:val="16"/>
          <w:lang w:val="es-CR"/>
        </w:rPr>
        <w:t>)</w:t>
      </w:r>
      <w:r w:rsidRPr="00BC57A2">
        <w:rPr>
          <w:sz w:val="16"/>
          <w:szCs w:val="16"/>
          <w:lang w:val="es-CR"/>
        </w:rPr>
        <w:t>, el Comité de Derechos Humanos y el Comité DESC. El Comité de Derechos Humanos, respecto al artículo 27 del PIDCP (</w:t>
      </w:r>
      <w:r w:rsidRPr="00BC57A2">
        <w:rPr>
          <w:i/>
          <w:sz w:val="16"/>
          <w:szCs w:val="16"/>
          <w:lang w:val="es-CR"/>
        </w:rPr>
        <w:t>supra</w:t>
      </w:r>
      <w:r w:rsidRPr="00BC57A2">
        <w:rPr>
          <w:sz w:val="16"/>
          <w:szCs w:val="16"/>
          <w:lang w:val="es-CR"/>
        </w:rPr>
        <w:t xml:space="preserve">, párr. 234), ha expresado que “no se debe negar a las personas que pertenezcan a […] minorías el derecho que les corresponde, en común con los demás miembros de su grupo, a tener su propia vida cultural” (Comité de Derechos Humanos. </w:t>
      </w:r>
      <w:r w:rsidRPr="00BC57A2">
        <w:rPr>
          <w:i/>
          <w:sz w:val="16"/>
          <w:szCs w:val="16"/>
          <w:lang w:val="es-CR"/>
        </w:rPr>
        <w:t xml:space="preserve">Observación General 23. </w:t>
      </w:r>
      <w:r w:rsidRPr="00BC57A2">
        <w:rPr>
          <w:bCs/>
          <w:i/>
          <w:sz w:val="16"/>
          <w:szCs w:val="16"/>
          <w:lang w:val="es-CR"/>
        </w:rPr>
        <w:t>Derecho de las minorías (artículo 27),</w:t>
      </w:r>
      <w:r w:rsidRPr="00BC57A2">
        <w:rPr>
          <w:bCs/>
          <w:sz w:val="16"/>
          <w:szCs w:val="16"/>
          <w:lang w:val="es-CR"/>
        </w:rPr>
        <w:t xml:space="preserve"> </w:t>
      </w:r>
      <w:r w:rsidRPr="00BC57A2">
        <w:rPr>
          <w:sz w:val="16"/>
          <w:szCs w:val="16"/>
          <w:lang w:val="es-CR"/>
        </w:rPr>
        <w:t>párr 5). En la misma línea, el Comité DESC, explicando el artículo 15.1.a. del PIDESC (</w:t>
      </w:r>
      <w:r w:rsidRPr="00BC57A2">
        <w:rPr>
          <w:i/>
          <w:sz w:val="16"/>
          <w:szCs w:val="16"/>
          <w:lang w:val="es-CR"/>
        </w:rPr>
        <w:t xml:space="preserve">supra, </w:t>
      </w:r>
      <w:r w:rsidRPr="00BC57A2">
        <w:rPr>
          <w:sz w:val="16"/>
          <w:szCs w:val="16"/>
          <w:lang w:val="es-CR"/>
        </w:rPr>
        <w:t>párr. 234), indicó que “la cultura es un concepto amplio e inclusivo que comprende todas las expresiones de la existencia humana. La expresión ‘vida cultural’ hace referencia explícita al carácter de la cultura como un proceso vital, histórico, dinámico y evolutivo, que tiene un pasado, un presente y un futuro”. Agregó que la “cultura”, en el sentido pertinente, abarca</w:t>
      </w:r>
      <w:r w:rsidRPr="00BC57A2">
        <w:rPr>
          <w:rFonts w:eastAsia="Times New Roman" w:cs="Times New Roman"/>
          <w:color w:val="000000"/>
          <w:sz w:val="16"/>
          <w:szCs w:val="16"/>
          <w:lang w:val="es-CR"/>
        </w:rPr>
        <w:t xml:space="preserve"> “</w:t>
      </w:r>
      <w:r w:rsidRPr="00BC57A2">
        <w:rPr>
          <w:sz w:val="16"/>
          <w:szCs w:val="16"/>
          <w:lang w:val="es-CR"/>
        </w:rPr>
        <w:t>las formas de vida, el lenguaje, la literatura escrita y oral, la música y las canciones, la comunicación no verbal, los sistemas de religión y de creencias, los ritos y las ceremonias, los deportes y juegos, los métodos de producción o la tecnología, el entorno natural y el producido por el ser humano, la comida, el vestido y la vivienda, así como las artes, costumbres y tradiciones, por los cuales individuos, grupos y comunidades expresan su humanidad y el sentido que dan a su existencia, y configuran una visión del mundo que representa su encuentro con las fuerzas externas que afectan a sus vidas”. Además, señaló que “[l]a participación en la vida cultural comprende, en particular, el derecho de toda persona (sola, en asociación con otras o como una comunidad) a […] identificarse o no con una o con varias comunidades, […y] a ejercer sus propias prácticas culturales”; que “[e]l acceso a la vida cultural comprende, en particular, el derecho de toda persona (sola, en asociación con otras o como una comunidad) a conocer y comprender su propia cultura y la de otros, a través de la educación y la información, y a recibir educación y capacitación de calidad con pleno respeto a su identidad cultural. Toda persona tiene también derecho […] a seguir un estilo de vida asociado al uso de bienes culturales y de recursos como la tierra, el agua, la biodiversidad, el lenguaje o instituciones específicas, y a beneficiarse del patrimonio cultural y de las creaciones de otros individuos y comunidades”. Agregó que la “contribución a la vida cultural” es una expresión que se refiere al derecho de toda persona a, entre otros aspectos, “</w:t>
      </w:r>
      <w:r w:rsidRPr="00BC57A2">
        <w:rPr>
          <w:color w:val="000000"/>
          <w:sz w:val="16"/>
          <w:szCs w:val="16"/>
          <w:lang w:val="es-CR"/>
        </w:rPr>
        <w:t xml:space="preserve">participar en el desarrollo de la comunidad a la que pertenece”. </w:t>
      </w:r>
      <w:r w:rsidRPr="00BC57A2">
        <w:rPr>
          <w:sz w:val="16"/>
          <w:szCs w:val="16"/>
          <w:lang w:val="es-CR"/>
        </w:rPr>
        <w:t xml:space="preserve">(Comité DESC. </w:t>
      </w:r>
      <w:r w:rsidRPr="00BC57A2">
        <w:rPr>
          <w:i/>
          <w:sz w:val="16"/>
          <w:szCs w:val="16"/>
          <w:lang w:val="es-CR"/>
        </w:rPr>
        <w:t xml:space="preserve">Observación General 21. </w:t>
      </w:r>
      <w:r w:rsidRPr="00BC57A2">
        <w:rPr>
          <w:bCs/>
          <w:i/>
          <w:sz w:val="16"/>
          <w:szCs w:val="16"/>
          <w:lang w:val="es-CR"/>
        </w:rPr>
        <w:t>Derecho de toda persona a participar en la vida cultural (artículo 15, párrafo 1 a), del Pacto Internacional de Derechos Económicos, Sociales y Culturales)</w:t>
      </w:r>
      <w:r w:rsidRPr="00BC57A2">
        <w:rPr>
          <w:sz w:val="16"/>
          <w:szCs w:val="16"/>
          <w:lang w:val="es-CR"/>
        </w:rPr>
        <w:t>, párrs. 11. 13 y 15.</w:t>
      </w:r>
      <w:r w:rsidRPr="00BC57A2">
        <w:rPr>
          <w:rFonts w:eastAsia="Times New Roman" w:cs="Times New Roman"/>
          <w:color w:val="000000"/>
          <w:sz w:val="16"/>
          <w:szCs w:val="16"/>
          <w:lang w:val="es-CR"/>
        </w:rPr>
        <w:t>)</w:t>
      </w:r>
    </w:p>
    <w:p w14:paraId="500E4405" w14:textId="77777777" w:rsidR="0023585A" w:rsidRPr="00BC57A2" w:rsidRDefault="0023585A" w:rsidP="007C7E7C">
      <w:pPr>
        <w:pStyle w:val="Textonotapie"/>
        <w:tabs>
          <w:tab w:val="left" w:pos="975"/>
        </w:tabs>
        <w:rPr>
          <w:sz w:val="16"/>
          <w:szCs w:val="16"/>
          <w:lang w:val="es-CR"/>
        </w:rPr>
      </w:pPr>
    </w:p>
  </w:footnote>
  <w:footnote w:id="240">
    <w:p w14:paraId="4E5447F6" w14:textId="77777777" w:rsidR="0023585A" w:rsidRPr="00BC57A2" w:rsidRDefault="0023585A" w:rsidP="007C7E7C">
      <w:pPr>
        <w:pStyle w:val="Textonotapie"/>
        <w:rPr>
          <w:sz w:val="16"/>
          <w:szCs w:val="16"/>
          <w:lang w:val="es-ES"/>
        </w:rPr>
      </w:pPr>
      <w:r w:rsidRPr="00BC57A2">
        <w:rPr>
          <w:rStyle w:val="Refdenotaalpie"/>
          <w:sz w:val="16"/>
          <w:szCs w:val="16"/>
        </w:rPr>
        <w:footnoteRef/>
      </w:r>
      <w:r w:rsidRPr="00BC57A2">
        <w:rPr>
          <w:sz w:val="16"/>
          <w:szCs w:val="16"/>
          <w:lang w:val="es-CR"/>
        </w:rPr>
        <w:t xml:space="preserve"> </w:t>
      </w:r>
      <w:r w:rsidRPr="00BC57A2">
        <w:rPr>
          <w:sz w:val="16"/>
          <w:szCs w:val="16"/>
          <w:lang w:val="es-CR"/>
        </w:rPr>
        <w:tab/>
        <w:t xml:space="preserve">Comité DESC. </w:t>
      </w:r>
      <w:r w:rsidRPr="00BC57A2">
        <w:rPr>
          <w:i/>
          <w:sz w:val="16"/>
          <w:szCs w:val="16"/>
          <w:lang w:val="es-CR"/>
        </w:rPr>
        <w:t xml:space="preserve">Observación General 21. </w:t>
      </w:r>
      <w:r w:rsidRPr="00BC57A2">
        <w:rPr>
          <w:bCs/>
          <w:i/>
          <w:sz w:val="16"/>
          <w:szCs w:val="16"/>
          <w:lang w:val="es-CR"/>
        </w:rPr>
        <w:t>Derecho de toda persona a participar en la vida cultural (artículo 15, párrafo 1 a), del Pacto Internacional de Derechos Económicos, Sociales y Culturales)</w:t>
      </w:r>
      <w:r w:rsidRPr="00BC57A2">
        <w:rPr>
          <w:sz w:val="16"/>
          <w:szCs w:val="16"/>
          <w:lang w:val="es-CR"/>
        </w:rPr>
        <w:t>,</w:t>
      </w:r>
      <w:r w:rsidRPr="00BC57A2">
        <w:rPr>
          <w:sz w:val="16"/>
          <w:szCs w:val="16"/>
          <w:lang w:val="es-ES"/>
        </w:rPr>
        <w:t xml:space="preserve"> párr. 16. </w:t>
      </w:r>
    </w:p>
    <w:p w14:paraId="12598189" w14:textId="77777777" w:rsidR="0023585A" w:rsidRPr="00BC57A2" w:rsidRDefault="0023585A" w:rsidP="007C7E7C">
      <w:pPr>
        <w:pStyle w:val="Textonotapie"/>
        <w:rPr>
          <w:sz w:val="16"/>
          <w:szCs w:val="16"/>
          <w:lang w:val="es-ES"/>
        </w:rPr>
      </w:pPr>
    </w:p>
  </w:footnote>
  <w:footnote w:id="241">
    <w:p w14:paraId="0ECB1E18" w14:textId="77777777" w:rsidR="0023585A" w:rsidRPr="00BC57A2" w:rsidRDefault="0023585A" w:rsidP="007C7E7C">
      <w:pPr>
        <w:pStyle w:val="Textonotapie"/>
        <w:rPr>
          <w:sz w:val="16"/>
          <w:szCs w:val="16"/>
          <w:lang w:val="es-ES"/>
        </w:rPr>
      </w:pPr>
      <w:r w:rsidRPr="00BC57A2">
        <w:rPr>
          <w:rStyle w:val="Refdenotaalpie"/>
          <w:sz w:val="16"/>
          <w:szCs w:val="16"/>
        </w:rPr>
        <w:footnoteRef/>
      </w:r>
      <w:r w:rsidRPr="00BC57A2">
        <w:rPr>
          <w:sz w:val="16"/>
          <w:szCs w:val="16"/>
          <w:lang w:val="es-CR"/>
        </w:rPr>
        <w:t xml:space="preserve"> </w:t>
      </w:r>
      <w:r w:rsidRPr="00BC57A2">
        <w:rPr>
          <w:sz w:val="16"/>
          <w:szCs w:val="16"/>
          <w:lang w:val="es-CR"/>
        </w:rPr>
        <w:tab/>
        <w:t xml:space="preserve">Comité DESC. </w:t>
      </w:r>
      <w:r w:rsidRPr="00BC57A2">
        <w:rPr>
          <w:i/>
          <w:sz w:val="16"/>
          <w:szCs w:val="16"/>
          <w:lang w:val="es-CR"/>
        </w:rPr>
        <w:t xml:space="preserve">Observación General 21. </w:t>
      </w:r>
      <w:r w:rsidRPr="00BC57A2">
        <w:rPr>
          <w:bCs/>
          <w:i/>
          <w:sz w:val="16"/>
          <w:szCs w:val="16"/>
          <w:lang w:val="es-CR"/>
        </w:rPr>
        <w:t>Derecho de toda persona a participar en la vida cultural (artículo 15, párrafo 1 a), del Pacto Internacional de Derechos Económicos, Sociales y Culturales)</w:t>
      </w:r>
      <w:r w:rsidRPr="00BC57A2">
        <w:rPr>
          <w:sz w:val="16"/>
          <w:szCs w:val="16"/>
          <w:lang w:val="es-CR"/>
        </w:rPr>
        <w:t>,</w:t>
      </w:r>
      <w:r w:rsidRPr="00BC57A2">
        <w:rPr>
          <w:sz w:val="16"/>
          <w:szCs w:val="16"/>
          <w:lang w:val="es-ES"/>
        </w:rPr>
        <w:t xml:space="preserve"> párrs.48, 55 y 63. </w:t>
      </w:r>
    </w:p>
    <w:p w14:paraId="214E3079" w14:textId="77777777" w:rsidR="0023585A" w:rsidRPr="00BC57A2" w:rsidRDefault="0023585A" w:rsidP="007C7E7C">
      <w:pPr>
        <w:pStyle w:val="Textonotapie"/>
        <w:rPr>
          <w:sz w:val="16"/>
          <w:szCs w:val="16"/>
          <w:lang w:val="es-ES"/>
        </w:rPr>
      </w:pPr>
    </w:p>
  </w:footnote>
  <w:footnote w:id="242">
    <w:p w14:paraId="4FA65CCF" w14:textId="77777777" w:rsidR="0023585A" w:rsidRPr="00BC57A2" w:rsidRDefault="0023585A" w:rsidP="007C7E7C">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Entre ellos, la Corte citó documentos emitidos por la Comisión Interamericana de Derechos Humanos, la Asamblea General de la OEA, el Tribunal Europeo de Derechos Humanos, la Comisión Africana de Derechos Humanos y el Experto independiente (hoy Relator Especial) sobre la cuestión de las obligaciones de derechos humanos relacionadas con el disfrute de un ambiente sin riesgos, limpio, saludable y sostenible de Naciones Unidas (</w:t>
      </w:r>
      <w:r w:rsidRPr="00BC57A2">
        <w:rPr>
          <w:i/>
          <w:sz w:val="16"/>
          <w:szCs w:val="16"/>
          <w:lang w:val="es-CR"/>
        </w:rPr>
        <w:t>cfr</w:t>
      </w:r>
      <w:r w:rsidRPr="00BC57A2">
        <w:rPr>
          <w:sz w:val="16"/>
          <w:szCs w:val="16"/>
          <w:lang w:val="es-CR"/>
        </w:rPr>
        <w:t xml:space="preserve">. </w:t>
      </w:r>
      <w:r w:rsidRPr="00BC57A2">
        <w:rPr>
          <w:i/>
          <w:sz w:val="16"/>
          <w:szCs w:val="16"/>
          <w:lang w:val="es-CR"/>
        </w:rPr>
        <w:t>Medio ambiente y derechos humanos (obligaciones estatales en relación con el medio ambiente en el marco de la protección y garantía de los derechos a la vida y a la integridad personal - interpretación y alcance de los artículos 4.1 y 5.1, en relación con los artículos 1.1 y 2 de la Convención Americana sobre Derechos Humanos). Opinión Consultiva OC-23/17</w:t>
      </w:r>
      <w:r w:rsidRPr="00BC57A2">
        <w:rPr>
          <w:sz w:val="16"/>
          <w:szCs w:val="16"/>
          <w:lang w:val="es-CR"/>
        </w:rPr>
        <w:t>, párrs. 49 a 51).</w:t>
      </w:r>
    </w:p>
    <w:p w14:paraId="3C435CA6" w14:textId="77777777" w:rsidR="0023585A" w:rsidRPr="00BC57A2" w:rsidRDefault="0023585A" w:rsidP="007C7E7C">
      <w:pPr>
        <w:pStyle w:val="Textonotapie"/>
        <w:rPr>
          <w:sz w:val="16"/>
          <w:szCs w:val="16"/>
          <w:lang w:val="es-CR"/>
        </w:rPr>
      </w:pPr>
    </w:p>
  </w:footnote>
  <w:footnote w:id="243">
    <w:p w14:paraId="7F4611E9" w14:textId="77777777" w:rsidR="0023585A" w:rsidRPr="00BC57A2" w:rsidRDefault="0023585A" w:rsidP="007C7E7C">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Medio ambiente y derechos humanos (obligaciones estatales en relación con el medio ambiente en el marco de la protección y garantía de los derechos a la vida y a la integridad personal - interpretación y alcance de los artículos 4.1 y 5.1, en relación con los artículos 1.1 y 2 de la Convención Americana sobre Derechos Humanos). Opinión Consultiva OC-23/17</w:t>
      </w:r>
      <w:r w:rsidRPr="00BC57A2">
        <w:rPr>
          <w:sz w:val="16"/>
          <w:szCs w:val="16"/>
          <w:lang w:val="es-CR"/>
        </w:rPr>
        <w:t xml:space="preserve">, párrs. 54 y 51. La cita señalada corresponde a lo dicho por el Experto Independiente referido en la nota a pie de página anterior, en el siguiente documento: </w:t>
      </w:r>
      <w:r w:rsidRPr="00BC57A2">
        <w:rPr>
          <w:i/>
          <w:sz w:val="16"/>
          <w:szCs w:val="16"/>
          <w:lang w:val="es-CR"/>
        </w:rPr>
        <w:t>Consejo de Derechos Humanos, Informe preliminar del Experto independiente sobre la cuestión de las obligaciones de derechos humanos relacionadas con el disfrute de un medio ambiente sin riesgos, limpio, saludable y sostenible</w:t>
      </w:r>
      <w:r w:rsidRPr="00BC57A2">
        <w:rPr>
          <w:sz w:val="16"/>
          <w:szCs w:val="16"/>
          <w:lang w:val="es-CR"/>
        </w:rPr>
        <w:t>, John H. Knox, 24 de diciembre de 2012, Doc. ONU A/HRC/22/43, párr. 10.</w:t>
      </w:r>
    </w:p>
    <w:p w14:paraId="3E2A0E08" w14:textId="77777777" w:rsidR="0023585A" w:rsidRPr="00BC57A2" w:rsidRDefault="0023585A" w:rsidP="007C7E7C">
      <w:pPr>
        <w:pStyle w:val="Textonotapie"/>
        <w:rPr>
          <w:sz w:val="16"/>
          <w:szCs w:val="16"/>
          <w:lang w:val="es-CR"/>
        </w:rPr>
      </w:pPr>
    </w:p>
  </w:footnote>
  <w:footnote w:id="244">
    <w:p w14:paraId="6E692271" w14:textId="77777777" w:rsidR="0023585A" w:rsidRPr="00BC57A2" w:rsidRDefault="0023585A" w:rsidP="007C7E7C">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 xml:space="preserve">Comité DESC. </w:t>
      </w:r>
      <w:r w:rsidRPr="00BC57A2">
        <w:rPr>
          <w:i/>
          <w:sz w:val="16"/>
          <w:szCs w:val="16"/>
          <w:lang w:val="es-CR"/>
        </w:rPr>
        <w:t>Observación General. 12. El derecho a una alimentación adecuada (artículo 11)</w:t>
      </w:r>
      <w:r w:rsidRPr="00BC57A2">
        <w:rPr>
          <w:sz w:val="16"/>
          <w:szCs w:val="16"/>
          <w:lang w:val="es-CR"/>
        </w:rPr>
        <w:t xml:space="preserve">, párr. 4. </w:t>
      </w:r>
    </w:p>
    <w:p w14:paraId="525B4B93" w14:textId="77777777" w:rsidR="0023585A" w:rsidRPr="00BC57A2" w:rsidRDefault="0023585A" w:rsidP="007C7E7C">
      <w:pPr>
        <w:pStyle w:val="Textonotapie"/>
        <w:rPr>
          <w:sz w:val="16"/>
          <w:szCs w:val="16"/>
          <w:lang w:val="es-CR"/>
        </w:rPr>
      </w:pPr>
    </w:p>
  </w:footnote>
  <w:footnote w:id="245">
    <w:p w14:paraId="136F306E" w14:textId="77777777" w:rsidR="0023585A" w:rsidRPr="00BC57A2" w:rsidRDefault="0023585A" w:rsidP="007C7E7C">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 xml:space="preserve">Comité DESC. </w:t>
      </w:r>
      <w:r w:rsidRPr="00BC57A2">
        <w:rPr>
          <w:i/>
          <w:sz w:val="16"/>
          <w:szCs w:val="16"/>
          <w:lang w:val="es-CR"/>
        </w:rPr>
        <w:t xml:space="preserve">Observación General 21. </w:t>
      </w:r>
      <w:r w:rsidRPr="00BC57A2">
        <w:rPr>
          <w:bCs/>
          <w:i/>
          <w:sz w:val="16"/>
          <w:szCs w:val="16"/>
          <w:lang w:val="es-CR"/>
        </w:rPr>
        <w:t>Derecho de toda persona a participar en la vida cultural (artículo 15, párrafo 1 a), del Pacto Internacional de Derechos Económicos, Sociales y Culturales)</w:t>
      </w:r>
      <w:r w:rsidRPr="00BC57A2">
        <w:rPr>
          <w:sz w:val="16"/>
          <w:szCs w:val="16"/>
          <w:lang w:val="es-CR"/>
        </w:rPr>
        <w:t>,</w:t>
      </w:r>
      <w:r w:rsidRPr="00BC57A2">
        <w:rPr>
          <w:sz w:val="16"/>
          <w:szCs w:val="16"/>
          <w:lang w:val="es-ES"/>
        </w:rPr>
        <w:t xml:space="preserve"> </w:t>
      </w:r>
      <w:r w:rsidRPr="00BC57A2">
        <w:rPr>
          <w:sz w:val="16"/>
          <w:szCs w:val="16"/>
          <w:lang w:val="es-CR"/>
        </w:rPr>
        <w:t xml:space="preserve">párr. 50. </w:t>
      </w:r>
    </w:p>
    <w:p w14:paraId="2BA1A043" w14:textId="77777777" w:rsidR="0023585A" w:rsidRPr="00BC57A2" w:rsidRDefault="0023585A" w:rsidP="007C7E7C">
      <w:pPr>
        <w:pStyle w:val="Textonotapie"/>
        <w:rPr>
          <w:sz w:val="16"/>
          <w:szCs w:val="16"/>
          <w:lang w:val="es-CR"/>
        </w:rPr>
      </w:pPr>
    </w:p>
  </w:footnote>
  <w:footnote w:id="246">
    <w:p w14:paraId="728DFBEF" w14:textId="77777777" w:rsidR="0023585A" w:rsidRPr="00BC57A2" w:rsidRDefault="0023585A" w:rsidP="007C7E7C">
      <w:pPr>
        <w:pStyle w:val="Textonotapie"/>
        <w:rPr>
          <w:sz w:val="16"/>
          <w:szCs w:val="16"/>
          <w:lang w:val="es-CR"/>
        </w:rPr>
      </w:pPr>
      <w:r w:rsidRPr="00BC57A2">
        <w:rPr>
          <w:rStyle w:val="Refdenotaalpie"/>
          <w:sz w:val="16"/>
          <w:szCs w:val="16"/>
        </w:rPr>
        <w:footnoteRef/>
      </w:r>
      <w:r w:rsidRPr="00BC57A2">
        <w:rPr>
          <w:sz w:val="16"/>
          <w:szCs w:val="16"/>
          <w:lang w:val="es-CR"/>
        </w:rPr>
        <w:tab/>
        <w:t xml:space="preserve">Comité DESC. </w:t>
      </w:r>
      <w:r w:rsidRPr="00BC57A2">
        <w:rPr>
          <w:i/>
          <w:sz w:val="16"/>
          <w:szCs w:val="16"/>
          <w:lang w:val="es-CR"/>
        </w:rPr>
        <w:t>Observación General 12. El derecho a una alimentación adecuada (artículo 11)</w:t>
      </w:r>
      <w:r w:rsidRPr="00BC57A2">
        <w:rPr>
          <w:sz w:val="16"/>
          <w:szCs w:val="16"/>
          <w:lang w:val="es-CR"/>
        </w:rPr>
        <w:t>,</w:t>
      </w:r>
      <w:r w:rsidRPr="00BC57A2" w:rsidDel="00AA5C3C">
        <w:rPr>
          <w:sz w:val="16"/>
          <w:szCs w:val="16"/>
          <w:lang w:val="es-CR"/>
        </w:rPr>
        <w:t xml:space="preserve"> </w:t>
      </w:r>
      <w:r w:rsidRPr="00BC57A2">
        <w:rPr>
          <w:sz w:val="16"/>
          <w:szCs w:val="16"/>
          <w:lang w:val="es-CR"/>
        </w:rPr>
        <w:t>párr. 4.</w:t>
      </w:r>
    </w:p>
    <w:p w14:paraId="4C06F89C" w14:textId="77777777" w:rsidR="0023585A" w:rsidRPr="00BC57A2" w:rsidRDefault="0023585A" w:rsidP="007C7E7C">
      <w:pPr>
        <w:pStyle w:val="Textonotapie"/>
        <w:rPr>
          <w:sz w:val="16"/>
          <w:szCs w:val="16"/>
          <w:lang w:val="es-CR"/>
        </w:rPr>
      </w:pPr>
      <w:r w:rsidRPr="00BC57A2">
        <w:rPr>
          <w:sz w:val="16"/>
          <w:szCs w:val="16"/>
          <w:lang w:val="es-CR"/>
        </w:rPr>
        <w:t xml:space="preserve"> </w:t>
      </w:r>
    </w:p>
  </w:footnote>
  <w:footnote w:id="247">
    <w:p w14:paraId="427C4B05" w14:textId="43C4EFD4" w:rsidR="0023585A" w:rsidRPr="00BC57A2" w:rsidRDefault="0023585A" w:rsidP="007C7E7C">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 xml:space="preserve">Comité DESC. </w:t>
      </w:r>
      <w:r w:rsidRPr="00BC57A2">
        <w:rPr>
          <w:i/>
          <w:sz w:val="16"/>
          <w:szCs w:val="16"/>
          <w:lang w:val="es-CR"/>
        </w:rPr>
        <w:t>Observación General 12</w:t>
      </w:r>
      <w:r>
        <w:rPr>
          <w:i/>
          <w:sz w:val="16"/>
          <w:szCs w:val="16"/>
          <w:lang w:val="es-CR"/>
        </w:rPr>
        <w:t>.</w:t>
      </w:r>
      <w:r w:rsidRPr="00BC57A2">
        <w:rPr>
          <w:i/>
          <w:sz w:val="16"/>
          <w:szCs w:val="16"/>
          <w:lang w:val="es-CR"/>
        </w:rPr>
        <w:t xml:space="preserve"> El derecho a una alimentación adecuada (artículo 11)</w:t>
      </w:r>
      <w:r w:rsidRPr="00BC57A2">
        <w:rPr>
          <w:sz w:val="16"/>
          <w:szCs w:val="16"/>
          <w:lang w:val="es-CR"/>
        </w:rPr>
        <w:t>,</w:t>
      </w:r>
      <w:r w:rsidRPr="00BC57A2" w:rsidDel="00AA5C3C">
        <w:rPr>
          <w:sz w:val="16"/>
          <w:szCs w:val="16"/>
          <w:lang w:val="es-CR"/>
        </w:rPr>
        <w:t xml:space="preserve"> </w:t>
      </w:r>
      <w:r w:rsidRPr="00BC57A2">
        <w:rPr>
          <w:sz w:val="16"/>
          <w:szCs w:val="16"/>
          <w:lang w:val="es-CR"/>
        </w:rPr>
        <w:t>párr. 7.</w:t>
      </w:r>
    </w:p>
    <w:p w14:paraId="3556CA32" w14:textId="77777777" w:rsidR="0023585A" w:rsidRPr="00BC57A2" w:rsidRDefault="0023585A" w:rsidP="007C7E7C">
      <w:pPr>
        <w:pStyle w:val="Textonotapie"/>
        <w:rPr>
          <w:sz w:val="16"/>
          <w:szCs w:val="16"/>
          <w:lang w:val="es-CR"/>
        </w:rPr>
      </w:pPr>
    </w:p>
  </w:footnote>
  <w:footnote w:id="248">
    <w:p w14:paraId="5D97AFA9" w14:textId="77777777" w:rsidR="0023585A" w:rsidRPr="00BC57A2" w:rsidRDefault="0023585A" w:rsidP="007C7E7C">
      <w:pPr>
        <w:autoSpaceDE w:val="0"/>
        <w:autoSpaceDN w:val="0"/>
        <w:adjustRightInd w:val="0"/>
        <w:spacing w:after="0" w:line="240" w:lineRule="auto"/>
        <w:jc w:val="both"/>
        <w:rPr>
          <w:rFonts w:ascii="Verdana" w:hAnsi="Verdana" w:cs="CIDFont+F2"/>
          <w:sz w:val="16"/>
          <w:szCs w:val="16"/>
          <w:lang w:val="es-CR"/>
        </w:rPr>
      </w:pPr>
      <w:r w:rsidRPr="00BC57A2">
        <w:rPr>
          <w:rStyle w:val="Refdenotaalpie"/>
          <w:rFonts w:ascii="Verdana" w:hAnsi="Verdana"/>
          <w:sz w:val="16"/>
          <w:szCs w:val="16"/>
        </w:rPr>
        <w:footnoteRef/>
      </w:r>
      <w:r w:rsidRPr="00BC57A2">
        <w:rPr>
          <w:rFonts w:ascii="Verdana" w:hAnsi="Verdana"/>
          <w:sz w:val="16"/>
          <w:szCs w:val="16"/>
          <w:lang w:val="es-CR"/>
        </w:rPr>
        <w:t xml:space="preserve"> </w:t>
      </w:r>
      <w:r w:rsidRPr="00BC57A2">
        <w:rPr>
          <w:rFonts w:ascii="Verdana" w:hAnsi="Verdana"/>
          <w:sz w:val="16"/>
          <w:szCs w:val="16"/>
          <w:lang w:val="es-CR"/>
        </w:rPr>
        <w:tab/>
      </w:r>
      <w:r w:rsidRPr="00BC57A2">
        <w:rPr>
          <w:rFonts w:ascii="Verdana" w:hAnsi="Verdana"/>
          <w:sz w:val="16"/>
          <w:szCs w:val="16"/>
          <w:lang w:val="es-UY"/>
        </w:rPr>
        <w:t xml:space="preserve">Grupo sobre el PSS. </w:t>
      </w:r>
      <w:r w:rsidRPr="00BC57A2">
        <w:rPr>
          <w:rFonts w:ascii="Verdana" w:hAnsi="Verdana"/>
          <w:i/>
          <w:sz w:val="16"/>
          <w:szCs w:val="16"/>
          <w:lang w:val="es-UY"/>
        </w:rPr>
        <w:t>Indicadores de progreso para la medición de derechos contemplados en el Protocolo de San Salvador. Segundo agrupamiento de Derechos</w:t>
      </w:r>
      <w:r w:rsidRPr="00BC57A2">
        <w:rPr>
          <w:rFonts w:ascii="Verdana" w:hAnsi="Verdana"/>
          <w:sz w:val="16"/>
          <w:szCs w:val="16"/>
          <w:lang w:val="es-UY"/>
        </w:rPr>
        <w:t xml:space="preserve">, párr. 21. </w:t>
      </w:r>
      <w:r w:rsidRPr="00BC57A2">
        <w:rPr>
          <w:rFonts w:ascii="Verdana" w:hAnsi="Verdana" w:cs="CIDFont+F2"/>
          <w:sz w:val="16"/>
          <w:szCs w:val="16"/>
          <w:lang w:val="es-CR"/>
        </w:rPr>
        <w:t xml:space="preserve">ACIJ, en su escrito de </w:t>
      </w:r>
      <w:r w:rsidRPr="00BC57A2">
        <w:rPr>
          <w:rFonts w:ascii="Verdana" w:hAnsi="Verdana" w:cs="CIDFont+F2"/>
          <w:i/>
          <w:sz w:val="16"/>
          <w:szCs w:val="16"/>
          <w:lang w:val="es-CR"/>
        </w:rPr>
        <w:t>amicus curiae</w:t>
      </w:r>
      <w:r w:rsidRPr="00BC57A2">
        <w:rPr>
          <w:rFonts w:ascii="Verdana" w:hAnsi="Verdana" w:cs="CIDFont+F2"/>
          <w:sz w:val="16"/>
          <w:szCs w:val="16"/>
          <w:lang w:val="es-CR"/>
        </w:rPr>
        <w:t xml:space="preserve">, expresó que “[e]l derecho a la alimentación puede realizarse cuando existe un proceso social en el que las personas, mujeres y hombres por igual, tienen opciones a su disposición para decidir cómo relacionarse con la naturaleza, transformar recursos en alimentos, en especial de producción local, de acuerdo con principios agroecológicos y que constituyan una dieta diversificada que sea adecuada, segura y nutritiva. Esta idea es necesaria para que todas las personas logren el bienestar alimenticio, sustenten la identidad cultural y sean capaces de llevar una vida saludable, activa y social. También se aplica particularmente a los grupos vulnerables, como los pueblos indígenas”. Notó que la FAO considera que “el derecho a la alimentación de los pueblos indígenas es inseparable de su derecho a la tierra, los territorios y los recursos, la cultura y la autodeterminación”. </w:t>
      </w:r>
    </w:p>
    <w:p w14:paraId="1F3ADBE2" w14:textId="77777777" w:rsidR="0023585A" w:rsidRPr="00BC57A2" w:rsidRDefault="0023585A" w:rsidP="007C7E7C">
      <w:pPr>
        <w:autoSpaceDE w:val="0"/>
        <w:autoSpaceDN w:val="0"/>
        <w:adjustRightInd w:val="0"/>
        <w:spacing w:after="0" w:line="240" w:lineRule="auto"/>
        <w:jc w:val="both"/>
        <w:rPr>
          <w:rFonts w:ascii="Verdana" w:hAnsi="Verdana"/>
          <w:sz w:val="16"/>
          <w:szCs w:val="16"/>
          <w:lang w:val="es-CR"/>
        </w:rPr>
      </w:pPr>
    </w:p>
  </w:footnote>
  <w:footnote w:id="249">
    <w:p w14:paraId="30123FC0" w14:textId="77777777" w:rsidR="0023585A" w:rsidRPr="00BC57A2" w:rsidRDefault="0023585A" w:rsidP="007C7E7C">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 xml:space="preserve">De forma adicional, la Corte nota que otros instrumentos internacionales se han referido al vínculo entre el ambiente y pueblos indígenas. Así, es posible mencionar el Convenio sobre Diversidad Biológica (aprobado por Argentina por la ley 24.375, promulgada el 3 de octubre de 1994), que impone en su artículo 8.j. respetar, preservar y mantener conocimientos, innovaciones y prácticas de comunidades indígenas que sean pertinentes para la conservación y utilización sostenible de la diversidad biológica. También puede mencionarse la Agenda 21, firmada en la Conferencia de Naciones Unidas sobre el Medio Ambiente y el Desarrollo en 1992, cuyo capítulo 26 destaca el papel de los pueblos indígenas en la definición del desarrollo sostenible. </w:t>
      </w:r>
    </w:p>
    <w:p w14:paraId="472469A3" w14:textId="77777777" w:rsidR="0023585A" w:rsidRPr="00BC57A2" w:rsidRDefault="0023585A" w:rsidP="007C7E7C">
      <w:pPr>
        <w:pStyle w:val="Textonotapie"/>
        <w:rPr>
          <w:sz w:val="16"/>
          <w:szCs w:val="16"/>
          <w:lang w:val="es-CR"/>
        </w:rPr>
      </w:pPr>
    </w:p>
  </w:footnote>
  <w:footnote w:id="250">
    <w:p w14:paraId="5AF57797" w14:textId="77777777" w:rsidR="0023585A" w:rsidRPr="00BC57A2" w:rsidRDefault="0023585A" w:rsidP="007C7E7C">
      <w:pPr>
        <w:pStyle w:val="Textonotapie"/>
        <w:rPr>
          <w:sz w:val="16"/>
          <w:szCs w:val="16"/>
          <w:lang w:val="es-ES"/>
        </w:rPr>
      </w:pPr>
      <w:r w:rsidRPr="00BC57A2">
        <w:rPr>
          <w:rStyle w:val="Refdenotaalpie"/>
          <w:sz w:val="16"/>
          <w:szCs w:val="16"/>
        </w:rPr>
        <w:footnoteRef/>
      </w:r>
      <w:r w:rsidRPr="00BC57A2">
        <w:rPr>
          <w:sz w:val="16"/>
          <w:szCs w:val="16"/>
          <w:lang w:val="es-CR"/>
        </w:rPr>
        <w:t xml:space="preserve"> </w:t>
      </w:r>
      <w:r w:rsidRPr="00BC57A2">
        <w:rPr>
          <w:sz w:val="16"/>
          <w:szCs w:val="16"/>
          <w:lang w:val="es-CR"/>
        </w:rPr>
        <w:tab/>
        <w:t xml:space="preserve">Comité DESC. </w:t>
      </w:r>
      <w:r w:rsidRPr="00BC57A2">
        <w:rPr>
          <w:i/>
          <w:sz w:val="16"/>
          <w:szCs w:val="16"/>
          <w:lang w:val="es-CR"/>
        </w:rPr>
        <w:t xml:space="preserve">Observación General 21. </w:t>
      </w:r>
      <w:r w:rsidRPr="00BC57A2">
        <w:rPr>
          <w:bCs/>
          <w:i/>
          <w:sz w:val="16"/>
          <w:szCs w:val="16"/>
          <w:lang w:val="es-CR"/>
        </w:rPr>
        <w:t>Derecho de toda persona a participar en la vida cultural (artículo 15, párrafo 1 a), del Pacto Internacional de Derechos Económicos, Sociales y Culturales)</w:t>
      </w:r>
      <w:r w:rsidRPr="00BC57A2">
        <w:rPr>
          <w:sz w:val="16"/>
          <w:szCs w:val="16"/>
          <w:lang w:val="es-CR"/>
        </w:rPr>
        <w:t>,</w:t>
      </w:r>
      <w:r w:rsidRPr="00BC57A2">
        <w:rPr>
          <w:sz w:val="16"/>
          <w:szCs w:val="16"/>
          <w:lang w:val="es-ES"/>
        </w:rPr>
        <w:t xml:space="preserve"> </w:t>
      </w:r>
      <w:r w:rsidRPr="00BC57A2">
        <w:rPr>
          <w:sz w:val="16"/>
          <w:szCs w:val="16"/>
          <w:lang w:val="es-CR"/>
        </w:rPr>
        <w:t xml:space="preserve">párr. </w:t>
      </w:r>
      <w:r w:rsidRPr="00BC57A2">
        <w:rPr>
          <w:sz w:val="16"/>
          <w:szCs w:val="16"/>
          <w:lang w:val="es-ES"/>
        </w:rPr>
        <w:t>36.</w:t>
      </w:r>
    </w:p>
    <w:p w14:paraId="15F9D2D8" w14:textId="77777777" w:rsidR="0023585A" w:rsidRPr="00BC57A2" w:rsidRDefault="0023585A" w:rsidP="007C7E7C">
      <w:pPr>
        <w:pStyle w:val="Textonotapie"/>
        <w:rPr>
          <w:sz w:val="16"/>
          <w:szCs w:val="16"/>
          <w:lang w:val="es-ES"/>
        </w:rPr>
      </w:pPr>
    </w:p>
  </w:footnote>
  <w:footnote w:id="251">
    <w:p w14:paraId="2C1A6D08" w14:textId="77777777" w:rsidR="0023585A" w:rsidRPr="00BC57A2" w:rsidRDefault="0023585A" w:rsidP="007C7E7C">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bCs/>
          <w:i/>
          <w:sz w:val="16"/>
          <w:szCs w:val="16"/>
          <w:lang w:val="es-CR"/>
        </w:rPr>
        <w:t>Caso Pueblos Kaliña y Lokono Vs. Surinam</w:t>
      </w:r>
      <w:r w:rsidRPr="00BC57A2">
        <w:rPr>
          <w:sz w:val="16"/>
          <w:szCs w:val="16"/>
          <w:lang w:val="es-CR"/>
        </w:rPr>
        <w:t>, párr. 173.</w:t>
      </w:r>
    </w:p>
    <w:p w14:paraId="0CD5871A" w14:textId="77777777" w:rsidR="0023585A" w:rsidRPr="00BC57A2" w:rsidRDefault="0023585A" w:rsidP="007C7E7C">
      <w:pPr>
        <w:pStyle w:val="Textonotapie"/>
        <w:rPr>
          <w:sz w:val="16"/>
          <w:szCs w:val="16"/>
          <w:lang w:val="es-CR"/>
        </w:rPr>
      </w:pPr>
    </w:p>
  </w:footnote>
  <w:footnote w:id="252">
    <w:p w14:paraId="76ACB6F3" w14:textId="753167D0" w:rsidR="0023585A" w:rsidRPr="00BC57A2" w:rsidRDefault="0023585A" w:rsidP="007C7E7C">
      <w:pPr>
        <w:spacing w:after="0" w:line="240" w:lineRule="auto"/>
        <w:jc w:val="both"/>
        <w:rPr>
          <w:rFonts w:ascii="Verdana" w:hAnsi="Verdana"/>
          <w:sz w:val="16"/>
          <w:szCs w:val="16"/>
        </w:rPr>
      </w:pPr>
      <w:r w:rsidRPr="00BC57A2">
        <w:rPr>
          <w:rStyle w:val="Refdenotaalpie"/>
          <w:rFonts w:ascii="Verdana" w:hAnsi="Verdana"/>
          <w:sz w:val="16"/>
          <w:szCs w:val="16"/>
        </w:rPr>
        <w:footnoteRef/>
      </w:r>
      <w:r w:rsidRPr="00BC57A2">
        <w:rPr>
          <w:rFonts w:ascii="Verdana" w:hAnsi="Verdana"/>
          <w:sz w:val="16"/>
          <w:szCs w:val="16"/>
        </w:rPr>
        <w:t xml:space="preserve"> </w:t>
      </w:r>
      <w:r w:rsidRPr="00BC57A2">
        <w:rPr>
          <w:rFonts w:ascii="Verdana" w:hAnsi="Verdana"/>
          <w:sz w:val="16"/>
          <w:szCs w:val="16"/>
        </w:rPr>
        <w:tab/>
        <w:t xml:space="preserve">En esta línea, el artículo 10. c) del Convenio sobre la Diversidad Biológica señala </w:t>
      </w:r>
      <w:r>
        <w:rPr>
          <w:rFonts w:ascii="Verdana" w:hAnsi="Verdana"/>
          <w:sz w:val="16"/>
          <w:szCs w:val="16"/>
        </w:rPr>
        <w:t xml:space="preserve">que </w:t>
      </w:r>
      <w:r w:rsidRPr="00BC57A2">
        <w:rPr>
          <w:rFonts w:ascii="Verdana" w:hAnsi="Verdana"/>
          <w:sz w:val="16"/>
          <w:szCs w:val="16"/>
        </w:rPr>
        <w:t xml:space="preserve">se “[p]rotegerá y alentará la utilización consuetudinaria de los recursos biológicos, de conformidad con las prácticas culturales tradicionales que sean compatibles con las exigencias de la conservación o de la utilización sostenible”. En el mismo sentido, FARN, en su escrito de </w:t>
      </w:r>
      <w:r w:rsidRPr="00BC57A2">
        <w:rPr>
          <w:rFonts w:ascii="Verdana" w:hAnsi="Verdana"/>
          <w:i/>
          <w:sz w:val="16"/>
          <w:szCs w:val="16"/>
        </w:rPr>
        <w:t xml:space="preserve">amicus curiae </w:t>
      </w:r>
      <w:r w:rsidRPr="00BC57A2">
        <w:rPr>
          <w:rFonts w:ascii="Verdana" w:hAnsi="Verdana"/>
          <w:sz w:val="16"/>
          <w:szCs w:val="16"/>
        </w:rPr>
        <w:t>destacó “[e]l rol que cumplen los [p]ueblos [i]ndígenas en las estrategias integrales de mitigación y adaptación al cambio climático es su cosmovisión, su forma de vida, la cual contribuye al sistema de subsistencia sostenible y a la conservación de la biodiversidad, conformando una herramienta necesaria para refrenar los efectos catastróficos del cambio climático”. Resaltó al respecto el “rol activo de las mujeres indígenas, cuyo conocimiento ecológico tradicional y especializado debe ser considerado una de las soluciones más adecuadas al cambio climático”.</w:t>
      </w:r>
    </w:p>
    <w:p w14:paraId="5AF3858E" w14:textId="77777777" w:rsidR="0023585A" w:rsidRPr="00BC57A2" w:rsidRDefault="0023585A" w:rsidP="007C7E7C">
      <w:pPr>
        <w:spacing w:after="0" w:line="240" w:lineRule="auto"/>
        <w:jc w:val="both"/>
        <w:rPr>
          <w:rFonts w:ascii="Verdana" w:hAnsi="Verdana" w:cs="Tahoma"/>
          <w:sz w:val="16"/>
          <w:szCs w:val="16"/>
        </w:rPr>
      </w:pPr>
    </w:p>
  </w:footnote>
  <w:footnote w:id="253">
    <w:p w14:paraId="4B578D66" w14:textId="77777777" w:rsidR="0023585A" w:rsidRPr="00BC57A2" w:rsidRDefault="0023585A" w:rsidP="007C7E7C">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 xml:space="preserve">Comité de Derechos Humanos. </w:t>
      </w:r>
      <w:r w:rsidRPr="00BC57A2">
        <w:rPr>
          <w:i/>
          <w:sz w:val="16"/>
          <w:szCs w:val="16"/>
          <w:lang w:val="es-CR"/>
        </w:rPr>
        <w:t xml:space="preserve">Observación General 23. </w:t>
      </w:r>
      <w:r w:rsidRPr="00BC57A2">
        <w:rPr>
          <w:bCs/>
          <w:i/>
          <w:sz w:val="16"/>
          <w:szCs w:val="16"/>
          <w:lang w:val="es-CR"/>
        </w:rPr>
        <w:t xml:space="preserve">Derecho de las minorías (artículo 27), </w:t>
      </w:r>
      <w:r w:rsidRPr="00BC57A2">
        <w:rPr>
          <w:sz w:val="16"/>
          <w:szCs w:val="16"/>
          <w:lang w:val="es-CR"/>
        </w:rPr>
        <w:t>párr. 3.</w:t>
      </w:r>
    </w:p>
    <w:p w14:paraId="78D862B6" w14:textId="77777777" w:rsidR="0023585A" w:rsidRPr="00BC57A2" w:rsidRDefault="0023585A" w:rsidP="007C7E7C">
      <w:pPr>
        <w:pStyle w:val="Textonotapie"/>
        <w:rPr>
          <w:sz w:val="16"/>
          <w:szCs w:val="16"/>
          <w:lang w:val="es-CR"/>
        </w:rPr>
      </w:pPr>
    </w:p>
  </w:footnote>
  <w:footnote w:id="254">
    <w:p w14:paraId="204FC619" w14:textId="77777777" w:rsidR="0023585A" w:rsidRPr="00BC57A2" w:rsidRDefault="0023585A" w:rsidP="007C7E7C">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 xml:space="preserve">Comité de Derechos Humanos. </w:t>
      </w:r>
      <w:r w:rsidRPr="00BC57A2">
        <w:rPr>
          <w:i/>
          <w:sz w:val="16"/>
          <w:szCs w:val="16"/>
          <w:lang w:val="es-CR"/>
        </w:rPr>
        <w:t xml:space="preserve">Observación General 23. </w:t>
      </w:r>
      <w:r w:rsidRPr="00BC57A2">
        <w:rPr>
          <w:bCs/>
          <w:i/>
          <w:sz w:val="16"/>
          <w:szCs w:val="16"/>
          <w:lang w:val="es-CR"/>
        </w:rPr>
        <w:t xml:space="preserve">Derecho de las minorías (artículo 27), </w:t>
      </w:r>
      <w:r w:rsidRPr="00BC57A2">
        <w:rPr>
          <w:sz w:val="16"/>
          <w:szCs w:val="16"/>
          <w:lang w:val="es-CR"/>
        </w:rPr>
        <w:t>párr. 7.</w:t>
      </w:r>
    </w:p>
    <w:p w14:paraId="2F6F68CD" w14:textId="77777777" w:rsidR="0023585A" w:rsidRPr="00BC57A2" w:rsidRDefault="0023585A" w:rsidP="007C7E7C">
      <w:pPr>
        <w:pStyle w:val="Textonotapie"/>
        <w:rPr>
          <w:sz w:val="16"/>
          <w:szCs w:val="16"/>
          <w:lang w:val="es-CR"/>
        </w:rPr>
      </w:pPr>
    </w:p>
  </w:footnote>
  <w:footnote w:id="255">
    <w:p w14:paraId="60145165" w14:textId="77777777" w:rsidR="0023585A" w:rsidRPr="00BC57A2" w:rsidRDefault="0023585A" w:rsidP="007C7E7C">
      <w:pPr>
        <w:pStyle w:val="Textonotapie"/>
        <w:rPr>
          <w:sz w:val="16"/>
          <w:szCs w:val="16"/>
          <w:lang w:val="es-UY"/>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sz w:val="16"/>
          <w:szCs w:val="16"/>
          <w:lang w:val="es-UY"/>
        </w:rPr>
        <w:t xml:space="preserve">Grupo sobre el PSS. </w:t>
      </w:r>
      <w:r w:rsidRPr="00BC57A2">
        <w:rPr>
          <w:i/>
          <w:sz w:val="16"/>
          <w:szCs w:val="16"/>
          <w:lang w:val="es-UY"/>
        </w:rPr>
        <w:t>Indicadores de progreso para la medición de derechos contemplados en el Protocolo de San Salvador. Segundo agrupamiento de Derechos</w:t>
      </w:r>
      <w:r w:rsidRPr="00BC57A2">
        <w:rPr>
          <w:sz w:val="16"/>
          <w:szCs w:val="16"/>
          <w:lang w:val="es-UY"/>
        </w:rPr>
        <w:t xml:space="preserve">, párr. 36. </w:t>
      </w:r>
    </w:p>
    <w:p w14:paraId="06837021" w14:textId="77777777" w:rsidR="0023585A" w:rsidRPr="00BC57A2" w:rsidRDefault="0023585A" w:rsidP="007C7E7C">
      <w:pPr>
        <w:pStyle w:val="Textonotapie"/>
        <w:rPr>
          <w:sz w:val="16"/>
          <w:szCs w:val="16"/>
          <w:lang w:val="es-CR"/>
        </w:rPr>
      </w:pPr>
    </w:p>
  </w:footnote>
  <w:footnote w:id="256">
    <w:p w14:paraId="7B714CB2" w14:textId="77777777" w:rsidR="0023585A" w:rsidRPr="00BC57A2" w:rsidRDefault="0023585A" w:rsidP="007C7E7C">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Caso Comunidad Indígena Xákmok Kásek Vs. Paraguay</w:t>
      </w:r>
      <w:r w:rsidRPr="00BC57A2">
        <w:rPr>
          <w:sz w:val="16"/>
          <w:szCs w:val="16"/>
          <w:lang w:val="es-CR"/>
        </w:rPr>
        <w:t>, párr 282.</w:t>
      </w:r>
    </w:p>
    <w:p w14:paraId="44983709" w14:textId="77777777" w:rsidR="0023585A" w:rsidRPr="00BC57A2" w:rsidRDefault="0023585A" w:rsidP="007C7E7C">
      <w:pPr>
        <w:pStyle w:val="Textonotapie"/>
        <w:rPr>
          <w:sz w:val="16"/>
          <w:szCs w:val="16"/>
          <w:lang w:val="es-CR"/>
        </w:rPr>
      </w:pPr>
    </w:p>
  </w:footnote>
  <w:footnote w:id="257">
    <w:p w14:paraId="1E841D2D" w14:textId="77777777" w:rsidR="0023585A" w:rsidRPr="00BC57A2" w:rsidRDefault="0023585A" w:rsidP="007C7E7C">
      <w:pPr>
        <w:pStyle w:val="Textonotapie"/>
        <w:rPr>
          <w:sz w:val="16"/>
          <w:szCs w:val="16"/>
          <w:lang w:val="es-ES_tradnl"/>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sz w:val="16"/>
          <w:szCs w:val="16"/>
          <w:lang w:val="es-ES_tradnl"/>
        </w:rPr>
        <w:t xml:space="preserve">Relator especial de las Naciones Unidas sobre el derecho a la alimentación. </w:t>
      </w:r>
      <w:r w:rsidRPr="00BC57A2">
        <w:rPr>
          <w:i/>
          <w:sz w:val="16"/>
          <w:szCs w:val="16"/>
          <w:lang w:val="es-ES_tradnl"/>
        </w:rPr>
        <w:t>El derecho a la alimentación</w:t>
      </w:r>
      <w:r w:rsidRPr="00BC57A2">
        <w:rPr>
          <w:sz w:val="16"/>
          <w:szCs w:val="16"/>
          <w:lang w:val="es-ES_tradnl"/>
        </w:rPr>
        <w:t>. 12 de septiembre de 2005. Doc. A/60/350, párr. 23.</w:t>
      </w:r>
    </w:p>
    <w:p w14:paraId="4D601712" w14:textId="77777777" w:rsidR="0023585A" w:rsidRPr="00BC57A2" w:rsidRDefault="0023585A" w:rsidP="007C7E7C">
      <w:pPr>
        <w:pStyle w:val="Textonotapie"/>
        <w:rPr>
          <w:sz w:val="16"/>
          <w:szCs w:val="16"/>
          <w:lang w:val="es-CR"/>
        </w:rPr>
      </w:pPr>
    </w:p>
  </w:footnote>
  <w:footnote w:id="258">
    <w:p w14:paraId="7A61F191" w14:textId="77777777" w:rsidR="0023585A" w:rsidRPr="00BC57A2" w:rsidRDefault="0023585A" w:rsidP="007C7E7C">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 xml:space="preserve">Derechos humanos y cuestiones indígenas Informe del Relator Especial sobre la situación de los derechos humanos y las libertades fundamentales de los indígenas, Sr. Rodolfo Stavenhagen, presentado de conformidad con la resolución 2001/57 de la Comisión. </w:t>
      </w:r>
      <w:r w:rsidRPr="00BC57A2">
        <w:rPr>
          <w:sz w:val="16"/>
          <w:szCs w:val="16"/>
          <w:lang w:val="es-CR"/>
        </w:rPr>
        <w:t>4 de febrero de 2002. Doc. E/CN.4/2002/97, párr. 57.</w:t>
      </w:r>
    </w:p>
    <w:p w14:paraId="1A7D3453" w14:textId="77777777" w:rsidR="0023585A" w:rsidRPr="00BC57A2" w:rsidRDefault="0023585A" w:rsidP="007C7E7C">
      <w:pPr>
        <w:pStyle w:val="Textonotapie"/>
        <w:rPr>
          <w:sz w:val="16"/>
          <w:szCs w:val="16"/>
          <w:lang w:val="es-CR"/>
        </w:rPr>
      </w:pPr>
    </w:p>
  </w:footnote>
  <w:footnote w:id="259">
    <w:p w14:paraId="504D1650" w14:textId="17513650" w:rsidR="0023585A" w:rsidRPr="00BC57A2" w:rsidRDefault="0023585A" w:rsidP="007C7E7C">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 xml:space="preserve">FAO. </w:t>
      </w:r>
      <w:r w:rsidRPr="00BC57A2">
        <w:rPr>
          <w:i/>
          <w:sz w:val="16"/>
          <w:szCs w:val="16"/>
          <w:lang w:val="es-CR"/>
        </w:rPr>
        <w:t>Directrices voluntarias en apoyo de la realización progresiva del derecho a una alimentación adecuada en el contexto de la seguridad alimentaria nacional.</w:t>
      </w:r>
      <w:r w:rsidRPr="00BC57A2">
        <w:rPr>
          <w:sz w:val="16"/>
          <w:szCs w:val="16"/>
          <w:lang w:val="es-CR"/>
        </w:rPr>
        <w:t xml:space="preserve"> Aprobadas por el Consejo de la FAO en su 127º período de sesiones, noviembre de 2004.</w:t>
      </w:r>
      <w:r>
        <w:rPr>
          <w:sz w:val="16"/>
          <w:szCs w:val="16"/>
          <w:lang w:val="es-CR"/>
        </w:rPr>
        <w:t xml:space="preserve"> </w:t>
      </w:r>
      <w:r w:rsidRPr="00BC57A2">
        <w:rPr>
          <w:sz w:val="16"/>
          <w:szCs w:val="16"/>
          <w:lang w:val="es-CR"/>
        </w:rPr>
        <w:t>Directriz 8B. Tierra.</w:t>
      </w:r>
    </w:p>
    <w:p w14:paraId="385DE3D0" w14:textId="77777777" w:rsidR="0023585A" w:rsidRPr="00BC57A2" w:rsidRDefault="0023585A" w:rsidP="007C7E7C">
      <w:pPr>
        <w:pStyle w:val="Textonotapie"/>
        <w:rPr>
          <w:sz w:val="16"/>
          <w:szCs w:val="16"/>
          <w:lang w:val="es-CR"/>
        </w:rPr>
      </w:pPr>
    </w:p>
  </w:footnote>
  <w:footnote w:id="260">
    <w:p w14:paraId="04F979DC" w14:textId="77777777" w:rsidR="0023585A" w:rsidRPr="00BC57A2" w:rsidRDefault="0023585A" w:rsidP="007C7E7C">
      <w:pPr>
        <w:pStyle w:val="Prrafodelista"/>
        <w:autoSpaceDE w:val="0"/>
        <w:autoSpaceDN w:val="0"/>
        <w:adjustRightInd w:val="0"/>
        <w:spacing w:after="0" w:line="240" w:lineRule="auto"/>
        <w:ind w:left="0"/>
        <w:jc w:val="both"/>
        <w:rPr>
          <w:rFonts w:ascii="Verdana" w:hAnsi="Verdana"/>
          <w:sz w:val="16"/>
          <w:szCs w:val="16"/>
        </w:rPr>
      </w:pPr>
      <w:r w:rsidRPr="00BC57A2">
        <w:rPr>
          <w:rStyle w:val="Refdenotaalpie"/>
          <w:rFonts w:ascii="Verdana" w:hAnsi="Verdana"/>
          <w:sz w:val="16"/>
          <w:szCs w:val="16"/>
        </w:rPr>
        <w:footnoteRef/>
      </w:r>
      <w:r w:rsidRPr="00BC57A2">
        <w:rPr>
          <w:rFonts w:ascii="Verdana" w:hAnsi="Verdana"/>
          <w:sz w:val="16"/>
          <w:szCs w:val="16"/>
        </w:rPr>
        <w:t xml:space="preserve"> </w:t>
      </w:r>
      <w:r w:rsidRPr="00BC57A2">
        <w:rPr>
          <w:rFonts w:ascii="Verdana" w:hAnsi="Verdana"/>
          <w:sz w:val="16"/>
          <w:szCs w:val="16"/>
        </w:rPr>
        <w:tab/>
      </w:r>
      <w:r w:rsidRPr="00BC57A2">
        <w:rPr>
          <w:rFonts w:ascii="Verdana" w:hAnsi="Verdana"/>
          <w:sz w:val="16"/>
          <w:szCs w:val="16"/>
          <w:lang w:val="es-CR"/>
        </w:rPr>
        <w:t xml:space="preserve">Comité DESC. </w:t>
      </w:r>
      <w:r w:rsidRPr="00BC57A2">
        <w:rPr>
          <w:rFonts w:ascii="Verdana" w:hAnsi="Verdana"/>
          <w:i/>
          <w:sz w:val="16"/>
          <w:szCs w:val="16"/>
          <w:lang w:val="es-CR"/>
        </w:rPr>
        <w:t>Observación General 12. El derecho a una alimentación adecuada (artículo 11)</w:t>
      </w:r>
      <w:r w:rsidRPr="00BC57A2">
        <w:rPr>
          <w:rFonts w:ascii="Verdana" w:hAnsi="Verdana"/>
          <w:sz w:val="16"/>
          <w:szCs w:val="16"/>
          <w:lang w:val="es-CR"/>
        </w:rPr>
        <w:t xml:space="preserve">, </w:t>
      </w:r>
      <w:r w:rsidRPr="00BC57A2">
        <w:rPr>
          <w:rFonts w:ascii="Verdana" w:hAnsi="Verdana"/>
          <w:sz w:val="16"/>
          <w:szCs w:val="16"/>
        </w:rPr>
        <w:t xml:space="preserve">párr. 13. </w:t>
      </w:r>
    </w:p>
    <w:p w14:paraId="71C4917C" w14:textId="77777777" w:rsidR="0023585A" w:rsidRPr="00BC57A2" w:rsidRDefault="0023585A" w:rsidP="007C7E7C">
      <w:pPr>
        <w:pStyle w:val="Prrafodelista"/>
        <w:autoSpaceDE w:val="0"/>
        <w:autoSpaceDN w:val="0"/>
        <w:adjustRightInd w:val="0"/>
        <w:spacing w:after="0" w:line="240" w:lineRule="auto"/>
        <w:ind w:left="0"/>
        <w:jc w:val="both"/>
        <w:rPr>
          <w:rFonts w:ascii="Verdana" w:hAnsi="Verdana"/>
          <w:sz w:val="16"/>
          <w:szCs w:val="16"/>
        </w:rPr>
      </w:pPr>
    </w:p>
  </w:footnote>
  <w:footnote w:id="261">
    <w:p w14:paraId="1D0E3477" w14:textId="03688190" w:rsidR="0023585A" w:rsidRPr="00BC57A2" w:rsidRDefault="0023585A" w:rsidP="007C7E7C">
      <w:pPr>
        <w:pStyle w:val="Prrafodelista"/>
        <w:spacing w:after="0" w:line="240" w:lineRule="auto"/>
        <w:ind w:left="0"/>
        <w:jc w:val="both"/>
        <w:rPr>
          <w:rFonts w:ascii="Verdana" w:hAnsi="Verdana" w:cs="Cambria"/>
          <w:sz w:val="16"/>
          <w:szCs w:val="16"/>
          <w:lang w:val="es-CR"/>
        </w:rPr>
      </w:pPr>
      <w:r w:rsidRPr="00BC57A2">
        <w:rPr>
          <w:rStyle w:val="Refdenotaalpie"/>
          <w:rFonts w:ascii="Verdana" w:hAnsi="Verdana"/>
          <w:sz w:val="16"/>
          <w:szCs w:val="16"/>
        </w:rPr>
        <w:footnoteRef/>
      </w:r>
      <w:r w:rsidRPr="00BC57A2">
        <w:rPr>
          <w:rFonts w:ascii="Verdana" w:hAnsi="Verdana"/>
          <w:sz w:val="16"/>
          <w:szCs w:val="16"/>
        </w:rPr>
        <w:t xml:space="preserve"> </w:t>
      </w:r>
      <w:r w:rsidRPr="00BC57A2">
        <w:rPr>
          <w:rFonts w:ascii="Verdana" w:hAnsi="Verdana"/>
          <w:sz w:val="16"/>
          <w:szCs w:val="16"/>
        </w:rPr>
        <w:tab/>
        <w:t xml:space="preserve">Relator especial de las Naciones Unidas sobre el derecho a la alimentación. </w:t>
      </w:r>
      <w:r w:rsidRPr="00BC57A2">
        <w:rPr>
          <w:rFonts w:ascii="Verdana" w:hAnsi="Verdana"/>
          <w:i/>
          <w:sz w:val="16"/>
          <w:szCs w:val="16"/>
        </w:rPr>
        <w:t>El derecho a la alimentación</w:t>
      </w:r>
      <w:r w:rsidRPr="00BC57A2">
        <w:rPr>
          <w:rFonts w:ascii="Verdana" w:hAnsi="Verdana"/>
          <w:sz w:val="16"/>
          <w:szCs w:val="16"/>
        </w:rPr>
        <w:t>, párr. 21. Además, en el párrafo 19 del documento indicado, el Relator manifestó que “</w:t>
      </w:r>
      <w:r w:rsidRPr="00BC57A2">
        <w:rPr>
          <w:rFonts w:ascii="Verdana" w:hAnsi="Verdana" w:cs="TimesNewRoman"/>
          <w:sz w:val="16"/>
          <w:szCs w:val="16"/>
        </w:rPr>
        <w:t>debido a los prolongados procesos históricos de colonización, explotación y exclusión política y económica, los pueblos indígenas están entre los grupos más vulnerables a la pobreza, el hambre y la malnutrición. El derecho a la alimentación está directamente vinculado a la situación de extrema pobreza en la que viven muchos pueblos indígenas”.</w:t>
      </w:r>
      <w:r w:rsidRPr="00BC57A2">
        <w:rPr>
          <w:rFonts w:ascii="Verdana" w:hAnsi="Verdana"/>
          <w:sz w:val="16"/>
          <w:szCs w:val="16"/>
        </w:rPr>
        <w:t xml:space="preserve"> En el párrafo anterior agregó que “[L]</w:t>
      </w:r>
      <w:r w:rsidRPr="00BC57A2">
        <w:rPr>
          <w:rFonts w:ascii="Verdana" w:hAnsi="Verdana" w:cs="TimesNewRoman"/>
          <w:sz w:val="16"/>
          <w:szCs w:val="16"/>
        </w:rPr>
        <w:t xml:space="preserve">las actividades de desarrollo inadecuadas a menudo intensifican la marginación, la pobreza y la inseguridad alimentaria de los pueblos indígenas; no reconocen los métodos que usan los indígenas para asegurar su propia subsistencia, y hacen caso omiso del derecho de éstos a definir su propia forma de alcanzar el desarrollo”. </w:t>
      </w:r>
      <w:r w:rsidRPr="00BC57A2">
        <w:rPr>
          <w:rFonts w:ascii="Verdana" w:hAnsi="Verdana"/>
          <w:sz w:val="16"/>
          <w:szCs w:val="16"/>
        </w:rPr>
        <w:t xml:space="preserve">En forma concordante con lo expuesto, el señor De Shutter, ex Relator Especial de las Naciones Unidas sobre el Derecho a la Alimentación, en su presentación como </w:t>
      </w:r>
      <w:r w:rsidRPr="00BC57A2">
        <w:rPr>
          <w:rFonts w:ascii="Verdana" w:hAnsi="Verdana"/>
          <w:i/>
          <w:sz w:val="16"/>
          <w:szCs w:val="16"/>
        </w:rPr>
        <w:t>amicus curiae</w:t>
      </w:r>
      <w:r w:rsidRPr="00BC57A2">
        <w:rPr>
          <w:rFonts w:ascii="Verdana" w:hAnsi="Verdana"/>
          <w:sz w:val="16"/>
          <w:szCs w:val="16"/>
        </w:rPr>
        <w:t xml:space="preserve">, explicó que “la cultura se manifiesta en muchas formas, incluida una forma particular de vida asociada con el uso de los recursos de la tierra, especialmente en el caso de los pueblos indígenas”, y que respecto a estos “el derecho a la alimentación no puede verse aislado del control y soberanía sobre sus territorios”. En el mismo sentido, el escrito de </w:t>
      </w:r>
      <w:r w:rsidRPr="00BC57A2">
        <w:rPr>
          <w:rFonts w:ascii="Verdana" w:hAnsi="Verdana"/>
          <w:i/>
          <w:sz w:val="16"/>
          <w:szCs w:val="16"/>
        </w:rPr>
        <w:t xml:space="preserve">amicus curiae </w:t>
      </w:r>
      <w:r w:rsidRPr="00BC57A2">
        <w:rPr>
          <w:rFonts w:ascii="Verdana" w:hAnsi="Verdana"/>
          <w:sz w:val="16"/>
          <w:szCs w:val="16"/>
        </w:rPr>
        <w:t xml:space="preserve">presentado por DPLF y otras organizaciones señala que </w:t>
      </w:r>
      <w:r w:rsidRPr="00BC57A2">
        <w:rPr>
          <w:rFonts w:ascii="Verdana" w:hAnsi="Verdana" w:cs="Cambria"/>
          <w:sz w:val="16"/>
          <w:szCs w:val="16"/>
          <w:lang w:val="es-CR"/>
        </w:rPr>
        <w:t xml:space="preserve">al impedir que una comunidad indígena procure su sustento alimenticio conforme a su propia cultura se estaría vulnerando también el derecho a una alimentación adecuada, por la ausencia de aceptabilidad de alimentos. </w:t>
      </w:r>
    </w:p>
    <w:p w14:paraId="44FF7ACB" w14:textId="77777777" w:rsidR="0023585A" w:rsidRPr="00BC57A2" w:rsidRDefault="0023585A" w:rsidP="007C7E7C">
      <w:pPr>
        <w:pStyle w:val="Prrafodelista"/>
        <w:spacing w:after="0" w:line="240" w:lineRule="auto"/>
        <w:ind w:left="0"/>
        <w:jc w:val="both"/>
        <w:rPr>
          <w:rFonts w:ascii="Verdana" w:hAnsi="Verdana"/>
          <w:sz w:val="16"/>
          <w:szCs w:val="16"/>
        </w:rPr>
      </w:pPr>
    </w:p>
  </w:footnote>
  <w:footnote w:id="262">
    <w:p w14:paraId="1816951E" w14:textId="33B6DE3F" w:rsidR="0023585A" w:rsidRPr="00BC57A2" w:rsidRDefault="0023585A" w:rsidP="0056309D">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Cfr.</w:t>
      </w:r>
      <w:r w:rsidRPr="00BC57A2">
        <w:rPr>
          <w:sz w:val="16"/>
          <w:szCs w:val="16"/>
          <w:lang w:val="es-CR"/>
        </w:rPr>
        <w:t xml:space="preserve"> “Etnobotánica wichí del bosque xerófito en el Chaco semiárido Salteño”, </w:t>
      </w:r>
      <w:r>
        <w:rPr>
          <w:sz w:val="16"/>
          <w:szCs w:val="16"/>
          <w:lang w:val="es-CR"/>
        </w:rPr>
        <w:t>de Suárez, María Eugencia</w:t>
      </w:r>
      <w:r w:rsidRPr="00BC57A2">
        <w:rPr>
          <w:rFonts w:cs="Arial Narrow"/>
          <w:sz w:val="16"/>
          <w:szCs w:val="16"/>
          <w:lang w:val="es-AR"/>
        </w:rPr>
        <w:t>- 1a ed. - Don Torcu</w:t>
      </w:r>
      <w:r>
        <w:rPr>
          <w:rFonts w:cs="Arial Narrow"/>
          <w:sz w:val="16"/>
          <w:szCs w:val="16"/>
          <w:lang w:val="es-AR"/>
        </w:rPr>
        <w:t>ato: Autores de Argentina, 2014. Expediente de prueba,</w:t>
      </w:r>
      <w:r w:rsidRPr="00BC57A2">
        <w:rPr>
          <w:rFonts w:cs="Arial Narrow"/>
          <w:sz w:val="16"/>
          <w:szCs w:val="16"/>
          <w:lang w:val="es-AR"/>
        </w:rPr>
        <w:t xml:space="preserve"> </w:t>
      </w:r>
      <w:r w:rsidRPr="00BC57A2">
        <w:rPr>
          <w:sz w:val="16"/>
          <w:szCs w:val="16"/>
          <w:lang w:val="es-CR"/>
        </w:rPr>
        <w:t xml:space="preserve">anexo M.1 al escrito de solicitudes y argumentos, f. 34.618 a 35.141. . </w:t>
      </w:r>
    </w:p>
    <w:p w14:paraId="35634B6F" w14:textId="77777777" w:rsidR="0023585A" w:rsidRPr="00BC57A2" w:rsidRDefault="0023585A" w:rsidP="0056309D">
      <w:pPr>
        <w:pStyle w:val="Textonotapie"/>
        <w:rPr>
          <w:sz w:val="16"/>
          <w:szCs w:val="16"/>
          <w:lang w:val="es-CR"/>
        </w:rPr>
      </w:pPr>
    </w:p>
  </w:footnote>
  <w:footnote w:id="263">
    <w:p w14:paraId="3D51A942" w14:textId="02BF62C1" w:rsidR="0023585A" w:rsidRPr="00BC57A2" w:rsidRDefault="0023585A" w:rsidP="0056309D">
      <w:pPr>
        <w:pStyle w:val="Textonotapie"/>
        <w:rPr>
          <w:sz w:val="16"/>
          <w:szCs w:val="16"/>
          <w:lang w:val="es-CR"/>
        </w:rPr>
      </w:pPr>
      <w:r w:rsidRPr="00BC57A2">
        <w:rPr>
          <w:rStyle w:val="Refdenotaalpie"/>
          <w:sz w:val="16"/>
          <w:szCs w:val="16"/>
        </w:rPr>
        <w:footnoteRef/>
      </w:r>
      <w:r w:rsidRPr="00BC57A2">
        <w:rPr>
          <w:sz w:val="16"/>
          <w:szCs w:val="16"/>
          <w:lang w:val="es-CR"/>
        </w:rPr>
        <w:tab/>
      </w:r>
      <w:r w:rsidRPr="00BC57A2">
        <w:rPr>
          <w:i/>
          <w:sz w:val="16"/>
          <w:szCs w:val="16"/>
          <w:lang w:val="es-CR"/>
        </w:rPr>
        <w:t>Cfr.</w:t>
      </w:r>
      <w:r w:rsidRPr="00BC57A2">
        <w:rPr>
          <w:sz w:val="16"/>
          <w:szCs w:val="16"/>
          <w:lang w:val="es-CR"/>
        </w:rPr>
        <w:t xml:space="preserve"> </w:t>
      </w:r>
      <w:r w:rsidRPr="00BC57A2">
        <w:rPr>
          <w:rFonts w:cs="Arial Narrow"/>
          <w:sz w:val="16"/>
          <w:szCs w:val="16"/>
          <w:lang w:val="es-CR"/>
        </w:rPr>
        <w:t xml:space="preserve">Informe Comisión Asesora Honoraria, pág. 182. </w:t>
      </w:r>
      <w:r w:rsidRPr="00BC57A2">
        <w:rPr>
          <w:sz w:val="16"/>
          <w:szCs w:val="16"/>
          <w:lang w:val="es-CR"/>
        </w:rPr>
        <w:t>Expediente de prueba, anexo M.3 al escrito de solicitudes y argumentos, fs. 35</w:t>
      </w:r>
      <w:r>
        <w:rPr>
          <w:sz w:val="16"/>
          <w:szCs w:val="16"/>
          <w:lang w:val="es-CR"/>
        </w:rPr>
        <w:t>.</w:t>
      </w:r>
      <w:r w:rsidRPr="00BC57A2">
        <w:rPr>
          <w:sz w:val="16"/>
          <w:szCs w:val="16"/>
          <w:lang w:val="es-CR"/>
        </w:rPr>
        <w:t>152 al 35</w:t>
      </w:r>
      <w:r>
        <w:rPr>
          <w:sz w:val="16"/>
          <w:szCs w:val="16"/>
          <w:lang w:val="es-CR"/>
        </w:rPr>
        <w:t>.</w:t>
      </w:r>
      <w:r w:rsidRPr="00BC57A2">
        <w:rPr>
          <w:sz w:val="16"/>
          <w:szCs w:val="16"/>
          <w:lang w:val="es-CR"/>
        </w:rPr>
        <w:t>377.</w:t>
      </w:r>
    </w:p>
    <w:p w14:paraId="00D70AD8" w14:textId="77777777" w:rsidR="0023585A" w:rsidRPr="00BC57A2" w:rsidRDefault="0023585A" w:rsidP="0056309D">
      <w:pPr>
        <w:pStyle w:val="Textonotapie"/>
        <w:rPr>
          <w:sz w:val="16"/>
          <w:szCs w:val="16"/>
          <w:lang w:val="es-CR"/>
        </w:rPr>
      </w:pPr>
    </w:p>
  </w:footnote>
  <w:footnote w:id="264">
    <w:p w14:paraId="54C7A6FB" w14:textId="033C3D57" w:rsidR="0023585A" w:rsidRPr="00BC57A2" w:rsidRDefault="0023585A" w:rsidP="0056309D">
      <w:pPr>
        <w:autoSpaceDE w:val="0"/>
        <w:autoSpaceDN w:val="0"/>
        <w:adjustRightInd w:val="0"/>
        <w:spacing w:after="0" w:line="240" w:lineRule="auto"/>
        <w:jc w:val="both"/>
        <w:rPr>
          <w:rFonts w:ascii="Verdana" w:hAnsi="Verdana" w:cs="Cambria"/>
          <w:sz w:val="16"/>
          <w:szCs w:val="16"/>
          <w:lang w:val="es-CR"/>
        </w:rPr>
      </w:pPr>
      <w:r w:rsidRPr="00BC57A2">
        <w:rPr>
          <w:rStyle w:val="Refdenotaalpie"/>
          <w:rFonts w:ascii="Verdana" w:hAnsi="Verdana"/>
          <w:sz w:val="16"/>
          <w:szCs w:val="16"/>
        </w:rPr>
        <w:footnoteRef/>
      </w:r>
      <w:r w:rsidRPr="00BC57A2">
        <w:rPr>
          <w:rFonts w:ascii="Verdana" w:hAnsi="Verdana"/>
          <w:sz w:val="16"/>
          <w:szCs w:val="16"/>
        </w:rPr>
        <w:t xml:space="preserve"> </w:t>
      </w:r>
      <w:r w:rsidRPr="00BC57A2">
        <w:rPr>
          <w:rFonts w:ascii="Verdana" w:hAnsi="Verdana"/>
          <w:sz w:val="16"/>
          <w:szCs w:val="16"/>
        </w:rPr>
        <w:tab/>
      </w:r>
      <w:r w:rsidRPr="00BC57A2">
        <w:rPr>
          <w:rFonts w:ascii="Verdana" w:hAnsi="Verdana"/>
          <w:i/>
          <w:sz w:val="16"/>
          <w:szCs w:val="16"/>
        </w:rPr>
        <w:t>Cfr.</w:t>
      </w:r>
      <w:r w:rsidRPr="00BC57A2">
        <w:rPr>
          <w:rFonts w:ascii="Verdana" w:hAnsi="Verdana"/>
          <w:sz w:val="16"/>
          <w:szCs w:val="16"/>
        </w:rPr>
        <w:t xml:space="preserve"> </w:t>
      </w:r>
      <w:r w:rsidRPr="00BC57A2">
        <w:rPr>
          <w:rFonts w:ascii="Verdana" w:hAnsi="Verdana" w:cs="Arial Narrow"/>
          <w:sz w:val="16"/>
          <w:szCs w:val="16"/>
        </w:rPr>
        <w:t>Informe Comisión Asesora Honoraria</w:t>
      </w:r>
      <w:r w:rsidRPr="00BC57A2">
        <w:rPr>
          <w:rFonts w:ascii="Verdana" w:hAnsi="Verdana"/>
          <w:sz w:val="16"/>
          <w:szCs w:val="16"/>
        </w:rPr>
        <w:t xml:space="preserve">. </w:t>
      </w:r>
      <w:r w:rsidRPr="00BC57A2">
        <w:rPr>
          <w:rFonts w:ascii="Verdana" w:hAnsi="Verdana" w:cs="Arial Narrow"/>
          <w:sz w:val="16"/>
          <w:szCs w:val="16"/>
        </w:rPr>
        <w:t xml:space="preserve">Además, este mismo informe expuso que “producto del pisoteo del ganado se ha producido la compactación del suelo de las áreas interarbustos, lo que a su vez reduce el contenido de materia orgánica y el espacio de poros, lo que disminuye la infiltración, aumenta el escurrimiento y provoca una mayor erosión hídrica, a la vez que reduce la disponibilidad de agua en el suelo para las plantas”. </w:t>
      </w:r>
      <w:r w:rsidRPr="00BC57A2">
        <w:rPr>
          <w:rFonts w:ascii="Verdana" w:hAnsi="Verdana" w:cs="Cambria"/>
          <w:sz w:val="16"/>
          <w:szCs w:val="16"/>
          <w:lang w:val="es-CR"/>
        </w:rPr>
        <w:t xml:space="preserve">El escrito de </w:t>
      </w:r>
      <w:r w:rsidRPr="00BC57A2">
        <w:rPr>
          <w:rFonts w:ascii="Verdana" w:hAnsi="Verdana" w:cs="Cambria"/>
          <w:i/>
          <w:sz w:val="16"/>
          <w:szCs w:val="16"/>
          <w:lang w:val="es-CR"/>
        </w:rPr>
        <w:t>amicus curiae</w:t>
      </w:r>
      <w:r w:rsidRPr="00BC57A2">
        <w:rPr>
          <w:rFonts w:ascii="Verdana" w:hAnsi="Verdana" w:cs="Cambria"/>
          <w:sz w:val="16"/>
          <w:szCs w:val="16"/>
          <w:lang w:val="es-CR"/>
        </w:rPr>
        <w:t xml:space="preserve"> de DPLF y otras organizaciones da cuenda del Informe Técnico 2015 de la FAO sobre el </w:t>
      </w:r>
      <w:r w:rsidRPr="00BC57A2">
        <w:rPr>
          <w:rFonts w:ascii="Verdana" w:hAnsi="Verdana" w:cs="Cambria-Italic"/>
          <w:i/>
          <w:iCs/>
          <w:sz w:val="16"/>
          <w:szCs w:val="16"/>
          <w:lang w:val="es-CR"/>
        </w:rPr>
        <w:t xml:space="preserve">Estado Mundial del Recurso Suelo: </w:t>
      </w:r>
      <w:r w:rsidRPr="00BC57A2">
        <w:rPr>
          <w:rFonts w:ascii="Verdana" w:hAnsi="Verdana" w:cs="Cambria"/>
          <w:sz w:val="16"/>
          <w:szCs w:val="16"/>
          <w:lang w:val="es-CR"/>
        </w:rPr>
        <w:t xml:space="preserve">indica que la degradación del suelo constituye una gran amenaza para la producción sostenible y la seguridad alimenticia de algunas regiones del mundo. Entre las fuentes de esta degradación, la FAO incluye la compactación del suelo, la cual, en América Latina, es principalmente “causada por el sobrepastoreo y el tráfico agrícola intensivo” (Consejo de la Organización de las Naciones Unidas para la Alimentación y la Agricultura (FAO), </w:t>
      </w:r>
      <w:r w:rsidRPr="00BC57A2">
        <w:rPr>
          <w:rFonts w:ascii="Verdana" w:hAnsi="Verdana" w:cs="Cambria-Italic"/>
          <w:i/>
          <w:iCs/>
          <w:sz w:val="16"/>
          <w:szCs w:val="16"/>
          <w:lang w:val="es-CR"/>
        </w:rPr>
        <w:t xml:space="preserve">Estado Mundial del Recurso Suelo, Resumen Técnico, </w:t>
      </w:r>
      <w:r w:rsidRPr="00BC57A2">
        <w:rPr>
          <w:rFonts w:ascii="Verdana" w:hAnsi="Verdana" w:cs="Cambria"/>
          <w:sz w:val="16"/>
          <w:szCs w:val="16"/>
          <w:lang w:val="es-CR"/>
        </w:rPr>
        <w:t>2016, p. 37).</w:t>
      </w:r>
    </w:p>
    <w:p w14:paraId="0A5DD2F7" w14:textId="77777777" w:rsidR="0023585A" w:rsidRPr="00BC57A2" w:rsidRDefault="0023585A" w:rsidP="0056309D">
      <w:pPr>
        <w:autoSpaceDE w:val="0"/>
        <w:autoSpaceDN w:val="0"/>
        <w:adjustRightInd w:val="0"/>
        <w:spacing w:after="0" w:line="240" w:lineRule="auto"/>
        <w:jc w:val="both"/>
        <w:rPr>
          <w:rFonts w:ascii="Verdana" w:hAnsi="Verdana"/>
          <w:sz w:val="16"/>
          <w:szCs w:val="16"/>
        </w:rPr>
      </w:pPr>
    </w:p>
  </w:footnote>
  <w:footnote w:id="265">
    <w:p w14:paraId="4C72FC43" w14:textId="4CC43D25" w:rsidR="0023585A" w:rsidRPr="00BC57A2" w:rsidRDefault="0023585A" w:rsidP="0056309D">
      <w:pPr>
        <w:autoSpaceDE w:val="0"/>
        <w:autoSpaceDN w:val="0"/>
        <w:adjustRightInd w:val="0"/>
        <w:spacing w:after="0" w:line="240" w:lineRule="auto"/>
        <w:jc w:val="both"/>
        <w:rPr>
          <w:rFonts w:ascii="Verdana" w:hAnsi="Verdana"/>
          <w:sz w:val="16"/>
          <w:szCs w:val="16"/>
        </w:rPr>
      </w:pPr>
      <w:r w:rsidRPr="00BC57A2">
        <w:rPr>
          <w:rStyle w:val="Refdenotaalpie"/>
          <w:rFonts w:ascii="Verdana" w:hAnsi="Verdana"/>
          <w:sz w:val="16"/>
          <w:szCs w:val="16"/>
        </w:rPr>
        <w:footnoteRef/>
      </w:r>
      <w:r w:rsidRPr="00BC57A2">
        <w:rPr>
          <w:rFonts w:ascii="Verdana" w:hAnsi="Verdana"/>
          <w:sz w:val="16"/>
          <w:szCs w:val="16"/>
        </w:rPr>
        <w:t xml:space="preserve"> </w:t>
      </w:r>
      <w:r w:rsidRPr="00BC57A2">
        <w:rPr>
          <w:rFonts w:ascii="Verdana" w:hAnsi="Verdana"/>
          <w:sz w:val="16"/>
          <w:szCs w:val="16"/>
        </w:rPr>
        <w:tab/>
      </w:r>
      <w:r w:rsidRPr="00BC57A2">
        <w:rPr>
          <w:rFonts w:ascii="Verdana" w:hAnsi="Verdana"/>
          <w:i/>
          <w:sz w:val="16"/>
          <w:szCs w:val="16"/>
        </w:rPr>
        <w:t>Cfr.</w:t>
      </w:r>
      <w:r w:rsidRPr="00BC57A2">
        <w:rPr>
          <w:rFonts w:ascii="Verdana" w:hAnsi="Verdana"/>
          <w:sz w:val="16"/>
          <w:szCs w:val="16"/>
        </w:rPr>
        <w:t xml:space="preserve"> </w:t>
      </w:r>
      <w:r w:rsidRPr="00BC57A2">
        <w:rPr>
          <w:rFonts w:ascii="Verdana" w:hAnsi="Verdana" w:cs="Arial Narrow"/>
          <w:sz w:val="16"/>
          <w:szCs w:val="16"/>
        </w:rPr>
        <w:t xml:space="preserve">Borrador de propuesta de distribución de tierras Lotes Fiscales 55 y 14 -Petición CIDH “Lhaka Honhat”, presentada por el Estado Nacional a la Comisión el 5 de septiembre de 2006 y remitida a los entonces peticionarios el 27 de septiembre de 2006. </w:t>
      </w:r>
      <w:r w:rsidRPr="00BC57A2">
        <w:rPr>
          <w:rFonts w:ascii="Verdana" w:hAnsi="Verdana"/>
          <w:sz w:val="16"/>
          <w:szCs w:val="16"/>
        </w:rPr>
        <w:t xml:space="preserve">Expediente de prueba, </w:t>
      </w:r>
      <w:r w:rsidRPr="00BC57A2">
        <w:rPr>
          <w:rFonts w:ascii="Verdana" w:hAnsi="Verdana" w:cs="Arial Narrow"/>
          <w:sz w:val="16"/>
          <w:szCs w:val="16"/>
        </w:rPr>
        <w:t>anexo M.4</w:t>
      </w:r>
      <w:r w:rsidRPr="00BC57A2">
        <w:rPr>
          <w:rFonts w:ascii="Verdana" w:hAnsi="Verdana"/>
          <w:sz w:val="16"/>
          <w:szCs w:val="16"/>
        </w:rPr>
        <w:t xml:space="preserve"> al escrito de solicitudes y argumentos, fs. 35.378 a 35.401.</w:t>
      </w:r>
    </w:p>
    <w:p w14:paraId="72446875" w14:textId="77777777" w:rsidR="0023585A" w:rsidRPr="00BC57A2" w:rsidRDefault="0023585A" w:rsidP="0056309D">
      <w:pPr>
        <w:autoSpaceDE w:val="0"/>
        <w:autoSpaceDN w:val="0"/>
        <w:adjustRightInd w:val="0"/>
        <w:spacing w:after="0" w:line="240" w:lineRule="auto"/>
        <w:jc w:val="both"/>
        <w:rPr>
          <w:rFonts w:ascii="Verdana" w:hAnsi="Verdana" w:cs="Arial Narrow"/>
          <w:sz w:val="16"/>
          <w:szCs w:val="16"/>
        </w:rPr>
      </w:pPr>
    </w:p>
  </w:footnote>
  <w:footnote w:id="266">
    <w:p w14:paraId="456853B4" w14:textId="77777777" w:rsidR="0023585A" w:rsidRPr="00BC57A2" w:rsidRDefault="0023585A" w:rsidP="0056309D">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Cfr.</w:t>
      </w:r>
      <w:r w:rsidRPr="00BC57A2">
        <w:rPr>
          <w:sz w:val="16"/>
          <w:szCs w:val="16"/>
          <w:lang w:val="es-CR"/>
        </w:rPr>
        <w:t xml:space="preserve"> “Uso tradicional de la tierra y sus recursos: Presiones sobre este uso en el contexto moderno” de Wallis, Cristóbal. Ponencia presentada en el Seminario sobre Temática Indígena, organizado por el Centro de Estudios Canadienses, Universidad de Rosario, octubre de 1994. Expediente de prueba, anexo M.5 al escrito de solicitudes y argumentos, fs.  35. 402 a 35.419.</w:t>
      </w:r>
    </w:p>
    <w:p w14:paraId="4E5FFC54" w14:textId="77777777" w:rsidR="0023585A" w:rsidRPr="00BC57A2" w:rsidRDefault="0023585A" w:rsidP="0056309D">
      <w:pPr>
        <w:pStyle w:val="Textonotapie"/>
        <w:rPr>
          <w:sz w:val="16"/>
          <w:szCs w:val="16"/>
          <w:lang w:val="es-CR"/>
        </w:rPr>
      </w:pPr>
    </w:p>
  </w:footnote>
  <w:footnote w:id="267">
    <w:p w14:paraId="535FF77C" w14:textId="0978ECFC" w:rsidR="0023585A" w:rsidRPr="00BC57A2" w:rsidRDefault="0023585A" w:rsidP="0056309D">
      <w:pPr>
        <w:autoSpaceDE w:val="0"/>
        <w:autoSpaceDN w:val="0"/>
        <w:adjustRightInd w:val="0"/>
        <w:spacing w:after="0" w:line="240" w:lineRule="auto"/>
        <w:jc w:val="both"/>
        <w:rPr>
          <w:rFonts w:ascii="Verdana" w:hAnsi="Verdana"/>
          <w:sz w:val="16"/>
          <w:szCs w:val="16"/>
        </w:rPr>
      </w:pPr>
      <w:r w:rsidRPr="00BC57A2">
        <w:rPr>
          <w:rStyle w:val="Refdenotaalpie"/>
          <w:rFonts w:ascii="Verdana" w:hAnsi="Verdana"/>
          <w:sz w:val="16"/>
          <w:szCs w:val="16"/>
        </w:rPr>
        <w:footnoteRef/>
      </w:r>
      <w:r w:rsidRPr="00BC57A2">
        <w:rPr>
          <w:rFonts w:ascii="Verdana" w:hAnsi="Verdana"/>
          <w:sz w:val="16"/>
          <w:szCs w:val="16"/>
        </w:rPr>
        <w:t xml:space="preserve"> </w:t>
      </w:r>
      <w:r w:rsidRPr="00BC57A2">
        <w:rPr>
          <w:rFonts w:ascii="Verdana" w:hAnsi="Verdana"/>
          <w:sz w:val="16"/>
          <w:szCs w:val="16"/>
        </w:rPr>
        <w:tab/>
      </w:r>
      <w:r w:rsidRPr="00BC57A2">
        <w:rPr>
          <w:rFonts w:ascii="Verdana" w:hAnsi="Verdana"/>
          <w:i/>
          <w:sz w:val="16"/>
          <w:szCs w:val="16"/>
        </w:rPr>
        <w:t>Cfr.</w:t>
      </w:r>
      <w:r w:rsidRPr="00BC57A2">
        <w:rPr>
          <w:rFonts w:ascii="Verdana" w:hAnsi="Verdana"/>
          <w:sz w:val="16"/>
          <w:szCs w:val="16"/>
        </w:rPr>
        <w:t xml:space="preserve"> “</w:t>
      </w:r>
      <w:r w:rsidRPr="00BC57A2">
        <w:rPr>
          <w:rFonts w:ascii="Verdana" w:hAnsi="Verdana" w:cs="Arial Narrow"/>
          <w:sz w:val="16"/>
          <w:szCs w:val="16"/>
        </w:rPr>
        <w:t>Etnobotánica wichí del bosque xerófito en el Chaco semiárido salteño”</w:t>
      </w:r>
      <w:r>
        <w:rPr>
          <w:rFonts w:ascii="Verdana" w:hAnsi="Verdana" w:cs="Arial Narrow"/>
          <w:sz w:val="16"/>
          <w:szCs w:val="16"/>
        </w:rPr>
        <w:t>,</w:t>
      </w:r>
      <w:r w:rsidRPr="00BC57A2">
        <w:rPr>
          <w:rFonts w:ascii="Verdana" w:hAnsi="Verdana" w:cs="Arial Narrow"/>
          <w:sz w:val="16"/>
          <w:szCs w:val="16"/>
        </w:rPr>
        <w:t xml:space="preserve"> de Suárez, María Eugenia - 1a ed. - Don Torcuato: Autores de Argentina, 2014</w:t>
      </w:r>
      <w:r w:rsidRPr="00BC57A2">
        <w:rPr>
          <w:rFonts w:ascii="Verdana" w:hAnsi="Verdana"/>
          <w:sz w:val="16"/>
          <w:szCs w:val="16"/>
        </w:rPr>
        <w:t>.</w:t>
      </w:r>
    </w:p>
    <w:p w14:paraId="23A62923" w14:textId="77777777" w:rsidR="0023585A" w:rsidRPr="00BC57A2" w:rsidRDefault="0023585A" w:rsidP="0056309D">
      <w:pPr>
        <w:autoSpaceDE w:val="0"/>
        <w:autoSpaceDN w:val="0"/>
        <w:adjustRightInd w:val="0"/>
        <w:spacing w:after="0" w:line="240" w:lineRule="auto"/>
        <w:jc w:val="both"/>
        <w:rPr>
          <w:rFonts w:ascii="Verdana" w:hAnsi="Verdana" w:cs="Arial Narrow"/>
          <w:sz w:val="16"/>
          <w:szCs w:val="16"/>
        </w:rPr>
      </w:pPr>
    </w:p>
  </w:footnote>
  <w:footnote w:id="268">
    <w:p w14:paraId="3884FC6E" w14:textId="42883261" w:rsidR="0023585A" w:rsidRPr="00BC57A2" w:rsidRDefault="0023585A" w:rsidP="0056309D">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Los representantes han manifestado que “[s]e</w:t>
      </w:r>
      <w:r>
        <w:rPr>
          <w:sz w:val="16"/>
          <w:szCs w:val="16"/>
          <w:lang w:val="es-CR"/>
        </w:rPr>
        <w:t xml:space="preserve">gún señala el Estado Nacional, </w:t>
      </w:r>
      <w:r w:rsidRPr="00BC57A2">
        <w:rPr>
          <w:sz w:val="16"/>
          <w:szCs w:val="16"/>
          <w:lang w:val="es-CR"/>
        </w:rPr>
        <w:t xml:space="preserve">los colonos, impulsados por las políticas estatales, se afincaron dentro de la matriz indígena a partir de 1902 con la fundación de la Colonia Buenaventura, haciendo uso extensivo de la tierra y las fuentes de agua para la subsistencia del ganado”. </w:t>
      </w:r>
    </w:p>
    <w:p w14:paraId="60D4E432" w14:textId="77777777" w:rsidR="0023585A" w:rsidRPr="00BC57A2" w:rsidRDefault="0023585A" w:rsidP="0056309D">
      <w:pPr>
        <w:pStyle w:val="Textonotapie"/>
        <w:rPr>
          <w:sz w:val="16"/>
          <w:szCs w:val="16"/>
          <w:lang w:val="es-CR"/>
        </w:rPr>
      </w:pPr>
    </w:p>
  </w:footnote>
  <w:footnote w:id="269">
    <w:p w14:paraId="62434301" w14:textId="77777777" w:rsidR="0023585A" w:rsidRPr="00BC57A2" w:rsidRDefault="0023585A" w:rsidP="0056309D">
      <w:pPr>
        <w:spacing w:after="0" w:line="240" w:lineRule="auto"/>
        <w:jc w:val="both"/>
        <w:rPr>
          <w:rFonts w:ascii="Verdana" w:hAnsi="Verdana"/>
          <w:sz w:val="16"/>
          <w:szCs w:val="16"/>
          <w:lang w:val="es-CR"/>
        </w:rPr>
      </w:pPr>
      <w:r w:rsidRPr="00BC57A2">
        <w:rPr>
          <w:rStyle w:val="Refdenotaalpie"/>
          <w:rFonts w:ascii="Verdana" w:hAnsi="Verdana"/>
          <w:sz w:val="16"/>
          <w:szCs w:val="16"/>
        </w:rPr>
        <w:footnoteRef/>
      </w:r>
      <w:r w:rsidRPr="00BC57A2">
        <w:rPr>
          <w:rFonts w:ascii="Verdana" w:hAnsi="Verdana"/>
          <w:sz w:val="16"/>
          <w:szCs w:val="16"/>
          <w:lang w:val="es-CR"/>
        </w:rPr>
        <w:t xml:space="preserve"> </w:t>
      </w:r>
      <w:r w:rsidRPr="00BC57A2">
        <w:rPr>
          <w:rFonts w:ascii="Verdana" w:hAnsi="Verdana"/>
          <w:sz w:val="16"/>
          <w:szCs w:val="16"/>
          <w:lang w:val="es-CR"/>
        </w:rPr>
        <w:tab/>
        <w:t>En ese sentido, el constante pisoteo del ganado vacuno impide la renovación de flora (</w:t>
      </w:r>
      <w:r w:rsidRPr="00BC57A2">
        <w:rPr>
          <w:rFonts w:ascii="Verdana" w:hAnsi="Verdana"/>
          <w:i/>
          <w:sz w:val="16"/>
          <w:szCs w:val="16"/>
          <w:lang w:val="es-CR"/>
        </w:rPr>
        <w:t>cfr.</w:t>
      </w:r>
      <w:r w:rsidRPr="00BC57A2">
        <w:rPr>
          <w:rFonts w:ascii="Verdana" w:hAnsi="Verdana"/>
          <w:sz w:val="16"/>
          <w:szCs w:val="16"/>
          <w:lang w:val="es-CR"/>
        </w:rPr>
        <w:t xml:space="preserve"> Presentación realizada por Lhaka Honhat ante la Comisión en fecha 4 de enero 2007. Expediente de prueba, anexo 6 al Informe de Fondo, fs. 47 a 101. </w:t>
      </w:r>
      <w:r w:rsidRPr="00BC57A2">
        <w:rPr>
          <w:rFonts w:ascii="Verdana" w:hAnsi="Verdana" w:cs="Arial"/>
          <w:sz w:val="16"/>
          <w:szCs w:val="16"/>
          <w:lang w:val="es-CR"/>
        </w:rPr>
        <w:t>De igual forma se ha pronunciado la perita Naharro).</w:t>
      </w:r>
      <w:r w:rsidRPr="00BC57A2">
        <w:rPr>
          <w:rFonts w:ascii="Verdana" w:hAnsi="Verdana"/>
          <w:sz w:val="16"/>
          <w:szCs w:val="16"/>
          <w:lang w:val="es-CR"/>
        </w:rPr>
        <w:t xml:space="preserve"> </w:t>
      </w:r>
    </w:p>
    <w:p w14:paraId="496E6C55" w14:textId="77777777" w:rsidR="0023585A" w:rsidRPr="00BC57A2" w:rsidRDefault="0023585A" w:rsidP="0056309D">
      <w:pPr>
        <w:spacing w:after="0" w:line="240" w:lineRule="auto"/>
        <w:jc w:val="both"/>
        <w:rPr>
          <w:rFonts w:ascii="Verdana" w:hAnsi="Verdana" w:cs="Arial"/>
          <w:sz w:val="16"/>
          <w:szCs w:val="16"/>
          <w:lang w:val="es-CR"/>
        </w:rPr>
      </w:pPr>
    </w:p>
  </w:footnote>
  <w:footnote w:id="270">
    <w:p w14:paraId="2C3ED318" w14:textId="77777777" w:rsidR="0023585A" w:rsidRPr="00BC57A2" w:rsidRDefault="0023585A" w:rsidP="0056309D">
      <w:pPr>
        <w:spacing w:after="0" w:line="240" w:lineRule="auto"/>
        <w:jc w:val="both"/>
        <w:rPr>
          <w:rFonts w:ascii="Verdana" w:hAnsi="Verdana" w:cs="Arial"/>
          <w:sz w:val="16"/>
          <w:szCs w:val="16"/>
          <w:lang w:val="es-CR"/>
        </w:rPr>
      </w:pPr>
      <w:r w:rsidRPr="00BC57A2">
        <w:rPr>
          <w:rStyle w:val="Refdenotaalpie"/>
          <w:rFonts w:ascii="Verdana" w:hAnsi="Verdana"/>
          <w:sz w:val="16"/>
          <w:szCs w:val="16"/>
        </w:rPr>
        <w:footnoteRef/>
      </w:r>
      <w:r w:rsidRPr="00BC57A2">
        <w:rPr>
          <w:rFonts w:ascii="Verdana" w:hAnsi="Verdana"/>
          <w:sz w:val="16"/>
          <w:szCs w:val="16"/>
          <w:lang w:val="es-CR"/>
        </w:rPr>
        <w:t xml:space="preserve"> </w:t>
      </w:r>
      <w:r w:rsidRPr="00BC57A2">
        <w:rPr>
          <w:rFonts w:ascii="Verdana" w:hAnsi="Verdana"/>
          <w:sz w:val="16"/>
          <w:szCs w:val="16"/>
          <w:lang w:val="es-CR"/>
        </w:rPr>
        <w:tab/>
      </w:r>
      <w:r w:rsidRPr="00BC57A2">
        <w:rPr>
          <w:rFonts w:ascii="Verdana" w:hAnsi="Verdana"/>
          <w:i/>
          <w:sz w:val="16"/>
          <w:szCs w:val="16"/>
          <w:lang w:val="es-CR"/>
        </w:rPr>
        <w:t>Cfr.</w:t>
      </w:r>
      <w:r w:rsidRPr="00BC57A2">
        <w:rPr>
          <w:rFonts w:ascii="Verdana" w:hAnsi="Verdana"/>
          <w:sz w:val="16"/>
          <w:szCs w:val="16"/>
          <w:lang w:val="es-CR"/>
        </w:rPr>
        <w:t xml:space="preserve"> </w:t>
      </w:r>
      <w:r w:rsidRPr="00BC57A2">
        <w:rPr>
          <w:rFonts w:ascii="Verdana" w:hAnsi="Verdana" w:cs="Arial"/>
          <w:sz w:val="16"/>
          <w:szCs w:val="16"/>
          <w:lang w:val="es-CR"/>
        </w:rPr>
        <w:t xml:space="preserve">Pericia rendida por la señora Buliubasich. </w:t>
      </w:r>
    </w:p>
    <w:p w14:paraId="01350DE0" w14:textId="77777777" w:rsidR="0023585A" w:rsidRPr="00BC57A2" w:rsidRDefault="0023585A" w:rsidP="0056309D">
      <w:pPr>
        <w:spacing w:after="0" w:line="240" w:lineRule="auto"/>
        <w:jc w:val="both"/>
        <w:rPr>
          <w:rFonts w:ascii="Verdana" w:hAnsi="Verdana" w:cs="Arial"/>
          <w:sz w:val="16"/>
          <w:szCs w:val="16"/>
          <w:lang w:val="es-CR"/>
        </w:rPr>
      </w:pPr>
    </w:p>
  </w:footnote>
  <w:footnote w:id="271">
    <w:p w14:paraId="6B61E8CB" w14:textId="77777777" w:rsidR="0023585A" w:rsidRPr="00BC57A2" w:rsidRDefault="0023585A" w:rsidP="0056309D">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 xml:space="preserve">En su escrito de </w:t>
      </w:r>
      <w:r w:rsidRPr="00BC57A2">
        <w:rPr>
          <w:i/>
          <w:sz w:val="16"/>
          <w:szCs w:val="16"/>
          <w:lang w:val="es-CR"/>
        </w:rPr>
        <w:t>amicus curiae</w:t>
      </w:r>
      <w:r w:rsidRPr="00BC57A2">
        <w:rPr>
          <w:sz w:val="16"/>
          <w:szCs w:val="16"/>
          <w:lang w:val="es-CR"/>
        </w:rPr>
        <w:t xml:space="preserve">, FARN indicó que “[l]a actividad antrópica en la zona [del caso] se realiza sin ningún tipo de supervisión o previsión, siendo preocupante los impactos que genera en el río y en su relación con la comunidad. Consideró que las “actividades de impacto en el río, […] podría[n] afectar [el] derecho al agua”. </w:t>
      </w:r>
    </w:p>
    <w:p w14:paraId="262CAA36" w14:textId="77777777" w:rsidR="0023585A" w:rsidRPr="00BC57A2" w:rsidRDefault="0023585A" w:rsidP="0056309D">
      <w:pPr>
        <w:pStyle w:val="Textonotapie"/>
        <w:rPr>
          <w:sz w:val="16"/>
          <w:szCs w:val="16"/>
          <w:lang w:val="es-CR"/>
        </w:rPr>
      </w:pPr>
    </w:p>
  </w:footnote>
  <w:footnote w:id="272">
    <w:p w14:paraId="1A8A9F61" w14:textId="77777777" w:rsidR="0023585A" w:rsidRPr="00BC57A2" w:rsidRDefault="0023585A" w:rsidP="0056309D">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Cfr.</w:t>
      </w:r>
      <w:r w:rsidRPr="00BC57A2">
        <w:rPr>
          <w:sz w:val="16"/>
          <w:szCs w:val="16"/>
          <w:lang w:val="es-CR"/>
        </w:rPr>
        <w:t xml:space="preserve"> </w:t>
      </w:r>
      <w:r w:rsidRPr="00BC57A2">
        <w:rPr>
          <w:rFonts w:cs="Arial Narrow"/>
          <w:sz w:val="16"/>
          <w:szCs w:val="16"/>
          <w:lang w:val="es-CR"/>
        </w:rPr>
        <w:t xml:space="preserve">Informe Comisión Asesora Honoraria. </w:t>
      </w:r>
      <w:r w:rsidRPr="00BC57A2">
        <w:rPr>
          <w:sz w:val="16"/>
          <w:szCs w:val="16"/>
          <w:lang w:val="es-CR"/>
        </w:rPr>
        <w:t>Expediente de prueba, anexo M.3 al escrito de solicitudes y argumentos, fs. 35.152 a 35.377.</w:t>
      </w:r>
    </w:p>
    <w:p w14:paraId="531103D6" w14:textId="77777777" w:rsidR="0023585A" w:rsidRPr="00BC57A2" w:rsidRDefault="0023585A" w:rsidP="0056309D">
      <w:pPr>
        <w:pStyle w:val="Textonotapie"/>
        <w:rPr>
          <w:sz w:val="16"/>
          <w:szCs w:val="16"/>
          <w:lang w:val="es-CR"/>
        </w:rPr>
      </w:pPr>
    </w:p>
  </w:footnote>
  <w:footnote w:id="273">
    <w:p w14:paraId="4ECCFA0A" w14:textId="1F6A8BBC" w:rsidR="0023585A" w:rsidRPr="00BC57A2" w:rsidRDefault="0023585A" w:rsidP="0056309D">
      <w:pPr>
        <w:pStyle w:val="Textonotapie"/>
        <w:rPr>
          <w:rFonts w:cs="Arial Narrow"/>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De modo adicional, consta una nota de los peticionarios dirigida a la Comisión en que se informa sobre una reunión mantenida el 6 de febrero de 2001, en la que, según se indicó, “[e]</w:t>
      </w:r>
      <w:r w:rsidRPr="00BC57A2">
        <w:rPr>
          <w:rFonts w:cs="Times New Roman"/>
          <w:sz w:val="16"/>
          <w:szCs w:val="16"/>
          <w:lang w:val="es-CR"/>
        </w:rPr>
        <w:t>l Secretario de Medio Ambiente y Desarrollo Sustentable reconoció expresamente que la tala de árboles que se lleva a cabo en los [l]otes […] 55 y</w:t>
      </w:r>
      <w:r>
        <w:rPr>
          <w:rFonts w:cs="Times New Roman"/>
          <w:sz w:val="16"/>
          <w:szCs w:val="16"/>
          <w:lang w:val="es-CR"/>
        </w:rPr>
        <w:t xml:space="preserve"> </w:t>
      </w:r>
      <w:r w:rsidRPr="00BC57A2">
        <w:rPr>
          <w:rFonts w:cs="Times New Roman"/>
          <w:sz w:val="16"/>
          <w:szCs w:val="16"/>
          <w:lang w:val="es-CR"/>
        </w:rPr>
        <w:t>14 es ilegal” (</w:t>
      </w:r>
      <w:r w:rsidRPr="00BC57A2">
        <w:rPr>
          <w:rFonts w:cs="Times New Roman"/>
          <w:i/>
          <w:sz w:val="16"/>
          <w:szCs w:val="16"/>
          <w:lang w:val="es-CR"/>
        </w:rPr>
        <w:t>cfr.</w:t>
      </w:r>
      <w:r w:rsidRPr="00BC57A2">
        <w:rPr>
          <w:rFonts w:cs="Times New Roman"/>
          <w:sz w:val="16"/>
          <w:szCs w:val="16"/>
          <w:lang w:val="es-CR"/>
        </w:rPr>
        <w:t xml:space="preserve"> </w:t>
      </w:r>
      <w:r w:rsidRPr="00BC57A2">
        <w:rPr>
          <w:sz w:val="16"/>
          <w:szCs w:val="16"/>
          <w:lang w:val="es-CR"/>
        </w:rPr>
        <w:t xml:space="preserve">Nota de la Comunidad indígena Lhaka Honhat a la Comisión, </w:t>
      </w:r>
      <w:r w:rsidRPr="00BC57A2">
        <w:rPr>
          <w:rFonts w:cs="Arial Narrow"/>
          <w:sz w:val="16"/>
          <w:szCs w:val="16"/>
          <w:lang w:val="es-CR"/>
        </w:rPr>
        <w:t>Anexo L.2 al escrito de solicitudes y argumentos. de 21 de febrero de 2001, fs. 34.047 a 34.050).</w:t>
      </w:r>
    </w:p>
    <w:p w14:paraId="28A12E8C" w14:textId="77777777" w:rsidR="0023585A" w:rsidRPr="00BC57A2" w:rsidRDefault="0023585A" w:rsidP="0056309D">
      <w:pPr>
        <w:pStyle w:val="Textonotapie"/>
        <w:rPr>
          <w:sz w:val="16"/>
          <w:szCs w:val="16"/>
          <w:lang w:val="es-CR"/>
        </w:rPr>
      </w:pPr>
    </w:p>
  </w:footnote>
  <w:footnote w:id="274">
    <w:p w14:paraId="4A836D54" w14:textId="77777777" w:rsidR="0023585A" w:rsidRPr="00BC57A2" w:rsidRDefault="0023585A" w:rsidP="0056309D">
      <w:pPr>
        <w:pStyle w:val="Textonotapie"/>
        <w:rPr>
          <w:rFonts w:cs="Arial Narrow"/>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Cfr.</w:t>
      </w:r>
      <w:r w:rsidRPr="00BC57A2">
        <w:rPr>
          <w:sz w:val="16"/>
          <w:szCs w:val="16"/>
          <w:lang w:val="es-CR"/>
        </w:rPr>
        <w:t xml:space="preserve"> </w:t>
      </w:r>
      <w:r w:rsidRPr="00BC57A2">
        <w:rPr>
          <w:rFonts w:cs="Arial Narrow"/>
          <w:sz w:val="16"/>
          <w:szCs w:val="16"/>
          <w:lang w:val="es-CR"/>
        </w:rPr>
        <w:t>Pedido de tierras de Lhaka Honhat de 28 de julio de 1991. Expediente de prueba, anexo K.2 al escrito de solicitudes y argumentos, fs. 33.573 a 33.582.</w:t>
      </w:r>
    </w:p>
    <w:p w14:paraId="2F05F965" w14:textId="77777777" w:rsidR="0023585A" w:rsidRPr="00BC57A2" w:rsidRDefault="0023585A" w:rsidP="0056309D">
      <w:pPr>
        <w:pStyle w:val="Textonotapie"/>
        <w:spacing w:line="216" w:lineRule="auto"/>
        <w:rPr>
          <w:sz w:val="16"/>
          <w:szCs w:val="16"/>
          <w:lang w:val="es-CR"/>
        </w:rPr>
      </w:pPr>
    </w:p>
  </w:footnote>
  <w:footnote w:id="275">
    <w:p w14:paraId="133D7548" w14:textId="77777777" w:rsidR="0023585A" w:rsidRPr="00BC57A2" w:rsidRDefault="0023585A" w:rsidP="0056309D">
      <w:pPr>
        <w:pStyle w:val="Textonotapie"/>
        <w:rPr>
          <w:rFonts w:cs="Arial Narrow"/>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Cfr.</w:t>
      </w:r>
      <w:r w:rsidRPr="00BC57A2">
        <w:rPr>
          <w:sz w:val="16"/>
          <w:szCs w:val="16"/>
          <w:lang w:val="es-CR"/>
        </w:rPr>
        <w:t xml:space="preserve"> Acta de reunión de 15 de diciembre de 2000. </w:t>
      </w:r>
      <w:r w:rsidRPr="00BC57A2">
        <w:rPr>
          <w:rFonts w:cs="Arial Narrow"/>
          <w:sz w:val="16"/>
          <w:szCs w:val="16"/>
          <w:lang w:val="es-CR"/>
        </w:rPr>
        <w:t>Expediente de prueba, anexo K.4 al escrito de solicitudes y argumentos, fs. 33.586 a 33.588.</w:t>
      </w:r>
    </w:p>
    <w:p w14:paraId="37C8F99D" w14:textId="77777777" w:rsidR="0023585A" w:rsidRPr="00BC57A2" w:rsidRDefault="0023585A" w:rsidP="0056309D">
      <w:pPr>
        <w:pStyle w:val="Textonotapie"/>
        <w:rPr>
          <w:sz w:val="16"/>
          <w:szCs w:val="16"/>
          <w:lang w:val="es-CR"/>
        </w:rPr>
      </w:pPr>
    </w:p>
  </w:footnote>
  <w:footnote w:id="276">
    <w:p w14:paraId="341CC730" w14:textId="77777777" w:rsidR="0023585A" w:rsidRPr="00BC57A2" w:rsidRDefault="0023585A" w:rsidP="0056309D">
      <w:pPr>
        <w:pStyle w:val="Textonotapie"/>
        <w:rPr>
          <w:rFonts w:cs="Arial Narrow"/>
          <w:sz w:val="16"/>
          <w:szCs w:val="16"/>
          <w:lang w:val="es-CR"/>
        </w:rPr>
      </w:pPr>
      <w:r w:rsidRPr="00BC57A2">
        <w:rPr>
          <w:rStyle w:val="Refdenotaalpie"/>
          <w:sz w:val="16"/>
          <w:szCs w:val="16"/>
        </w:rPr>
        <w:footnoteRef/>
      </w:r>
      <w:r w:rsidRPr="00BC57A2">
        <w:rPr>
          <w:rFonts w:cs="Arial Narrow"/>
          <w:sz w:val="16"/>
          <w:szCs w:val="16"/>
          <w:lang w:val="es-CR"/>
        </w:rPr>
        <w:t xml:space="preserve"> </w:t>
      </w:r>
      <w:r w:rsidRPr="00BC57A2">
        <w:rPr>
          <w:rFonts w:cs="Arial Narrow"/>
          <w:sz w:val="16"/>
          <w:szCs w:val="16"/>
          <w:lang w:val="es-CR"/>
        </w:rPr>
        <w:tab/>
      </w:r>
      <w:r w:rsidRPr="00BC57A2">
        <w:rPr>
          <w:rFonts w:cs="Arial Narrow"/>
          <w:i/>
          <w:sz w:val="16"/>
          <w:szCs w:val="16"/>
          <w:lang w:val="es-CR"/>
        </w:rPr>
        <w:t>Cfr.</w:t>
      </w:r>
      <w:r w:rsidRPr="00BC57A2">
        <w:rPr>
          <w:rFonts w:cs="Arial Narrow"/>
          <w:sz w:val="16"/>
          <w:szCs w:val="16"/>
          <w:lang w:val="es-CR"/>
        </w:rPr>
        <w:t xml:space="preserve"> Nota a la Comisión de 21 de febrero de 2001. Expediente de prueba, anexo K.5 al escrito de solicitudes y argumentos, fs. 33.589 a 33.592.</w:t>
      </w:r>
    </w:p>
    <w:p w14:paraId="4F125D65" w14:textId="77777777" w:rsidR="0023585A" w:rsidRPr="00BC57A2" w:rsidRDefault="0023585A" w:rsidP="0056309D">
      <w:pPr>
        <w:pStyle w:val="Textonotapie"/>
        <w:rPr>
          <w:sz w:val="16"/>
          <w:szCs w:val="16"/>
          <w:lang w:val="es-CR"/>
        </w:rPr>
      </w:pPr>
    </w:p>
  </w:footnote>
  <w:footnote w:id="277">
    <w:p w14:paraId="0E95C72F" w14:textId="6BFEFACB" w:rsidR="0023585A" w:rsidRPr="00BC57A2" w:rsidRDefault="0023585A" w:rsidP="0056309D">
      <w:pPr>
        <w:autoSpaceDE w:val="0"/>
        <w:autoSpaceDN w:val="0"/>
        <w:adjustRightInd w:val="0"/>
        <w:spacing w:after="0" w:line="240" w:lineRule="auto"/>
        <w:jc w:val="both"/>
        <w:rPr>
          <w:rFonts w:ascii="Verdana" w:hAnsi="Verdana" w:cs="Arial Narrow"/>
          <w:sz w:val="16"/>
          <w:szCs w:val="16"/>
        </w:rPr>
      </w:pPr>
      <w:r w:rsidRPr="00BC57A2">
        <w:rPr>
          <w:rStyle w:val="Refdenotaalpie"/>
          <w:rFonts w:ascii="Verdana" w:hAnsi="Verdana"/>
          <w:sz w:val="16"/>
          <w:szCs w:val="16"/>
        </w:rPr>
        <w:footnoteRef/>
      </w:r>
      <w:r w:rsidRPr="00BC57A2">
        <w:rPr>
          <w:rFonts w:ascii="Verdana" w:hAnsi="Verdana"/>
          <w:sz w:val="16"/>
          <w:szCs w:val="16"/>
        </w:rPr>
        <w:t xml:space="preserve"> </w:t>
      </w:r>
      <w:r w:rsidRPr="00BC57A2">
        <w:rPr>
          <w:rFonts w:ascii="Verdana" w:hAnsi="Verdana"/>
          <w:sz w:val="16"/>
          <w:szCs w:val="16"/>
        </w:rPr>
        <w:tab/>
      </w:r>
      <w:r w:rsidRPr="00BC57A2">
        <w:rPr>
          <w:rFonts w:ascii="Verdana" w:hAnsi="Verdana"/>
          <w:i/>
          <w:sz w:val="16"/>
          <w:szCs w:val="16"/>
        </w:rPr>
        <w:t>Cfr.</w:t>
      </w:r>
      <w:r w:rsidRPr="00BC57A2">
        <w:rPr>
          <w:rFonts w:ascii="Verdana" w:hAnsi="Verdana"/>
          <w:sz w:val="16"/>
          <w:szCs w:val="16"/>
        </w:rPr>
        <w:t xml:space="preserve"> </w:t>
      </w:r>
      <w:r w:rsidRPr="00BC57A2">
        <w:rPr>
          <w:rFonts w:ascii="Verdana" w:hAnsi="Verdana" w:cs="Arial Narrow"/>
          <w:sz w:val="16"/>
          <w:szCs w:val="16"/>
        </w:rPr>
        <w:t>Resolución 295 de 2 de agosto de 2002. Expediente de prueba, anexo K.6 al escrito de solicitudes y argumentos, fs. 33</w:t>
      </w:r>
      <w:r>
        <w:rPr>
          <w:rFonts w:ascii="Verdana" w:hAnsi="Verdana" w:cs="Arial Narrow"/>
          <w:sz w:val="16"/>
          <w:szCs w:val="16"/>
        </w:rPr>
        <w:t>.593 a 33.</w:t>
      </w:r>
      <w:r w:rsidRPr="00BC57A2">
        <w:rPr>
          <w:rFonts w:ascii="Verdana" w:hAnsi="Verdana" w:cs="Arial Narrow"/>
          <w:sz w:val="16"/>
          <w:szCs w:val="16"/>
        </w:rPr>
        <w:t>594. La misma señala en su artículo 1 “Dejar establecido que en virtud del proceso de regularización territorial de los Lotes Fiscales Números 55 y 14, los ocupantes deberán abstenerse de efectuar todo nuevo cerramiento con alambrados o elementos similares hasta tanto culmine el citado proceso de regularización de la situación de los predios”</w:t>
      </w:r>
      <w:r>
        <w:rPr>
          <w:rFonts w:ascii="Verdana" w:hAnsi="Verdana" w:cs="Arial Narrow"/>
          <w:sz w:val="16"/>
          <w:szCs w:val="16"/>
        </w:rPr>
        <w:t>.</w:t>
      </w:r>
      <w:r w:rsidRPr="00BC57A2">
        <w:rPr>
          <w:rFonts w:ascii="Verdana" w:hAnsi="Verdana" w:cs="Arial Narrow"/>
          <w:sz w:val="16"/>
          <w:szCs w:val="16"/>
        </w:rPr>
        <w:t xml:space="preserve"> </w:t>
      </w:r>
    </w:p>
    <w:p w14:paraId="2307013C" w14:textId="77777777" w:rsidR="0023585A" w:rsidRPr="00BC57A2" w:rsidRDefault="0023585A" w:rsidP="0056309D">
      <w:pPr>
        <w:autoSpaceDE w:val="0"/>
        <w:autoSpaceDN w:val="0"/>
        <w:adjustRightInd w:val="0"/>
        <w:spacing w:after="0" w:line="240" w:lineRule="auto"/>
        <w:jc w:val="both"/>
        <w:rPr>
          <w:rFonts w:ascii="Verdana" w:hAnsi="Verdana" w:cs="Arial Narrow"/>
          <w:sz w:val="16"/>
          <w:szCs w:val="16"/>
        </w:rPr>
      </w:pPr>
    </w:p>
  </w:footnote>
  <w:footnote w:id="278">
    <w:p w14:paraId="5EC72640" w14:textId="740D1CBD" w:rsidR="0023585A" w:rsidRPr="00BC57A2" w:rsidRDefault="0023585A" w:rsidP="0056309D">
      <w:pPr>
        <w:pStyle w:val="Textonotapie"/>
        <w:rPr>
          <w:rFonts w:cs="Arial Narrow"/>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Cfr.</w:t>
      </w:r>
      <w:r w:rsidRPr="00BC57A2">
        <w:rPr>
          <w:sz w:val="16"/>
          <w:szCs w:val="16"/>
          <w:lang w:val="es-CR"/>
        </w:rPr>
        <w:t xml:space="preserve"> videos de mayo de 2018 presentados como anexos K.41, K.42, K.43, K.44, K.45 y K.46 al escrito de solicitudes y argumentos, de las comunidades Bajo Grande, Misión La Paz, Pozo La China, Rancho El Ñato y San Luis</w:t>
      </w:r>
      <w:r w:rsidRPr="00BC57A2">
        <w:rPr>
          <w:rFonts w:cs="Arial Narrow"/>
          <w:sz w:val="16"/>
          <w:szCs w:val="16"/>
          <w:lang w:val="es-CR"/>
        </w:rPr>
        <w:t xml:space="preserve">. Ver también denuncias de septiembre de 2008 (expediente de prueba, anexos K.39 y K.40 al escrito de solicitudes y argumentos, fs. </w:t>
      </w:r>
      <w:r w:rsidRPr="00BC57A2">
        <w:rPr>
          <w:sz w:val="16"/>
          <w:szCs w:val="16"/>
          <w:lang w:val="es-CR"/>
        </w:rPr>
        <w:t xml:space="preserve">34.024 a 34.025 y 34.026 a 34.029). </w:t>
      </w:r>
      <w:r w:rsidRPr="00BC57A2">
        <w:rPr>
          <w:rFonts w:cs="Arial Narrow"/>
          <w:sz w:val="16"/>
          <w:szCs w:val="16"/>
          <w:lang w:val="es-CR"/>
        </w:rPr>
        <w:t>Por otro lado, en entrevistas hechas a los pobladores indígenas del territorio se expone que las cañadas en donde pescan las comunidades han estado cerradas por alambrados (</w:t>
      </w:r>
      <w:r w:rsidRPr="00BC57A2">
        <w:rPr>
          <w:rFonts w:cs="Arial Narrow"/>
          <w:i/>
          <w:sz w:val="16"/>
          <w:szCs w:val="16"/>
          <w:lang w:val="es-CR"/>
        </w:rPr>
        <w:t>cfr.</w:t>
      </w:r>
      <w:r w:rsidRPr="00BC57A2">
        <w:rPr>
          <w:rFonts w:cs="Arial Narrow"/>
          <w:sz w:val="16"/>
          <w:szCs w:val="16"/>
          <w:lang w:val="es-CR"/>
        </w:rPr>
        <w:t xml:space="preserve"> entrevista a poblador de la comunidad San Miguel</w:t>
      </w:r>
      <w:r>
        <w:rPr>
          <w:rFonts w:cs="Arial Narrow"/>
          <w:sz w:val="16"/>
          <w:szCs w:val="16"/>
          <w:lang w:val="es-CR"/>
        </w:rPr>
        <w:t>; e</w:t>
      </w:r>
      <w:r w:rsidRPr="00BC57A2">
        <w:rPr>
          <w:rFonts w:cs="Arial Narrow"/>
          <w:sz w:val="16"/>
          <w:szCs w:val="16"/>
          <w:lang w:val="es-CR"/>
        </w:rPr>
        <w:t xml:space="preserve">xpediente de prueba, anexo K.46 al escrito de solicitudes y argumentos). </w:t>
      </w:r>
      <w:r w:rsidRPr="00BC57A2">
        <w:rPr>
          <w:sz w:val="16"/>
          <w:szCs w:val="16"/>
          <w:lang w:val="es-CR"/>
        </w:rPr>
        <w:t>Además, l</w:t>
      </w:r>
      <w:r w:rsidRPr="00BC57A2">
        <w:rPr>
          <w:rFonts w:cs="Arial Narrow"/>
          <w:sz w:val="16"/>
          <w:szCs w:val="16"/>
          <w:lang w:val="es-CR"/>
        </w:rPr>
        <w:t>os representantes señalaron que existen alambrados sobre una superficie aproximada de 20.000 ha en tierras libres de reclamo indígena que impiden la relocalización y traslados de las familias criollas. Entendieron que la existencia de tales alambrados obstaculiza el traslado de criollos, por lo que afecta derechos de las comunidades. Aclararon que tales alambrados también son ilegales.</w:t>
      </w:r>
    </w:p>
    <w:p w14:paraId="19133BB8" w14:textId="77777777" w:rsidR="0023585A" w:rsidRPr="00BC57A2" w:rsidRDefault="0023585A" w:rsidP="0056309D">
      <w:pPr>
        <w:pStyle w:val="Textonotapie"/>
        <w:rPr>
          <w:sz w:val="16"/>
          <w:szCs w:val="16"/>
          <w:lang w:val="es-CR"/>
        </w:rPr>
      </w:pPr>
    </w:p>
  </w:footnote>
  <w:footnote w:id="279">
    <w:p w14:paraId="11E6CCDA" w14:textId="77777777" w:rsidR="0023585A" w:rsidRPr="00BC57A2" w:rsidRDefault="0023585A" w:rsidP="0056309D">
      <w:pPr>
        <w:pStyle w:val="Textonotapie"/>
        <w:rPr>
          <w:rFonts w:cs="Arial Narrow"/>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Acta de reunión de 15 de diciembre de 2000</w:t>
      </w:r>
      <w:r w:rsidRPr="00BC57A2">
        <w:rPr>
          <w:rFonts w:cs="Arial Narrow"/>
          <w:sz w:val="16"/>
          <w:szCs w:val="16"/>
          <w:lang w:val="es-CR"/>
        </w:rPr>
        <w:t>.</w:t>
      </w:r>
    </w:p>
    <w:p w14:paraId="5E4D73DA" w14:textId="77777777" w:rsidR="0023585A" w:rsidRPr="00BC57A2" w:rsidRDefault="0023585A" w:rsidP="0056309D">
      <w:pPr>
        <w:pStyle w:val="Textonotapie"/>
        <w:rPr>
          <w:sz w:val="16"/>
          <w:szCs w:val="16"/>
          <w:lang w:val="es-CR"/>
        </w:rPr>
      </w:pPr>
    </w:p>
  </w:footnote>
  <w:footnote w:id="280">
    <w:p w14:paraId="5C6255EC" w14:textId="77777777" w:rsidR="0023585A" w:rsidRPr="00BC57A2" w:rsidRDefault="0023585A" w:rsidP="0056309D">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 xml:space="preserve">Dispuso que “en todos los casos de autorizaciones de desmontes y/o aprovechamientos forestales, se verificará </w:t>
      </w:r>
      <w:r w:rsidRPr="00BC57A2">
        <w:rPr>
          <w:i/>
          <w:sz w:val="16"/>
          <w:szCs w:val="16"/>
          <w:lang w:val="es-CR"/>
        </w:rPr>
        <w:t>in situ</w:t>
      </w:r>
      <w:r w:rsidRPr="00BC57A2">
        <w:rPr>
          <w:sz w:val="16"/>
          <w:szCs w:val="16"/>
          <w:lang w:val="es-CR"/>
        </w:rPr>
        <w:t xml:space="preserve"> el volumen y origen del producto acopiado de la especie Palo Santo”, así como la presentación de declaraciones juradas sobre la madera.</w:t>
      </w:r>
    </w:p>
    <w:p w14:paraId="438735DF" w14:textId="77777777" w:rsidR="0023585A" w:rsidRPr="00BC57A2" w:rsidRDefault="0023585A" w:rsidP="0056309D">
      <w:pPr>
        <w:pStyle w:val="Textonotapie"/>
        <w:rPr>
          <w:sz w:val="16"/>
          <w:szCs w:val="16"/>
          <w:lang w:val="es-CR"/>
        </w:rPr>
      </w:pPr>
    </w:p>
  </w:footnote>
  <w:footnote w:id="281">
    <w:p w14:paraId="352A7E82" w14:textId="77777777" w:rsidR="0023585A" w:rsidRPr="00BC57A2" w:rsidRDefault="0023585A" w:rsidP="0056309D">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Informe presentado por Lhaka Honhat con representación del CELS en relación al estado de situación de la demarcación y traslados, deforestación, presencia en la zona por parte del Estado, visita a pobladores relocalizados, reparaciones y consultas sobre proyectos de infraestructura y conflictividad en la zona, desde finales de 2013, de 24 de abril 2014. Expediente de prueba, anexo L. 29 al escrito de solicitudes y argumentos, fs. 34.456 a 34.460.</w:t>
      </w:r>
    </w:p>
    <w:p w14:paraId="3A441A8B" w14:textId="77777777" w:rsidR="0023585A" w:rsidRPr="00BC57A2" w:rsidRDefault="0023585A" w:rsidP="0056309D">
      <w:pPr>
        <w:pStyle w:val="Textonotapie"/>
        <w:rPr>
          <w:sz w:val="16"/>
          <w:szCs w:val="16"/>
          <w:lang w:val="es-CR"/>
        </w:rPr>
      </w:pPr>
    </w:p>
  </w:footnote>
  <w:footnote w:id="282">
    <w:p w14:paraId="61BB0DC0" w14:textId="77777777" w:rsidR="0023585A" w:rsidRPr="00BC57A2" w:rsidRDefault="0023585A" w:rsidP="0056309D">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Respuesta enviada por Lhaka Honhat con representación del CELS a la Comisión, en relación a la información enviada por el Estado el 18 de noviembre de 2014, el 27 de noviembre de 2014. Expediente de prueba, anexo L. 34 al escrito de solicitudes y argumentos, fs. 34.495 a 34.499.</w:t>
      </w:r>
    </w:p>
    <w:p w14:paraId="600B74FC" w14:textId="77777777" w:rsidR="0023585A" w:rsidRPr="00BC57A2" w:rsidRDefault="0023585A" w:rsidP="0056309D">
      <w:pPr>
        <w:pStyle w:val="Textonotapie"/>
        <w:rPr>
          <w:sz w:val="16"/>
          <w:szCs w:val="16"/>
          <w:lang w:val="es-CR"/>
        </w:rPr>
      </w:pPr>
      <w:r w:rsidRPr="00BC57A2">
        <w:rPr>
          <w:sz w:val="16"/>
          <w:szCs w:val="16"/>
          <w:lang w:val="es-CR"/>
        </w:rPr>
        <w:t xml:space="preserve"> </w:t>
      </w:r>
    </w:p>
  </w:footnote>
  <w:footnote w:id="283">
    <w:p w14:paraId="3293D984" w14:textId="77777777" w:rsidR="0023585A" w:rsidRPr="00BC57A2" w:rsidRDefault="0023585A" w:rsidP="0056309D">
      <w:pPr>
        <w:autoSpaceDE w:val="0"/>
        <w:autoSpaceDN w:val="0"/>
        <w:adjustRightInd w:val="0"/>
        <w:spacing w:after="0" w:line="240" w:lineRule="auto"/>
        <w:jc w:val="both"/>
        <w:rPr>
          <w:rFonts w:ascii="Verdana" w:hAnsi="Verdana" w:cs="Arial Narrow"/>
          <w:sz w:val="16"/>
          <w:szCs w:val="16"/>
        </w:rPr>
      </w:pPr>
      <w:r w:rsidRPr="00BC57A2">
        <w:rPr>
          <w:rStyle w:val="Refdenotaalpie"/>
          <w:rFonts w:ascii="Verdana" w:hAnsi="Verdana"/>
          <w:sz w:val="16"/>
          <w:szCs w:val="16"/>
        </w:rPr>
        <w:footnoteRef/>
      </w:r>
      <w:r w:rsidRPr="00BC57A2">
        <w:rPr>
          <w:rFonts w:ascii="Verdana" w:hAnsi="Verdana"/>
          <w:sz w:val="16"/>
          <w:szCs w:val="16"/>
        </w:rPr>
        <w:t xml:space="preserve"> </w:t>
      </w:r>
      <w:r w:rsidRPr="00BC57A2">
        <w:rPr>
          <w:rFonts w:ascii="Verdana" w:hAnsi="Verdana"/>
          <w:sz w:val="16"/>
          <w:szCs w:val="16"/>
        </w:rPr>
        <w:tab/>
      </w:r>
      <w:r w:rsidRPr="00BC57A2">
        <w:rPr>
          <w:rFonts w:ascii="Verdana" w:hAnsi="Verdana" w:cs="Arial Narrow"/>
          <w:sz w:val="16"/>
          <w:szCs w:val="16"/>
        </w:rPr>
        <w:t xml:space="preserve">Informe de ASOCIANA sobre tala ilegal. Expediente de prueba, anexo L.10 al escrito de solicitudes y argumentos, fs. 34.117 a 34.133. El informe indica que hay miembros de las comunidades indígenas que participan de la tala, aclarando que lo hacen como único medio de trabajo, pagado por criollos u otros empresarios. </w:t>
      </w:r>
    </w:p>
    <w:p w14:paraId="6D0C5AFE" w14:textId="77777777" w:rsidR="0023585A" w:rsidRPr="00BC57A2" w:rsidRDefault="0023585A" w:rsidP="0056309D">
      <w:pPr>
        <w:autoSpaceDE w:val="0"/>
        <w:autoSpaceDN w:val="0"/>
        <w:adjustRightInd w:val="0"/>
        <w:spacing w:after="0" w:line="240" w:lineRule="auto"/>
        <w:jc w:val="both"/>
        <w:rPr>
          <w:rFonts w:ascii="Verdana" w:hAnsi="Verdana" w:cs="Arial Narrow"/>
          <w:sz w:val="16"/>
          <w:szCs w:val="16"/>
        </w:rPr>
      </w:pPr>
    </w:p>
  </w:footnote>
  <w:footnote w:id="284">
    <w:p w14:paraId="0E0BAB67" w14:textId="77777777" w:rsidR="0023585A" w:rsidRPr="00BC57A2" w:rsidRDefault="0023585A" w:rsidP="0056309D">
      <w:pPr>
        <w:pStyle w:val="Textonotapie"/>
        <w:rPr>
          <w:rFonts w:cs="Arial Narrow"/>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rFonts w:cs="Arial Narrow"/>
          <w:sz w:val="16"/>
          <w:szCs w:val="16"/>
          <w:lang w:val="es-CR"/>
        </w:rPr>
        <w:t>Acta suscrita por Lhaka Honhat y la OFC de 1 de junio de 2007. Expediente de prueba, anexo L.11 al escrito de solicitudes y argumentos, fs. 34.134 a 34.135.</w:t>
      </w:r>
    </w:p>
    <w:p w14:paraId="70BB3BE6" w14:textId="77777777" w:rsidR="0023585A" w:rsidRPr="00BC57A2" w:rsidRDefault="0023585A" w:rsidP="0056309D">
      <w:pPr>
        <w:pStyle w:val="Textonotapie"/>
        <w:rPr>
          <w:sz w:val="16"/>
          <w:szCs w:val="16"/>
          <w:lang w:val="es-CR"/>
        </w:rPr>
      </w:pPr>
    </w:p>
  </w:footnote>
  <w:footnote w:id="285">
    <w:p w14:paraId="59F5CA35" w14:textId="77777777" w:rsidR="0023585A" w:rsidRPr="00BC57A2" w:rsidRDefault="0023585A" w:rsidP="0056309D">
      <w:pPr>
        <w:pStyle w:val="Prrafodelista"/>
        <w:spacing w:after="0" w:line="240" w:lineRule="auto"/>
        <w:ind w:left="0"/>
        <w:jc w:val="both"/>
        <w:rPr>
          <w:rFonts w:ascii="Verdana" w:hAnsi="Verdana" w:cs="Arial Narrow"/>
          <w:sz w:val="16"/>
          <w:szCs w:val="16"/>
        </w:rPr>
      </w:pPr>
      <w:r w:rsidRPr="00BC57A2">
        <w:rPr>
          <w:rStyle w:val="Refdenotaalpie"/>
          <w:rFonts w:ascii="Verdana" w:hAnsi="Verdana"/>
          <w:sz w:val="16"/>
          <w:szCs w:val="16"/>
        </w:rPr>
        <w:footnoteRef/>
      </w:r>
      <w:r w:rsidRPr="00BC57A2">
        <w:rPr>
          <w:rFonts w:ascii="Verdana" w:hAnsi="Verdana"/>
          <w:sz w:val="16"/>
          <w:szCs w:val="16"/>
        </w:rPr>
        <w:t xml:space="preserve"> </w:t>
      </w:r>
      <w:r w:rsidRPr="00BC57A2">
        <w:rPr>
          <w:rFonts w:ascii="Verdana" w:hAnsi="Verdana"/>
          <w:sz w:val="16"/>
          <w:szCs w:val="16"/>
        </w:rPr>
        <w:tab/>
      </w:r>
      <w:r w:rsidRPr="00BC57A2">
        <w:rPr>
          <w:rFonts w:ascii="Verdana" w:hAnsi="Verdana" w:cs="Arial Narrow"/>
          <w:sz w:val="16"/>
          <w:szCs w:val="16"/>
        </w:rPr>
        <w:t>La obligación de proteger los recursos naturales también había sido asumida por Salta en el acta firmada el 17 de octubre del 2007, en su cláusula cuarta (</w:t>
      </w:r>
      <w:r w:rsidRPr="00BC57A2">
        <w:rPr>
          <w:rFonts w:ascii="Verdana" w:hAnsi="Verdana" w:cs="Arial Narrow"/>
          <w:i/>
          <w:sz w:val="16"/>
          <w:szCs w:val="16"/>
        </w:rPr>
        <w:t>cfr</w:t>
      </w:r>
      <w:r w:rsidRPr="00BC57A2">
        <w:rPr>
          <w:rFonts w:ascii="Verdana" w:hAnsi="Verdana" w:cs="Arial Narrow"/>
          <w:sz w:val="16"/>
          <w:szCs w:val="16"/>
        </w:rPr>
        <w:t>. Acta de 17 de octubre de 2007; expediente de prueba, anexo L.15 al escrito de solicitudes y argumentos, fs. 34.179 a 34.183). Allí, se estableció que “[c]omo resulta imprescindible proteger los recursos naturales de los lotes 55 y 14 para la viabilidad y cumplimiento de este acuerdo las partes comprometen a evitar todo tipo de corte de madera y aprovechamiento forestal de ambos lotes”.</w:t>
      </w:r>
    </w:p>
    <w:p w14:paraId="455B4392" w14:textId="77777777" w:rsidR="0023585A" w:rsidRPr="00BC57A2" w:rsidRDefault="0023585A" w:rsidP="0056309D">
      <w:pPr>
        <w:pStyle w:val="Prrafodelista"/>
        <w:spacing w:after="0" w:line="240" w:lineRule="auto"/>
        <w:ind w:left="0"/>
        <w:jc w:val="both"/>
        <w:rPr>
          <w:rFonts w:ascii="Verdana" w:hAnsi="Verdana" w:cs="Arial Narrow"/>
          <w:sz w:val="16"/>
          <w:szCs w:val="16"/>
        </w:rPr>
      </w:pPr>
    </w:p>
  </w:footnote>
  <w:footnote w:id="286">
    <w:p w14:paraId="593C1C97" w14:textId="77777777" w:rsidR="0023585A" w:rsidRPr="00BC57A2" w:rsidRDefault="0023585A" w:rsidP="0056309D">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Acta de la OFC y Lhaka Honhat de 9 de mayo de 2013. Expediente de prueba, anexos L. 24 al escrito de solicitudes y argumentos, fs. 34.296 a 34.298.</w:t>
      </w:r>
    </w:p>
    <w:p w14:paraId="7221C3EA" w14:textId="77777777" w:rsidR="0023585A" w:rsidRPr="00BC57A2" w:rsidRDefault="0023585A" w:rsidP="0056309D">
      <w:pPr>
        <w:pStyle w:val="Textonotapie"/>
        <w:rPr>
          <w:sz w:val="16"/>
          <w:szCs w:val="16"/>
          <w:lang w:val="es-CR"/>
        </w:rPr>
      </w:pPr>
    </w:p>
  </w:footnote>
  <w:footnote w:id="287">
    <w:p w14:paraId="1465D9E7" w14:textId="77777777" w:rsidR="0023585A" w:rsidRPr="00BC57A2" w:rsidRDefault="0023585A" w:rsidP="0056309D">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Por ejemplo, el 11 de diciembre de 2008 o en febrero de 2009 (</w:t>
      </w:r>
      <w:r w:rsidRPr="00BC57A2">
        <w:rPr>
          <w:i/>
          <w:sz w:val="16"/>
          <w:szCs w:val="16"/>
          <w:lang w:val="es-CR"/>
        </w:rPr>
        <w:t>cfr.</w:t>
      </w:r>
      <w:r w:rsidRPr="00BC57A2">
        <w:rPr>
          <w:sz w:val="16"/>
          <w:szCs w:val="16"/>
          <w:lang w:val="es-CR"/>
        </w:rPr>
        <w:t xml:space="preserve"> Acta de denuncia realizada por Francisco Pérez ante la Secretaría de Política Ambiental y por Calixto Ceballos ante la Policía de la Provincia de Salta. Expediente de prueba, anexos L.16 y L.17 al escrito de solicitudes y argumentos, fs. 34.184 a 34.187).</w:t>
      </w:r>
    </w:p>
    <w:p w14:paraId="226529FE" w14:textId="77777777" w:rsidR="0023585A" w:rsidRPr="00BC57A2" w:rsidRDefault="0023585A" w:rsidP="0056309D">
      <w:pPr>
        <w:pStyle w:val="Textonotapie"/>
        <w:rPr>
          <w:sz w:val="16"/>
          <w:szCs w:val="16"/>
          <w:lang w:val="es-CR"/>
        </w:rPr>
      </w:pPr>
    </w:p>
  </w:footnote>
  <w:footnote w:id="288">
    <w:p w14:paraId="1E08BC28" w14:textId="77777777" w:rsidR="0023585A" w:rsidRPr="00BC57A2" w:rsidRDefault="0023585A" w:rsidP="0056309D">
      <w:pPr>
        <w:pStyle w:val="Textonotapie"/>
        <w:rPr>
          <w:sz w:val="16"/>
          <w:szCs w:val="16"/>
          <w:lang w:val="es-PE"/>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Cfr.</w:t>
      </w:r>
      <w:r w:rsidRPr="00BC57A2">
        <w:rPr>
          <w:sz w:val="16"/>
          <w:szCs w:val="16"/>
          <w:lang w:val="es-CR"/>
        </w:rPr>
        <w:t xml:space="preserve"> </w:t>
      </w:r>
      <w:r w:rsidRPr="00BC57A2">
        <w:rPr>
          <w:i/>
          <w:sz w:val="16"/>
          <w:szCs w:val="16"/>
          <w:lang w:val="es-PE"/>
        </w:rPr>
        <w:t>Caso Muelle Flores Vs. Perú</w:t>
      </w:r>
      <w:r w:rsidRPr="00BC57A2">
        <w:rPr>
          <w:sz w:val="16"/>
          <w:szCs w:val="16"/>
          <w:lang w:val="es-PE"/>
        </w:rPr>
        <w:t xml:space="preserve">, párrs. 174 y 190, y </w:t>
      </w:r>
      <w:r w:rsidRPr="00BC57A2">
        <w:rPr>
          <w:i/>
          <w:sz w:val="16"/>
          <w:szCs w:val="16"/>
          <w:lang w:val="es-PE"/>
        </w:rPr>
        <w:t>Caso Hernández Vs. Argentina</w:t>
      </w:r>
      <w:r w:rsidRPr="00BC57A2">
        <w:rPr>
          <w:sz w:val="16"/>
          <w:szCs w:val="16"/>
          <w:lang w:val="es-PE"/>
        </w:rPr>
        <w:t>, párr. 65.</w:t>
      </w:r>
    </w:p>
    <w:p w14:paraId="50271DED" w14:textId="77777777" w:rsidR="0023585A" w:rsidRPr="00BC57A2" w:rsidRDefault="0023585A" w:rsidP="0056309D">
      <w:pPr>
        <w:pStyle w:val="Textonotapie"/>
        <w:rPr>
          <w:sz w:val="16"/>
          <w:szCs w:val="16"/>
          <w:lang w:val="es-CR"/>
        </w:rPr>
      </w:pPr>
    </w:p>
  </w:footnote>
  <w:footnote w:id="289">
    <w:p w14:paraId="07B3ED4F" w14:textId="7ECE4271" w:rsidR="0023585A" w:rsidRPr="00BC57A2" w:rsidRDefault="0023585A" w:rsidP="0056309D">
      <w:pPr>
        <w:pStyle w:val="Textonotapie"/>
        <w:rPr>
          <w:rFonts w:cs="Cambria"/>
          <w:b/>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Caso Comunidad Indígena Yakye Axa Vs. Paraguay</w:t>
      </w:r>
      <w:r w:rsidRPr="00BC57A2">
        <w:rPr>
          <w:sz w:val="16"/>
          <w:szCs w:val="16"/>
          <w:lang w:val="es-CR"/>
        </w:rPr>
        <w:t>, párr. 163</w:t>
      </w:r>
      <w:r>
        <w:rPr>
          <w:sz w:val="16"/>
          <w:szCs w:val="16"/>
          <w:lang w:val="es-CR"/>
        </w:rPr>
        <w:t>,</w:t>
      </w:r>
      <w:r w:rsidRPr="00BC57A2">
        <w:rPr>
          <w:sz w:val="16"/>
          <w:szCs w:val="16"/>
          <w:lang w:val="es-CR"/>
        </w:rPr>
        <w:t xml:space="preserve"> y </w:t>
      </w:r>
      <w:r w:rsidRPr="00BC57A2">
        <w:rPr>
          <w:i/>
          <w:sz w:val="16"/>
          <w:szCs w:val="16"/>
          <w:lang w:val="es-CR"/>
        </w:rPr>
        <w:t>Medio ambiente y derechos humanos (obligaciones estatales en relación con el medio ambiente en el marco de la protección y garantía de los derechos a la vida y a la integridad personal - interpretación y alcance de los artículos 4.1 y 5.1, en relación con los artículos 1.1 y 2 de la Convención Americana sobre Derechos Humanos). Opinión Consultiva OC-23/17</w:t>
      </w:r>
      <w:r w:rsidRPr="00BC57A2">
        <w:rPr>
          <w:sz w:val="16"/>
          <w:szCs w:val="16"/>
          <w:lang w:val="es-CR"/>
        </w:rPr>
        <w:t xml:space="preserve">, párr. 48. En ese entendimiento, el escrito de </w:t>
      </w:r>
      <w:r w:rsidRPr="00BC57A2">
        <w:rPr>
          <w:i/>
          <w:sz w:val="16"/>
          <w:szCs w:val="16"/>
          <w:lang w:val="es-CR"/>
        </w:rPr>
        <w:t xml:space="preserve">amicus curiae </w:t>
      </w:r>
      <w:r w:rsidRPr="00BC57A2">
        <w:rPr>
          <w:sz w:val="16"/>
          <w:szCs w:val="16"/>
          <w:lang w:val="es-CR"/>
        </w:rPr>
        <w:t>de DPLF y otras organizaciones afirmó que “</w:t>
      </w:r>
      <w:r w:rsidRPr="00BC57A2">
        <w:rPr>
          <w:rFonts w:cs="Cambria"/>
          <w:sz w:val="16"/>
          <w:szCs w:val="16"/>
          <w:lang w:val="es-CR"/>
        </w:rPr>
        <w:t>el derecho al medio ambiente sano, no solo implica la posibilidad de acceder a recursos materiales vitales para la subsistencia y desarrollo económico de pueblos indígenas. Debe considerarse también que existe una conexión especial entre las comunidades, el medio ambiente sano y su cultura. La subsistencia del medio ambiente forma parte de sus actividades religiosas, rituales, formas de vida, creencias y por consecuencia de su derecho más amplio a la vida cultural”.</w:t>
      </w:r>
      <w:r w:rsidRPr="00BC57A2">
        <w:rPr>
          <w:rFonts w:cs="Cambria"/>
          <w:b/>
          <w:sz w:val="16"/>
          <w:szCs w:val="16"/>
          <w:lang w:val="es-CR"/>
        </w:rPr>
        <w:t xml:space="preserve"> </w:t>
      </w:r>
    </w:p>
    <w:p w14:paraId="1CA3ABDE" w14:textId="77777777" w:rsidR="0023585A" w:rsidRPr="00BC57A2" w:rsidRDefault="0023585A" w:rsidP="0056309D">
      <w:pPr>
        <w:pStyle w:val="Textonotapie"/>
        <w:rPr>
          <w:sz w:val="16"/>
          <w:szCs w:val="16"/>
          <w:lang w:val="es-CR"/>
        </w:rPr>
      </w:pPr>
    </w:p>
  </w:footnote>
  <w:footnote w:id="290">
    <w:p w14:paraId="4E053804" w14:textId="77777777" w:rsidR="0023585A" w:rsidRPr="00BC57A2" w:rsidRDefault="0023585A" w:rsidP="0056309D">
      <w:pPr>
        <w:pStyle w:val="Textonotapie"/>
        <w:rPr>
          <w:rFonts w:cs="Cambria"/>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 xml:space="preserve">En igual sentido, </w:t>
      </w:r>
      <w:r w:rsidRPr="00BC57A2">
        <w:rPr>
          <w:rFonts w:cs="Cambria"/>
          <w:sz w:val="16"/>
          <w:szCs w:val="16"/>
          <w:lang w:val="es-CR"/>
        </w:rPr>
        <w:t xml:space="preserve">el escrito de </w:t>
      </w:r>
      <w:r w:rsidRPr="00BC57A2">
        <w:rPr>
          <w:rFonts w:cs="Cambria"/>
          <w:i/>
          <w:sz w:val="16"/>
          <w:szCs w:val="16"/>
          <w:lang w:val="es-CR"/>
        </w:rPr>
        <w:t>amicus curiae</w:t>
      </w:r>
      <w:r w:rsidRPr="00BC57A2">
        <w:rPr>
          <w:rFonts w:cs="Cambria"/>
          <w:sz w:val="16"/>
          <w:szCs w:val="16"/>
          <w:lang w:val="es-CR"/>
        </w:rPr>
        <w:t xml:space="preserve"> de DPLF y otras organizaciones destacó el vínculo entre la alimentación y la titulación adecuada de la tierra. Expresó que si bien la violación del derecho a acceder a alimentos culturalmente adecuados se encuentra estrechamente vinculado a la violación del aspecto territorial, y pueden derivar del mismo acto detonante de responsabilidad estatal (como la omisión de expedir un título de propiedad a favor de la comunidad), es importante mantener una distinción conceptual de ambos aspectos para “percibir de forma holística la gravedad” de la lesión a los derechos. </w:t>
      </w:r>
    </w:p>
    <w:p w14:paraId="3942DF86" w14:textId="77777777" w:rsidR="0023585A" w:rsidRPr="00BC57A2" w:rsidRDefault="0023585A" w:rsidP="0056309D">
      <w:pPr>
        <w:pStyle w:val="Textonotapie"/>
        <w:rPr>
          <w:sz w:val="16"/>
          <w:szCs w:val="16"/>
          <w:lang w:val="es-CR"/>
        </w:rPr>
      </w:pPr>
    </w:p>
  </w:footnote>
  <w:footnote w:id="291">
    <w:p w14:paraId="5585EB00" w14:textId="77777777" w:rsidR="0023585A" w:rsidRPr="00BC57A2" w:rsidRDefault="0023585A" w:rsidP="0056309D">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 xml:space="preserve">Destacó que dicha “ilegalidad” hizo que “otras personas contratasen a los indígenas, como trabajadores mal pagados, para sacar madera de sus propias tierras”, y que las “comunidades se vieron impedidas de llevar adelante un plan de manejo del bosque, y no pudieron gestionar apoyo técnico para planificar su propio ordenamiento territorial”. </w:t>
      </w:r>
    </w:p>
    <w:p w14:paraId="0D95383E" w14:textId="77777777" w:rsidR="0023585A" w:rsidRPr="00BC57A2" w:rsidRDefault="0023585A" w:rsidP="0056309D">
      <w:pPr>
        <w:pStyle w:val="Textonotapie"/>
        <w:spacing w:line="216" w:lineRule="auto"/>
        <w:rPr>
          <w:sz w:val="16"/>
          <w:szCs w:val="16"/>
          <w:lang w:val="es-CR"/>
        </w:rPr>
      </w:pPr>
    </w:p>
  </w:footnote>
  <w:footnote w:id="292">
    <w:p w14:paraId="309B62D0" w14:textId="77777777" w:rsidR="0023585A" w:rsidRPr="00BC57A2" w:rsidRDefault="0023585A">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Artículos 8, 25 y 1.1 de la Convención.</w:t>
      </w:r>
    </w:p>
    <w:p w14:paraId="542A998E" w14:textId="77777777" w:rsidR="0023585A" w:rsidRPr="00BC57A2" w:rsidRDefault="0023585A">
      <w:pPr>
        <w:pStyle w:val="Textonotapie"/>
        <w:rPr>
          <w:sz w:val="16"/>
          <w:szCs w:val="16"/>
          <w:lang w:val="es-CR"/>
        </w:rPr>
      </w:pPr>
    </w:p>
  </w:footnote>
  <w:footnote w:id="293">
    <w:p w14:paraId="0151CE2E" w14:textId="77777777" w:rsidR="0023585A" w:rsidRPr="00BC57A2" w:rsidRDefault="0023585A" w:rsidP="0056309D">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 xml:space="preserve">Explicaron que el 11 de septiembre de 1995, Lhaka Honhat presentó una acción de amparo y una solicitud cautelar para que se suspendan las obras de construcción del puente. Agregaron que los días 8 de noviembre de 1995 y 29 de abril de 1996 la Corte de Justicia de Salta rechazó, respectivamente, la medida cautelar de “no innovar” presentada y el amparo, por entender que el asunto requería mayor “debate y amplitud de prueba” que la permitida por la vía rápida del amparo. Conforme expresaron, el 10 de diciembre de 1997, la Corte Suprema de Justicia de la Nación desestimó un recurso intentado, por entender que no procedía por no atacarse una sentencia definitiva. Los representantes explicaron que “[a] pesar de que la sentencia definitiva se dictó en 1997, para esa fecha la Provincia ya había concluido la construcción del puente sin tomar ningún recaudo a favor de las comunidades indígenas”. </w:t>
      </w:r>
    </w:p>
    <w:p w14:paraId="3A5F7C46" w14:textId="77777777" w:rsidR="0023585A" w:rsidRPr="00BC57A2" w:rsidRDefault="0023585A" w:rsidP="0056309D">
      <w:pPr>
        <w:pStyle w:val="Textonotapie"/>
        <w:rPr>
          <w:sz w:val="16"/>
          <w:szCs w:val="16"/>
          <w:lang w:val="es-CR"/>
        </w:rPr>
      </w:pPr>
    </w:p>
  </w:footnote>
  <w:footnote w:id="294">
    <w:p w14:paraId="7C2F60CB" w14:textId="77777777" w:rsidR="0023585A" w:rsidRPr="00BC57A2" w:rsidRDefault="0023585A" w:rsidP="0056309D">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En noviembre de 1999 Salta dictó la Resolución 423/99, que preveía acciones a fin de adjudicar terrenos (</w:t>
      </w:r>
      <w:r w:rsidRPr="00BC57A2">
        <w:rPr>
          <w:i/>
          <w:sz w:val="16"/>
          <w:szCs w:val="16"/>
          <w:lang w:val="es-CR"/>
        </w:rPr>
        <w:t>supra</w:t>
      </w:r>
      <w:r w:rsidRPr="00BC57A2">
        <w:rPr>
          <w:sz w:val="16"/>
          <w:szCs w:val="16"/>
          <w:lang w:val="es-CR"/>
        </w:rPr>
        <w:t xml:space="preserve"> párr. 65). Los representantes señalaron que, luego de una sentencia de la Corte Suprema de Justicia de la Nación de 15 de junio de 2004, el 8 de mayo de 2007 la Corte de Justicia de Salta declaró la nulidad de la Resolución 423/99 (y del Decreto 461/99). Adujeron que, pese al resultado, la vía judicial no fue “expedita e idónea” pues “tuvieron que pasar alrededor de ocho años para que se dejaran sin efecto los actos administrativos”.</w:t>
      </w:r>
    </w:p>
    <w:p w14:paraId="40A14F78" w14:textId="77777777" w:rsidR="0023585A" w:rsidRPr="00BC57A2" w:rsidRDefault="0023585A" w:rsidP="0056309D">
      <w:pPr>
        <w:pStyle w:val="Textonotapie"/>
        <w:rPr>
          <w:sz w:val="16"/>
          <w:szCs w:val="16"/>
          <w:lang w:val="es-CR"/>
        </w:rPr>
      </w:pPr>
    </w:p>
  </w:footnote>
  <w:footnote w:id="295">
    <w:p w14:paraId="07729506" w14:textId="77777777" w:rsidR="0023585A" w:rsidRPr="00BC57A2" w:rsidRDefault="0023585A" w:rsidP="0056309D">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 xml:space="preserve">Los representantes manifestaron que la ley 7.352, que convocó al referéndum, motivó tres acciones judiciales: una de Lhaka Honhat ante la Corte Suprema de Justicia de la Nación; otra, de una agrupación de derechos humanos local ante la Corte de Justicia de Salta; la tercera, del “gobierno salteño” a través de un “cacique ajeno al conflicto […] y afín políticamente al entonces gobernador”, contra Lhaka Honhat, ante la justicia de Salta, para que Lhaka Honhat desistiera de sus acciones. De acuerdo a lo informado por los representantes, respecto a tales acciones judiciales ocurrió lo que sigue. La primera, una acción “declarativa de certeza”, fue rechazada por la Corte Suprema de Justicia de la Nación el 27 de septiembre de 2005 porque entendió que no estaba en juego la vigencia de la Constitución Nacional y que el Estado Nacional no estaba involucrado, por lo que se declaró incompetente. Respecto a la segunda, fue rechazada el 29 de septiembre de 2005: la Corte de Justicia de Salta afirmó que la ley 7.352 no resultaba arbitraria en forma manifiesta, y no podía “desvanecer[se] la presunción de legalidad que […] ostenta[ba]”. La tercera acción fue acogida favorablemente, el 7 de septiembre de 2005, por un juez de primera instancia, entendiendo que las presentaciones judiciales y extrajudiciales de Lhaka Honhat eran “arbitrarias”. La decisión fue apelada, y la Corte de Justicia de Salta rechazó la apelación el 14 de febrero de 2006, cuatro meses después de realizado el referéndum, indicando que “la cuestión había devenido abstracta”. </w:t>
      </w:r>
    </w:p>
    <w:p w14:paraId="51CBC645" w14:textId="77777777" w:rsidR="0023585A" w:rsidRPr="00BC57A2" w:rsidRDefault="0023585A" w:rsidP="0056309D">
      <w:pPr>
        <w:pStyle w:val="Textonotapie"/>
        <w:rPr>
          <w:sz w:val="16"/>
          <w:szCs w:val="16"/>
          <w:lang w:val="es-CR"/>
        </w:rPr>
      </w:pPr>
    </w:p>
  </w:footnote>
  <w:footnote w:id="296">
    <w:p w14:paraId="11821CA9" w14:textId="77777777" w:rsidR="0023585A" w:rsidRPr="00BC57A2" w:rsidRDefault="0023585A" w:rsidP="0056309D">
      <w:pPr>
        <w:pStyle w:val="Textonotapie"/>
        <w:rPr>
          <w:sz w:val="16"/>
          <w:szCs w:val="16"/>
          <w:lang w:val="es-CR"/>
        </w:rPr>
      </w:pPr>
      <w:r w:rsidRPr="00BC57A2">
        <w:rPr>
          <w:rStyle w:val="Refdenotaalpie"/>
          <w:sz w:val="16"/>
          <w:szCs w:val="16"/>
        </w:rPr>
        <w:footnoteRef/>
      </w:r>
      <w:r w:rsidRPr="00BC57A2">
        <w:rPr>
          <w:sz w:val="16"/>
          <w:szCs w:val="16"/>
          <w:lang w:val="es-AR"/>
        </w:rPr>
        <w:t xml:space="preserve"> </w:t>
      </w:r>
      <w:r w:rsidRPr="00BC57A2">
        <w:rPr>
          <w:sz w:val="16"/>
          <w:szCs w:val="16"/>
          <w:lang w:val="es-AR"/>
        </w:rPr>
        <w:tab/>
      </w:r>
      <w:r w:rsidRPr="00BC57A2">
        <w:rPr>
          <w:i/>
          <w:sz w:val="16"/>
          <w:szCs w:val="16"/>
          <w:lang w:val="es-CR"/>
        </w:rPr>
        <w:t>Cfr. Caso del Tribunal Constitucional Vs. Perú. Fondo, Reparaciones y Costas</w:t>
      </w:r>
      <w:r w:rsidRPr="00BC57A2">
        <w:rPr>
          <w:sz w:val="16"/>
          <w:szCs w:val="16"/>
          <w:lang w:val="es-CR"/>
        </w:rPr>
        <w:t xml:space="preserve">. Sentencia de 31 de enero de 2001, Serie C No. 71, párr. 69, párr. 108, y </w:t>
      </w:r>
      <w:r w:rsidRPr="00BC57A2">
        <w:rPr>
          <w:rStyle w:val="Textoennegrita"/>
          <w:b w:val="0"/>
          <w:i/>
          <w:color w:val="000000"/>
          <w:sz w:val="16"/>
          <w:szCs w:val="16"/>
          <w:shd w:val="clear" w:color="auto" w:fill="FFFFFF"/>
          <w:lang w:val="es-CR"/>
        </w:rPr>
        <w:t>Caso López y otros Vs. Argentina. Excepciones Preliminares, Fondo, Reparaciones y Costas.</w:t>
      </w:r>
      <w:r w:rsidRPr="00BC57A2">
        <w:rPr>
          <w:rStyle w:val="Textoennegrita"/>
          <w:b w:val="0"/>
          <w:color w:val="000000"/>
          <w:sz w:val="16"/>
          <w:szCs w:val="16"/>
          <w:shd w:val="clear" w:color="auto" w:fill="FFFFFF"/>
          <w:lang w:val="es-CR"/>
        </w:rPr>
        <w:t xml:space="preserve"> Sentencia de 25 de noviembre de 2019. Serie C No. 396, párr. 199</w:t>
      </w:r>
      <w:r w:rsidRPr="00BC57A2">
        <w:rPr>
          <w:sz w:val="16"/>
          <w:szCs w:val="16"/>
          <w:lang w:val="es-CR"/>
        </w:rPr>
        <w:t>.</w:t>
      </w:r>
    </w:p>
    <w:p w14:paraId="47923FD5" w14:textId="77777777" w:rsidR="0023585A" w:rsidRPr="00BC57A2" w:rsidRDefault="0023585A" w:rsidP="0056309D">
      <w:pPr>
        <w:pStyle w:val="Textonotapie"/>
        <w:rPr>
          <w:sz w:val="16"/>
          <w:szCs w:val="16"/>
          <w:lang w:val="es-AR"/>
        </w:rPr>
      </w:pPr>
    </w:p>
  </w:footnote>
  <w:footnote w:id="297">
    <w:p w14:paraId="50A7B04F" w14:textId="77777777" w:rsidR="0023585A" w:rsidRPr="00BC57A2" w:rsidRDefault="0023585A" w:rsidP="0056309D">
      <w:pPr>
        <w:shd w:val="clear" w:color="auto" w:fill="FFFFFF"/>
        <w:spacing w:after="0" w:line="240" w:lineRule="auto"/>
        <w:jc w:val="both"/>
        <w:rPr>
          <w:rFonts w:ascii="Verdana" w:hAnsi="Verdana" w:cs="Tahoma"/>
          <w:sz w:val="16"/>
          <w:szCs w:val="16"/>
        </w:rPr>
      </w:pPr>
      <w:r w:rsidRPr="00BC57A2">
        <w:rPr>
          <w:rStyle w:val="Refdenotaalpie"/>
          <w:rFonts w:ascii="Verdana" w:hAnsi="Verdana"/>
          <w:sz w:val="16"/>
          <w:szCs w:val="16"/>
        </w:rPr>
        <w:footnoteRef/>
      </w:r>
      <w:r w:rsidRPr="00BC57A2">
        <w:rPr>
          <w:rFonts w:ascii="Verdana" w:hAnsi="Verdana" w:cs="Tahoma"/>
          <w:sz w:val="16"/>
          <w:szCs w:val="16"/>
        </w:rPr>
        <w:t xml:space="preserve"> </w:t>
      </w:r>
      <w:r w:rsidRPr="00BC57A2">
        <w:rPr>
          <w:rFonts w:ascii="Verdana" w:hAnsi="Verdana" w:cs="Tahoma"/>
          <w:sz w:val="16"/>
          <w:szCs w:val="16"/>
        </w:rPr>
        <w:tab/>
      </w:r>
      <w:r w:rsidRPr="00BC57A2">
        <w:rPr>
          <w:rFonts w:ascii="Verdana" w:hAnsi="Verdana"/>
          <w:i/>
          <w:sz w:val="16"/>
          <w:szCs w:val="16"/>
        </w:rPr>
        <w:t>Cfr. Caso Mejía Idrovo Vs. Ecuador. Excepciones Preliminares, Fondo, Reparaciones y Costas</w:t>
      </w:r>
      <w:r w:rsidRPr="00BC57A2">
        <w:rPr>
          <w:rFonts w:ascii="Verdana" w:hAnsi="Verdana"/>
          <w:sz w:val="16"/>
          <w:szCs w:val="16"/>
        </w:rPr>
        <w:t xml:space="preserve">. Sentencia de 5 de julio de 2011, Serie C No. 228, párr. 95, y </w:t>
      </w:r>
      <w:r w:rsidRPr="00BC57A2">
        <w:rPr>
          <w:rStyle w:val="Textoennegrita"/>
          <w:rFonts w:ascii="Verdana" w:hAnsi="Verdana"/>
          <w:b w:val="0"/>
          <w:i/>
          <w:color w:val="000000"/>
          <w:sz w:val="16"/>
          <w:szCs w:val="16"/>
          <w:shd w:val="clear" w:color="auto" w:fill="FFFFFF"/>
        </w:rPr>
        <w:t>Caso López y otros Vs. Argentina</w:t>
      </w:r>
      <w:r w:rsidRPr="00BC57A2">
        <w:rPr>
          <w:rStyle w:val="Textoennegrita"/>
          <w:rFonts w:ascii="Verdana" w:hAnsi="Verdana"/>
          <w:b w:val="0"/>
          <w:color w:val="000000"/>
          <w:sz w:val="16"/>
          <w:szCs w:val="16"/>
          <w:shd w:val="clear" w:color="auto" w:fill="FFFFFF"/>
        </w:rPr>
        <w:t>, párr. 209</w:t>
      </w:r>
      <w:r w:rsidRPr="00751A20">
        <w:rPr>
          <w:rFonts w:ascii="Verdana" w:hAnsi="Verdana" w:cs="Tahoma"/>
          <w:sz w:val="16"/>
          <w:szCs w:val="16"/>
        </w:rPr>
        <w:t>.</w:t>
      </w:r>
    </w:p>
    <w:p w14:paraId="4C23B00C" w14:textId="77777777" w:rsidR="0023585A" w:rsidRPr="00BC57A2" w:rsidRDefault="0023585A" w:rsidP="0056309D">
      <w:pPr>
        <w:shd w:val="clear" w:color="auto" w:fill="FFFFFF"/>
        <w:spacing w:after="0" w:line="240" w:lineRule="auto"/>
        <w:jc w:val="both"/>
        <w:rPr>
          <w:rFonts w:ascii="Verdana" w:hAnsi="Verdana" w:cs="Tahoma"/>
          <w:sz w:val="16"/>
          <w:szCs w:val="16"/>
        </w:rPr>
      </w:pPr>
    </w:p>
  </w:footnote>
  <w:footnote w:id="298">
    <w:p w14:paraId="1025A50A" w14:textId="77777777" w:rsidR="0023585A" w:rsidRPr="00BC57A2" w:rsidRDefault="0023585A" w:rsidP="0056309D">
      <w:pPr>
        <w:pStyle w:val="Textonotapie"/>
        <w:rPr>
          <w:rStyle w:val="Textoennegrita"/>
          <w:b w:val="0"/>
          <w:color w:val="000000"/>
          <w:sz w:val="16"/>
          <w:szCs w:val="16"/>
          <w:shd w:val="clear" w:color="auto" w:fill="FFFFFF"/>
          <w:lang w:val="es-CR"/>
        </w:rPr>
      </w:pPr>
      <w:r w:rsidRPr="00BC57A2">
        <w:rPr>
          <w:rStyle w:val="Refdenotaalpie"/>
          <w:sz w:val="16"/>
          <w:szCs w:val="16"/>
        </w:rPr>
        <w:footnoteRef/>
      </w:r>
      <w:r w:rsidRPr="00BC57A2">
        <w:rPr>
          <w:sz w:val="16"/>
          <w:szCs w:val="16"/>
          <w:lang w:val="es-AR"/>
        </w:rPr>
        <w:t xml:space="preserve"> </w:t>
      </w:r>
      <w:r w:rsidRPr="00BC57A2">
        <w:rPr>
          <w:sz w:val="16"/>
          <w:szCs w:val="16"/>
          <w:lang w:val="es-AR"/>
        </w:rPr>
        <w:tab/>
      </w:r>
      <w:r w:rsidRPr="00BC57A2">
        <w:rPr>
          <w:i/>
          <w:sz w:val="16"/>
          <w:szCs w:val="16"/>
          <w:lang w:val="es-CR"/>
        </w:rPr>
        <w:t>Cfr</w:t>
      </w:r>
      <w:r w:rsidRPr="00BC57A2">
        <w:rPr>
          <w:sz w:val="16"/>
          <w:szCs w:val="16"/>
          <w:lang w:val="es-CR"/>
        </w:rPr>
        <w:t xml:space="preserve">. </w:t>
      </w:r>
      <w:r w:rsidRPr="00BC57A2">
        <w:rPr>
          <w:i/>
          <w:sz w:val="16"/>
          <w:szCs w:val="16"/>
          <w:lang w:val="es-CR"/>
        </w:rPr>
        <w:t>Caso Velásquez Rodríguez Vs. Honduras. Excepciones Preliminares.</w:t>
      </w:r>
      <w:r w:rsidRPr="00BC57A2">
        <w:rPr>
          <w:sz w:val="16"/>
          <w:szCs w:val="16"/>
          <w:lang w:val="es-CR"/>
        </w:rPr>
        <w:t xml:space="preserve"> Sentencia de 26 de junio de 1987. Serie C No. 1, párr. 91, y </w:t>
      </w:r>
      <w:r w:rsidRPr="00BC57A2">
        <w:rPr>
          <w:rStyle w:val="Textoennegrita"/>
          <w:b w:val="0"/>
          <w:i/>
          <w:color w:val="000000"/>
          <w:sz w:val="16"/>
          <w:szCs w:val="16"/>
          <w:shd w:val="clear" w:color="auto" w:fill="FFFFFF"/>
          <w:lang w:val="es-CR"/>
        </w:rPr>
        <w:t>Caso Gómez Virula y otros Vs. Guatemala. Excepción Preliminar, Fondo, Reparaciones y Costas.</w:t>
      </w:r>
      <w:r w:rsidRPr="00BC57A2">
        <w:rPr>
          <w:rStyle w:val="Textoennegrita"/>
          <w:b w:val="0"/>
          <w:color w:val="000000"/>
          <w:sz w:val="16"/>
          <w:szCs w:val="16"/>
          <w:shd w:val="clear" w:color="auto" w:fill="FFFFFF"/>
          <w:lang w:val="es-CR"/>
        </w:rPr>
        <w:t xml:space="preserve"> Sentencia de 21 de noviembre de 2019. Serie C No. 393, párr. 64.</w:t>
      </w:r>
    </w:p>
    <w:p w14:paraId="0F391A99" w14:textId="77777777" w:rsidR="0023585A" w:rsidRPr="00BC57A2" w:rsidRDefault="0023585A" w:rsidP="0056309D">
      <w:pPr>
        <w:pStyle w:val="Textonotapie"/>
        <w:rPr>
          <w:sz w:val="16"/>
          <w:szCs w:val="16"/>
          <w:lang w:val="es-AR"/>
        </w:rPr>
      </w:pPr>
      <w:r w:rsidRPr="00BC57A2">
        <w:rPr>
          <w:rFonts w:cs="Tahoma"/>
          <w:sz w:val="16"/>
          <w:szCs w:val="16"/>
          <w:shd w:val="clear" w:color="auto" w:fill="FFFFFF"/>
          <w:lang w:val="es-AR"/>
        </w:rPr>
        <w:t>.</w:t>
      </w:r>
    </w:p>
  </w:footnote>
  <w:footnote w:id="299">
    <w:p w14:paraId="1CBE0845" w14:textId="77777777" w:rsidR="0023585A" w:rsidRPr="00BC57A2" w:rsidRDefault="0023585A" w:rsidP="0056309D">
      <w:pPr>
        <w:pStyle w:val="Textonotapie"/>
        <w:rPr>
          <w:rFonts w:cs="Tahoma"/>
          <w:sz w:val="16"/>
          <w:szCs w:val="16"/>
          <w:shd w:val="clear" w:color="auto" w:fill="FFFFFF"/>
          <w:lang w:val="es-AR"/>
        </w:rPr>
      </w:pPr>
      <w:r w:rsidRPr="00BC57A2">
        <w:rPr>
          <w:rStyle w:val="Refdenotaalpie"/>
          <w:sz w:val="16"/>
          <w:szCs w:val="16"/>
        </w:rPr>
        <w:footnoteRef/>
      </w:r>
      <w:r w:rsidRPr="00BC57A2">
        <w:rPr>
          <w:sz w:val="16"/>
          <w:szCs w:val="16"/>
          <w:lang w:val="es-AR"/>
        </w:rPr>
        <w:t xml:space="preserve"> </w:t>
      </w:r>
      <w:r w:rsidRPr="00BC57A2">
        <w:rPr>
          <w:sz w:val="16"/>
          <w:szCs w:val="16"/>
          <w:lang w:val="es-AR"/>
        </w:rPr>
        <w:tab/>
      </w:r>
      <w:r w:rsidRPr="00BC57A2">
        <w:rPr>
          <w:rFonts w:cs="Tahoma"/>
          <w:i/>
          <w:sz w:val="16"/>
          <w:szCs w:val="16"/>
          <w:shd w:val="clear" w:color="auto" w:fill="FFFFFF"/>
          <w:lang w:val="es-AR"/>
        </w:rPr>
        <w:t xml:space="preserve">Caso Goiburú y otros Vs. Paraguay. Fondo, Reparaciones y Costas. </w:t>
      </w:r>
      <w:r w:rsidRPr="00BC57A2">
        <w:rPr>
          <w:rFonts w:cs="Tahoma"/>
          <w:sz w:val="16"/>
          <w:szCs w:val="16"/>
          <w:shd w:val="clear" w:color="auto" w:fill="FFFFFF"/>
          <w:lang w:val="es-AR"/>
        </w:rPr>
        <w:t xml:space="preserve">Sentencia de 22 de septiembre de 2006. Serie C No. 153, párr. 120, y </w:t>
      </w:r>
      <w:r w:rsidRPr="00BC57A2">
        <w:rPr>
          <w:rFonts w:cs="Tahoma"/>
          <w:i/>
          <w:sz w:val="16"/>
          <w:szCs w:val="16"/>
          <w:shd w:val="clear" w:color="auto" w:fill="FFFFFF"/>
          <w:lang w:val="es-AR"/>
        </w:rPr>
        <w:t>Caso García Lucero y otras Vs. Chile. Excepción Preliminar, Fondo y Reparaciones.</w:t>
      </w:r>
      <w:r w:rsidRPr="00BC57A2">
        <w:rPr>
          <w:rFonts w:cs="Tahoma"/>
          <w:sz w:val="16"/>
          <w:szCs w:val="16"/>
          <w:shd w:val="clear" w:color="auto" w:fill="FFFFFF"/>
          <w:lang w:val="es-AR"/>
        </w:rPr>
        <w:t xml:space="preserve"> Sentencia de 28 de agosto de 2013. Serie C No. 267, párr. 182.</w:t>
      </w:r>
    </w:p>
    <w:p w14:paraId="41500ABF" w14:textId="77777777" w:rsidR="0023585A" w:rsidRPr="00BC57A2" w:rsidRDefault="0023585A" w:rsidP="0056309D">
      <w:pPr>
        <w:pStyle w:val="Textonotapie"/>
        <w:rPr>
          <w:sz w:val="16"/>
          <w:szCs w:val="16"/>
          <w:lang w:val="es-AR"/>
        </w:rPr>
      </w:pPr>
    </w:p>
  </w:footnote>
  <w:footnote w:id="300">
    <w:p w14:paraId="36B90666" w14:textId="77777777" w:rsidR="0023585A" w:rsidRPr="00BC57A2" w:rsidRDefault="0023585A" w:rsidP="0056309D">
      <w:pPr>
        <w:pStyle w:val="Textonotapie"/>
        <w:rPr>
          <w:rFonts w:cs="Tahoma"/>
          <w:b/>
          <w:sz w:val="16"/>
          <w:szCs w:val="16"/>
          <w:shd w:val="clear" w:color="auto" w:fill="FFFFFF"/>
          <w:lang w:val="es-AR"/>
        </w:rPr>
      </w:pPr>
      <w:r w:rsidRPr="00BC57A2">
        <w:rPr>
          <w:rStyle w:val="Refdenotaalpie"/>
          <w:sz w:val="16"/>
          <w:szCs w:val="16"/>
        </w:rPr>
        <w:footnoteRef/>
      </w:r>
      <w:r w:rsidRPr="00BC57A2">
        <w:rPr>
          <w:sz w:val="16"/>
          <w:szCs w:val="16"/>
          <w:lang w:val="es-AR"/>
        </w:rPr>
        <w:t xml:space="preserve"> </w:t>
      </w:r>
      <w:r w:rsidRPr="00BC57A2">
        <w:rPr>
          <w:sz w:val="16"/>
          <w:szCs w:val="16"/>
          <w:lang w:val="es-AR"/>
        </w:rPr>
        <w:tab/>
      </w:r>
      <w:r w:rsidRPr="00BC57A2">
        <w:rPr>
          <w:rStyle w:val="Textoennegrita"/>
          <w:b w:val="0"/>
          <w:i/>
          <w:color w:val="000000"/>
          <w:sz w:val="16"/>
          <w:szCs w:val="16"/>
          <w:shd w:val="clear" w:color="auto" w:fill="FFFFFF"/>
          <w:lang w:val="es-CR"/>
        </w:rPr>
        <w:t>Caso Castañeda Gutman Vs. México. Excepciones Preliminares, Fondo, Reparaciones y Costas.</w:t>
      </w:r>
      <w:r w:rsidRPr="00BC57A2">
        <w:rPr>
          <w:rStyle w:val="Textoennegrita"/>
          <w:b w:val="0"/>
          <w:color w:val="000000"/>
          <w:sz w:val="16"/>
          <w:szCs w:val="16"/>
          <w:shd w:val="clear" w:color="auto" w:fill="FFFFFF"/>
          <w:lang w:val="es-CR"/>
        </w:rPr>
        <w:t xml:space="preserve"> Sentencia de 6 de agosto de 2008. Serie C No. 184, párr. 101</w:t>
      </w:r>
      <w:r w:rsidRPr="00751A20">
        <w:rPr>
          <w:rFonts w:cs="Tahoma"/>
          <w:sz w:val="16"/>
          <w:szCs w:val="16"/>
          <w:shd w:val="clear" w:color="auto" w:fill="FFFFFF"/>
          <w:lang w:val="es-AR"/>
        </w:rPr>
        <w:t>.</w:t>
      </w:r>
      <w:r w:rsidRPr="00BC57A2">
        <w:rPr>
          <w:rFonts w:cs="Tahoma"/>
          <w:b/>
          <w:sz w:val="16"/>
          <w:szCs w:val="16"/>
          <w:shd w:val="clear" w:color="auto" w:fill="FFFFFF"/>
          <w:lang w:val="es-AR"/>
        </w:rPr>
        <w:t xml:space="preserve"> </w:t>
      </w:r>
    </w:p>
    <w:p w14:paraId="733735B1" w14:textId="77777777" w:rsidR="0023585A" w:rsidRPr="00BC57A2" w:rsidRDefault="0023585A" w:rsidP="0056309D">
      <w:pPr>
        <w:pStyle w:val="Textonotapie"/>
        <w:rPr>
          <w:sz w:val="16"/>
          <w:szCs w:val="16"/>
          <w:lang w:val="es-AR"/>
        </w:rPr>
      </w:pPr>
    </w:p>
  </w:footnote>
  <w:footnote w:id="301">
    <w:p w14:paraId="2813C1CF" w14:textId="77777777" w:rsidR="0023585A" w:rsidRPr="00BC57A2" w:rsidRDefault="0023585A" w:rsidP="0056309D">
      <w:pPr>
        <w:pStyle w:val="Textonotapie"/>
        <w:rPr>
          <w:rFonts w:cs="Tahoma"/>
          <w:sz w:val="16"/>
          <w:szCs w:val="16"/>
          <w:shd w:val="clear" w:color="auto" w:fill="FFFFFF"/>
          <w:lang w:val="es-AR"/>
        </w:rPr>
      </w:pPr>
      <w:r w:rsidRPr="00BC57A2">
        <w:rPr>
          <w:rStyle w:val="Refdenotaalpie"/>
          <w:sz w:val="16"/>
          <w:szCs w:val="16"/>
        </w:rPr>
        <w:footnoteRef/>
      </w:r>
      <w:r w:rsidRPr="00BC57A2">
        <w:rPr>
          <w:sz w:val="16"/>
          <w:szCs w:val="16"/>
          <w:lang w:val="es-AR"/>
        </w:rPr>
        <w:t xml:space="preserve"> </w:t>
      </w:r>
      <w:r w:rsidRPr="00BC57A2">
        <w:rPr>
          <w:sz w:val="16"/>
          <w:szCs w:val="16"/>
          <w:lang w:val="es-AR"/>
        </w:rPr>
        <w:tab/>
      </w:r>
      <w:r w:rsidRPr="00BC57A2">
        <w:rPr>
          <w:rFonts w:cs="Tahoma"/>
          <w:i/>
          <w:sz w:val="16"/>
          <w:szCs w:val="16"/>
          <w:shd w:val="clear" w:color="auto" w:fill="FFFFFF"/>
          <w:lang w:val="es-AR"/>
        </w:rPr>
        <w:t xml:space="preserve">Cfr. Caso Cantos Vs. Argentina. Fondo, Reparaciones y Costas. </w:t>
      </w:r>
      <w:r w:rsidRPr="00BC57A2">
        <w:rPr>
          <w:rFonts w:cs="Tahoma"/>
          <w:sz w:val="16"/>
          <w:szCs w:val="16"/>
          <w:shd w:val="clear" w:color="auto" w:fill="FFFFFF"/>
          <w:lang w:val="es-AR"/>
        </w:rPr>
        <w:t xml:space="preserve">Sentencia de 28 de noviembre de 2002. Serie C No. 97, párr. 57. En el mismo sentido, señalando que la responsabilidad estatal frente al derecho a la protección judicial implica la emisión de una decisión, </w:t>
      </w:r>
      <w:r w:rsidRPr="00BC57A2">
        <w:rPr>
          <w:rFonts w:cs="Tahoma"/>
          <w:i/>
          <w:sz w:val="16"/>
          <w:szCs w:val="16"/>
          <w:shd w:val="clear" w:color="auto" w:fill="FFFFFF"/>
          <w:lang w:val="es-AR"/>
        </w:rPr>
        <w:t>Caso Asociación Nacional de Cesantes y Jubilados de la Superintendencia Nacional de Administración Tributaria (ANCEJUB-SUNAT) Vs. Perú</w:t>
      </w:r>
      <w:r w:rsidRPr="00BC57A2">
        <w:rPr>
          <w:rFonts w:cs="Tahoma"/>
          <w:sz w:val="16"/>
          <w:szCs w:val="16"/>
          <w:shd w:val="clear" w:color="auto" w:fill="FFFFFF"/>
          <w:lang w:val="es-AR"/>
        </w:rPr>
        <w:t>, párr. 103.</w:t>
      </w:r>
    </w:p>
    <w:p w14:paraId="18FEFB71" w14:textId="77777777" w:rsidR="0023585A" w:rsidRPr="00BC57A2" w:rsidRDefault="0023585A" w:rsidP="0056309D">
      <w:pPr>
        <w:pStyle w:val="Textonotapie"/>
        <w:rPr>
          <w:sz w:val="16"/>
          <w:szCs w:val="16"/>
          <w:lang w:val="es-AR"/>
        </w:rPr>
      </w:pPr>
    </w:p>
  </w:footnote>
  <w:footnote w:id="302">
    <w:p w14:paraId="0900DE58" w14:textId="77777777" w:rsidR="0023585A" w:rsidRPr="00BC57A2" w:rsidRDefault="0023585A" w:rsidP="0056309D">
      <w:pPr>
        <w:pStyle w:val="Textonotapie"/>
        <w:rPr>
          <w:rFonts w:cs="Arial Narrow"/>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rFonts w:cs="Arial Narrow"/>
          <w:sz w:val="16"/>
          <w:szCs w:val="16"/>
          <w:lang w:val="es-CR"/>
        </w:rPr>
        <w:t xml:space="preserve">Presentación de amparo de 11 de septiembre de 1995. Expediente de prueba, anexo I.3 al escrito de solicitudes y argumentos, fs. 31.823 a 31.844. </w:t>
      </w:r>
    </w:p>
    <w:p w14:paraId="015E839B" w14:textId="77777777" w:rsidR="0023585A" w:rsidRPr="00BC57A2" w:rsidRDefault="0023585A" w:rsidP="0056309D">
      <w:pPr>
        <w:pStyle w:val="Textonotapie"/>
        <w:rPr>
          <w:sz w:val="16"/>
          <w:szCs w:val="16"/>
          <w:lang w:val="es-CR"/>
        </w:rPr>
      </w:pPr>
    </w:p>
  </w:footnote>
  <w:footnote w:id="303">
    <w:p w14:paraId="21EB762D" w14:textId="77777777" w:rsidR="0023585A" w:rsidRPr="00BC57A2" w:rsidRDefault="0023585A" w:rsidP="0056309D">
      <w:pPr>
        <w:pStyle w:val="Textonotapie"/>
        <w:rPr>
          <w:rFonts w:cs="Arial Narrow"/>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 xml:space="preserve">Petición inicial de 4 de agosto de 1998. </w:t>
      </w:r>
      <w:r w:rsidRPr="00BC57A2">
        <w:rPr>
          <w:rFonts w:cs="Arial Narrow"/>
          <w:sz w:val="16"/>
          <w:szCs w:val="16"/>
          <w:lang w:val="es-CR"/>
        </w:rPr>
        <w:t>Expediente de prueba, anexo 2 al Informe de Fondo, fs. 7 a 33.</w:t>
      </w:r>
    </w:p>
    <w:p w14:paraId="61215DE9" w14:textId="77777777" w:rsidR="0023585A" w:rsidRPr="00BC57A2" w:rsidRDefault="0023585A" w:rsidP="0056309D">
      <w:pPr>
        <w:pStyle w:val="Textonotapie"/>
        <w:rPr>
          <w:sz w:val="16"/>
          <w:szCs w:val="16"/>
          <w:lang w:val="es-CR"/>
        </w:rPr>
      </w:pPr>
    </w:p>
  </w:footnote>
  <w:footnote w:id="304">
    <w:p w14:paraId="581C9683" w14:textId="77777777" w:rsidR="0023585A" w:rsidRPr="00BC57A2" w:rsidRDefault="0023585A" w:rsidP="0056309D">
      <w:pPr>
        <w:spacing w:after="0" w:line="240" w:lineRule="auto"/>
        <w:jc w:val="both"/>
        <w:rPr>
          <w:rFonts w:ascii="Verdana" w:hAnsi="Verdana"/>
          <w:sz w:val="16"/>
          <w:szCs w:val="16"/>
          <w:lang w:val="es-ES"/>
        </w:rPr>
      </w:pPr>
      <w:r w:rsidRPr="00BC57A2">
        <w:rPr>
          <w:rStyle w:val="Refdenotaalpie"/>
          <w:rFonts w:ascii="Verdana" w:hAnsi="Verdana"/>
          <w:sz w:val="16"/>
          <w:szCs w:val="16"/>
        </w:rPr>
        <w:footnoteRef/>
      </w:r>
      <w:r w:rsidRPr="00BC57A2">
        <w:rPr>
          <w:rFonts w:ascii="Verdana" w:hAnsi="Verdana"/>
          <w:sz w:val="16"/>
          <w:szCs w:val="16"/>
          <w:lang w:val="es-CR"/>
        </w:rPr>
        <w:t xml:space="preserve"> </w:t>
      </w:r>
      <w:r w:rsidRPr="00BC57A2">
        <w:rPr>
          <w:rFonts w:ascii="Verdana" w:hAnsi="Verdana"/>
          <w:sz w:val="16"/>
          <w:szCs w:val="16"/>
          <w:lang w:val="es-CR"/>
        </w:rPr>
        <w:tab/>
      </w:r>
      <w:r w:rsidRPr="00BC57A2">
        <w:rPr>
          <w:rFonts w:ascii="Verdana" w:hAnsi="Verdana"/>
          <w:sz w:val="16"/>
          <w:szCs w:val="16"/>
          <w:lang w:val="es-ES"/>
        </w:rPr>
        <w:t>Antes Lhaka Honhat había presentado un recurso Administrativo contra dicha resolución, que fue rechazado (</w:t>
      </w:r>
      <w:r w:rsidRPr="00BC57A2">
        <w:rPr>
          <w:rFonts w:ascii="Verdana" w:hAnsi="Verdana"/>
          <w:i/>
          <w:sz w:val="16"/>
          <w:szCs w:val="16"/>
          <w:lang w:val="es-ES"/>
        </w:rPr>
        <w:t>cfr.</w:t>
      </w:r>
      <w:r w:rsidRPr="00BC57A2">
        <w:rPr>
          <w:rFonts w:ascii="Verdana" w:hAnsi="Verdana"/>
          <w:sz w:val="16"/>
          <w:szCs w:val="16"/>
          <w:lang w:val="es-ES"/>
        </w:rPr>
        <w:t xml:space="preserve"> </w:t>
      </w:r>
      <w:r w:rsidRPr="00BC57A2">
        <w:rPr>
          <w:rFonts w:ascii="Verdana" w:hAnsi="Verdana" w:cs="Arial"/>
          <w:color w:val="131313"/>
          <w:sz w:val="16"/>
          <w:szCs w:val="16"/>
          <w:lang w:val="es-CR"/>
        </w:rPr>
        <w:t>Resolución 500</w:t>
      </w:r>
      <w:r w:rsidRPr="00BC57A2">
        <w:rPr>
          <w:rFonts w:ascii="Verdana" w:hAnsi="Verdana" w:cs="Arial"/>
          <w:color w:val="4D4D4D"/>
          <w:sz w:val="16"/>
          <w:szCs w:val="16"/>
          <w:lang w:val="es-CR"/>
        </w:rPr>
        <w:t>/</w:t>
      </w:r>
      <w:r w:rsidRPr="00BC57A2">
        <w:rPr>
          <w:rFonts w:ascii="Verdana" w:hAnsi="Verdana" w:cs="Arial"/>
          <w:color w:val="282828"/>
          <w:sz w:val="16"/>
          <w:szCs w:val="16"/>
          <w:lang w:val="es-CR"/>
        </w:rPr>
        <w:t xml:space="preserve">99 </w:t>
      </w:r>
      <w:r w:rsidRPr="00BC57A2">
        <w:rPr>
          <w:rFonts w:ascii="Verdana" w:hAnsi="Verdana" w:cs="Arial"/>
          <w:color w:val="131313"/>
          <w:sz w:val="16"/>
          <w:szCs w:val="16"/>
          <w:lang w:val="es-CR"/>
        </w:rPr>
        <w:t xml:space="preserve">de la </w:t>
      </w:r>
      <w:r w:rsidRPr="00BC57A2">
        <w:rPr>
          <w:rFonts w:ascii="Verdana" w:hAnsi="Verdana" w:cs="Arial"/>
          <w:color w:val="282828"/>
          <w:sz w:val="16"/>
          <w:szCs w:val="16"/>
          <w:lang w:val="es-CR"/>
        </w:rPr>
        <w:t xml:space="preserve">Secretaría </w:t>
      </w:r>
      <w:r w:rsidRPr="00BC57A2">
        <w:rPr>
          <w:rFonts w:ascii="Verdana" w:hAnsi="Verdana" w:cs="Arial"/>
          <w:color w:val="131313"/>
          <w:sz w:val="16"/>
          <w:szCs w:val="16"/>
          <w:lang w:val="es-CR"/>
        </w:rPr>
        <w:t>General de Gobernación;</w:t>
      </w:r>
      <w:r w:rsidRPr="00BC57A2">
        <w:rPr>
          <w:rFonts w:ascii="Verdana" w:hAnsi="Verdana"/>
          <w:sz w:val="16"/>
          <w:szCs w:val="16"/>
          <w:lang w:val="es-ES"/>
        </w:rPr>
        <w:t xml:space="preserve"> expediente de prueba, anexo 14 al Informe de Fondo, fs. 279 a 291).</w:t>
      </w:r>
    </w:p>
    <w:p w14:paraId="5BC70019" w14:textId="77777777" w:rsidR="0023585A" w:rsidRPr="00BC57A2" w:rsidRDefault="0023585A" w:rsidP="0056309D">
      <w:pPr>
        <w:spacing w:after="0" w:line="240" w:lineRule="auto"/>
        <w:jc w:val="both"/>
        <w:rPr>
          <w:rFonts w:ascii="Verdana" w:hAnsi="Verdana"/>
          <w:sz w:val="16"/>
          <w:szCs w:val="16"/>
          <w:lang w:val="es-CR"/>
        </w:rPr>
      </w:pPr>
    </w:p>
  </w:footnote>
  <w:footnote w:id="305">
    <w:p w14:paraId="7C5B971F" w14:textId="761A07C8" w:rsidR="0023585A" w:rsidRPr="00BC57A2" w:rsidRDefault="0023585A" w:rsidP="0056309D">
      <w:pPr>
        <w:pStyle w:val="Textonotapie"/>
        <w:rPr>
          <w:b/>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 xml:space="preserve">La procedencia del recurso extraordinario fue </w:t>
      </w:r>
      <w:r>
        <w:rPr>
          <w:sz w:val="16"/>
          <w:szCs w:val="16"/>
          <w:lang w:val="es-CR"/>
        </w:rPr>
        <w:t xml:space="preserve">negada </w:t>
      </w:r>
      <w:r w:rsidRPr="00BC57A2">
        <w:rPr>
          <w:sz w:val="16"/>
          <w:szCs w:val="16"/>
          <w:lang w:val="es-CR"/>
        </w:rPr>
        <w:t>en primer término</w:t>
      </w:r>
      <w:r>
        <w:rPr>
          <w:sz w:val="16"/>
          <w:szCs w:val="16"/>
          <w:lang w:val="es-CR"/>
        </w:rPr>
        <w:t xml:space="preserve">, el 14 de marzo de 2001, </w:t>
      </w:r>
      <w:r w:rsidRPr="00BC57A2">
        <w:rPr>
          <w:sz w:val="16"/>
          <w:szCs w:val="16"/>
          <w:lang w:val="es-CR"/>
        </w:rPr>
        <w:t xml:space="preserve">por la Corte de Justicia de Salta, por lo que Lhaka Honhat presentó un recurso de queja directo ante la CSJN, que aceptó el recurso. </w:t>
      </w:r>
    </w:p>
    <w:p w14:paraId="60C16A82" w14:textId="77777777" w:rsidR="0023585A" w:rsidRPr="00BC57A2" w:rsidRDefault="0023585A" w:rsidP="0056309D">
      <w:pPr>
        <w:pStyle w:val="Textonotapie"/>
        <w:rPr>
          <w:sz w:val="16"/>
          <w:szCs w:val="16"/>
          <w:lang w:val="es-CR"/>
        </w:rPr>
      </w:pPr>
    </w:p>
  </w:footnote>
  <w:footnote w:id="306">
    <w:p w14:paraId="771FECF1" w14:textId="77777777" w:rsidR="0023585A" w:rsidRPr="00BC57A2" w:rsidRDefault="0023585A" w:rsidP="0056309D">
      <w:pPr>
        <w:pStyle w:val="Textonotapie"/>
        <w:tabs>
          <w:tab w:val="left" w:pos="360"/>
        </w:tabs>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sz w:val="16"/>
          <w:szCs w:val="16"/>
          <w:lang w:val="es-CR"/>
        </w:rPr>
        <w:tab/>
      </w:r>
      <w:r w:rsidRPr="00BC57A2">
        <w:rPr>
          <w:sz w:val="16"/>
          <w:szCs w:val="16"/>
          <w:lang w:val="es-ES"/>
        </w:rPr>
        <w:t xml:space="preserve">CSJN, “Asociación de Comunidades Aborígenes Lhaka Honhat c/Poder Ejecutivo de la Provincia de Salta”, Recurso de Hecho, A.182.XXXVII. </w:t>
      </w:r>
      <w:r w:rsidRPr="00BC57A2">
        <w:rPr>
          <w:sz w:val="16"/>
          <w:szCs w:val="16"/>
          <w:lang w:val="es-CR"/>
        </w:rPr>
        <w:t>Expediente de prueba, anexo 18 al Informe de Fondo, fs. 329 a 335.</w:t>
      </w:r>
    </w:p>
    <w:p w14:paraId="1ED1D316" w14:textId="77777777" w:rsidR="0023585A" w:rsidRPr="00BC57A2" w:rsidRDefault="0023585A" w:rsidP="0056309D">
      <w:pPr>
        <w:pStyle w:val="Textonotapie"/>
        <w:tabs>
          <w:tab w:val="left" w:pos="360"/>
        </w:tabs>
        <w:rPr>
          <w:sz w:val="16"/>
          <w:szCs w:val="16"/>
          <w:lang w:val="es-ES"/>
        </w:rPr>
      </w:pPr>
      <w:r w:rsidRPr="00BC57A2">
        <w:rPr>
          <w:sz w:val="16"/>
          <w:szCs w:val="16"/>
          <w:lang w:val="es-CR"/>
        </w:rPr>
        <w:t xml:space="preserve"> </w:t>
      </w:r>
    </w:p>
  </w:footnote>
  <w:footnote w:id="307">
    <w:p w14:paraId="729BBE71" w14:textId="77777777" w:rsidR="0023585A" w:rsidRPr="00BC57A2" w:rsidRDefault="0023585A" w:rsidP="0056309D">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 xml:space="preserve">CJS, </w:t>
      </w:r>
      <w:r w:rsidRPr="00BC57A2">
        <w:rPr>
          <w:sz w:val="16"/>
          <w:szCs w:val="16"/>
          <w:lang w:val="es-ES"/>
        </w:rPr>
        <w:t xml:space="preserve">Sentencia del 8 de mayo de 2007. </w:t>
      </w:r>
      <w:r w:rsidRPr="00BC57A2">
        <w:rPr>
          <w:sz w:val="16"/>
          <w:szCs w:val="16"/>
          <w:lang w:val="es-CR"/>
        </w:rPr>
        <w:t>Expediente de prueba, anexo F.6. al escrito de solicitudes y argumentos, fs. 30.874 a 30.881.</w:t>
      </w:r>
    </w:p>
    <w:p w14:paraId="5BE5F1E1" w14:textId="77777777" w:rsidR="0023585A" w:rsidRPr="00BC57A2" w:rsidRDefault="0023585A" w:rsidP="0056309D">
      <w:pPr>
        <w:pStyle w:val="Textonotapie"/>
        <w:rPr>
          <w:sz w:val="16"/>
          <w:szCs w:val="16"/>
          <w:lang w:val="es-CR"/>
        </w:rPr>
      </w:pPr>
    </w:p>
  </w:footnote>
  <w:footnote w:id="308">
    <w:p w14:paraId="1F7D3642" w14:textId="77777777" w:rsidR="0023585A" w:rsidRPr="00BC57A2" w:rsidRDefault="0023585A" w:rsidP="0056309D">
      <w:pPr>
        <w:pStyle w:val="Textonotapie"/>
        <w:rPr>
          <w:rFonts w:cs="Tahoma"/>
          <w:sz w:val="16"/>
          <w:szCs w:val="16"/>
          <w:shd w:val="clear" w:color="auto" w:fill="FFFFFF"/>
          <w:lang w:val="es-AR"/>
        </w:rPr>
      </w:pPr>
      <w:r w:rsidRPr="00BC57A2">
        <w:rPr>
          <w:rStyle w:val="Refdenotaalpie"/>
          <w:sz w:val="16"/>
          <w:szCs w:val="16"/>
        </w:rPr>
        <w:footnoteRef/>
      </w:r>
      <w:r w:rsidRPr="00BC57A2">
        <w:rPr>
          <w:sz w:val="16"/>
          <w:szCs w:val="16"/>
          <w:lang w:val="es-AR"/>
        </w:rPr>
        <w:t xml:space="preserve"> </w:t>
      </w:r>
      <w:r w:rsidRPr="00BC57A2">
        <w:rPr>
          <w:sz w:val="16"/>
          <w:szCs w:val="16"/>
          <w:lang w:val="es-AR"/>
        </w:rPr>
        <w:tab/>
      </w:r>
      <w:r w:rsidRPr="00BC57A2">
        <w:rPr>
          <w:rFonts w:cs="Tahoma"/>
          <w:i/>
          <w:sz w:val="16"/>
          <w:szCs w:val="16"/>
          <w:shd w:val="clear" w:color="auto" w:fill="FFFFFF"/>
          <w:lang w:val="es-AR"/>
        </w:rPr>
        <w:t>Caso Ramírez Escobar y otros Vs. Guatemala</w:t>
      </w:r>
      <w:r w:rsidRPr="00BC57A2">
        <w:rPr>
          <w:rFonts w:cs="Tahoma"/>
          <w:sz w:val="16"/>
          <w:szCs w:val="16"/>
          <w:shd w:val="clear" w:color="auto" w:fill="FFFFFF"/>
          <w:lang w:val="es-AR"/>
        </w:rPr>
        <w:t xml:space="preserve">, párr. 257, y </w:t>
      </w:r>
      <w:r w:rsidRPr="00BC57A2">
        <w:rPr>
          <w:rFonts w:cs="Tahoma"/>
          <w:i/>
          <w:sz w:val="16"/>
          <w:szCs w:val="16"/>
          <w:shd w:val="clear" w:color="auto" w:fill="FFFFFF"/>
          <w:lang w:val="es-AR"/>
        </w:rPr>
        <w:t>Caso Colindres Schonenberg Vs. El Salvador. Fondo, Reparaciones y Costas</w:t>
      </w:r>
      <w:r w:rsidRPr="00BC57A2">
        <w:rPr>
          <w:rFonts w:cs="Tahoma"/>
          <w:sz w:val="16"/>
          <w:szCs w:val="16"/>
          <w:shd w:val="clear" w:color="auto" w:fill="FFFFFF"/>
          <w:lang w:val="es-AR"/>
        </w:rPr>
        <w:t>. Sentencia de 4 de febrero de 2019. Serie C No. 373, párr. 118.</w:t>
      </w:r>
    </w:p>
    <w:p w14:paraId="21973C93" w14:textId="77777777" w:rsidR="0023585A" w:rsidRPr="00BC57A2" w:rsidRDefault="0023585A" w:rsidP="0056309D">
      <w:pPr>
        <w:pStyle w:val="Textonotapie"/>
        <w:rPr>
          <w:sz w:val="16"/>
          <w:szCs w:val="16"/>
          <w:lang w:val="es-AR"/>
        </w:rPr>
      </w:pPr>
    </w:p>
  </w:footnote>
  <w:footnote w:id="309">
    <w:p w14:paraId="41FB8887" w14:textId="77777777" w:rsidR="0023585A" w:rsidRPr="00BC57A2" w:rsidRDefault="0023585A" w:rsidP="0056309D">
      <w:pPr>
        <w:pStyle w:val="Textonotapie"/>
        <w:rPr>
          <w:rFonts w:cs="Tahoma"/>
          <w:sz w:val="16"/>
          <w:szCs w:val="16"/>
          <w:shd w:val="clear" w:color="auto" w:fill="FFFFFF"/>
          <w:lang w:val="es-AR"/>
        </w:rPr>
      </w:pPr>
      <w:r w:rsidRPr="00BC57A2">
        <w:rPr>
          <w:rStyle w:val="Refdenotaalpie"/>
          <w:sz w:val="16"/>
          <w:szCs w:val="16"/>
        </w:rPr>
        <w:footnoteRef/>
      </w:r>
      <w:r w:rsidRPr="00BC57A2">
        <w:rPr>
          <w:sz w:val="16"/>
          <w:szCs w:val="16"/>
          <w:lang w:val="es-AR"/>
        </w:rPr>
        <w:t xml:space="preserve"> </w:t>
      </w:r>
      <w:r w:rsidRPr="00BC57A2">
        <w:rPr>
          <w:sz w:val="16"/>
          <w:szCs w:val="16"/>
          <w:lang w:val="es-AR"/>
        </w:rPr>
        <w:tab/>
      </w:r>
      <w:r w:rsidRPr="00BC57A2">
        <w:rPr>
          <w:rFonts w:cs="Tahoma"/>
          <w:i/>
          <w:sz w:val="16"/>
          <w:szCs w:val="16"/>
          <w:shd w:val="clear" w:color="auto" w:fill="FFFFFF"/>
          <w:lang w:val="es-AR"/>
        </w:rPr>
        <w:t>Caso Bayarri Vs. Argentina. Excepción Preliminar, Fondo, Reparaciones y Costas</w:t>
      </w:r>
      <w:r w:rsidRPr="00BC57A2">
        <w:rPr>
          <w:rFonts w:cs="Tahoma"/>
          <w:sz w:val="16"/>
          <w:szCs w:val="16"/>
          <w:shd w:val="clear" w:color="auto" w:fill="FFFFFF"/>
          <w:lang w:val="es-AR"/>
        </w:rPr>
        <w:t xml:space="preserve">. </w:t>
      </w:r>
      <w:r w:rsidRPr="00BC57A2">
        <w:rPr>
          <w:rFonts w:cs="Tahoma"/>
          <w:sz w:val="16"/>
          <w:szCs w:val="16"/>
          <w:shd w:val="clear" w:color="auto" w:fill="FFFFFF"/>
          <w:lang w:val="es-CR"/>
        </w:rPr>
        <w:t xml:space="preserve">Sentencia de 30 de octubre de 2008. Serie C No. 187, párr. 107. </w:t>
      </w:r>
      <w:r w:rsidRPr="00BC57A2">
        <w:rPr>
          <w:rFonts w:eastAsia="Times New Roman" w:cs="Times New Roman"/>
          <w:sz w:val="16"/>
          <w:szCs w:val="16"/>
          <w:lang w:val="es-ES_tradnl"/>
        </w:rPr>
        <w:t>De manera consistente la Corte ha tomado en cuenta cuatro elementos para determinar la razonabilidad del plazo: i) complejidad del asunto; ii) actividad procesal del interesado; iii) conducta de las autoridades judiciales, y iv) afectación generada en la situación jurídica de la persona involucrada en el proceso</w:t>
      </w:r>
      <w:r w:rsidRPr="00BC57A2">
        <w:rPr>
          <w:rFonts w:cs="Tahoma"/>
          <w:sz w:val="16"/>
          <w:szCs w:val="16"/>
          <w:shd w:val="clear" w:color="auto" w:fill="FFFFFF"/>
          <w:lang w:val="es-AR"/>
        </w:rPr>
        <w:t xml:space="preserve"> (</w:t>
      </w:r>
      <w:r w:rsidRPr="00BC57A2">
        <w:rPr>
          <w:rFonts w:cs="Tahoma"/>
          <w:i/>
          <w:sz w:val="16"/>
          <w:szCs w:val="16"/>
          <w:shd w:val="clear" w:color="auto" w:fill="FFFFFF"/>
          <w:lang w:val="es-AR"/>
        </w:rPr>
        <w:t>cfr. Caso Ramírez Escobar y otros Vs. Guatemala</w:t>
      </w:r>
      <w:r w:rsidRPr="00BC57A2">
        <w:rPr>
          <w:rFonts w:cs="Tahoma"/>
          <w:sz w:val="16"/>
          <w:szCs w:val="16"/>
          <w:shd w:val="clear" w:color="auto" w:fill="FFFFFF"/>
          <w:lang w:val="es-AR"/>
        </w:rPr>
        <w:t xml:space="preserve">, párr. 257, y </w:t>
      </w:r>
      <w:r w:rsidRPr="00BC57A2">
        <w:rPr>
          <w:rFonts w:cs="Tahoma"/>
          <w:i/>
          <w:sz w:val="16"/>
          <w:szCs w:val="16"/>
          <w:shd w:val="clear" w:color="auto" w:fill="FFFFFF"/>
          <w:lang w:val="es-AR"/>
        </w:rPr>
        <w:t>Caso Colindres Schonenberg Vs. El Salvador</w:t>
      </w:r>
      <w:r w:rsidRPr="00BC57A2">
        <w:rPr>
          <w:rFonts w:cs="Tahoma"/>
          <w:sz w:val="16"/>
          <w:szCs w:val="16"/>
          <w:shd w:val="clear" w:color="auto" w:fill="FFFFFF"/>
          <w:lang w:val="es-AR"/>
        </w:rPr>
        <w:t>, párr. 118).</w:t>
      </w:r>
    </w:p>
    <w:p w14:paraId="69B17490" w14:textId="77777777" w:rsidR="0023585A" w:rsidRPr="00BC57A2" w:rsidRDefault="0023585A" w:rsidP="0056309D">
      <w:pPr>
        <w:pStyle w:val="Textonotapie"/>
        <w:rPr>
          <w:sz w:val="16"/>
          <w:szCs w:val="16"/>
          <w:lang w:val="es-AR"/>
        </w:rPr>
      </w:pPr>
    </w:p>
  </w:footnote>
  <w:footnote w:id="310">
    <w:p w14:paraId="57D1AA21" w14:textId="77777777" w:rsidR="0023585A" w:rsidRPr="00BC57A2" w:rsidRDefault="0023585A" w:rsidP="0056309D">
      <w:pPr>
        <w:pStyle w:val="Textonotapie"/>
        <w:rPr>
          <w:sz w:val="16"/>
          <w:szCs w:val="16"/>
          <w:lang w:val="es-AR"/>
        </w:rPr>
      </w:pPr>
      <w:r w:rsidRPr="00BC57A2">
        <w:rPr>
          <w:rStyle w:val="Refdenotaalpie"/>
          <w:sz w:val="16"/>
          <w:szCs w:val="16"/>
        </w:rPr>
        <w:footnoteRef/>
      </w:r>
      <w:r w:rsidRPr="00BC57A2">
        <w:rPr>
          <w:sz w:val="16"/>
          <w:szCs w:val="16"/>
          <w:lang w:val="es-AR"/>
        </w:rPr>
        <w:t xml:space="preserve"> </w:t>
      </w:r>
      <w:r w:rsidRPr="00BC57A2">
        <w:rPr>
          <w:sz w:val="16"/>
          <w:szCs w:val="16"/>
          <w:lang w:val="es-AR"/>
        </w:rPr>
        <w:tab/>
      </w:r>
      <w:r w:rsidRPr="00BC57A2">
        <w:rPr>
          <w:rFonts w:eastAsia="Times New Roman" w:cs="Times New Roman"/>
          <w:sz w:val="16"/>
          <w:szCs w:val="16"/>
          <w:lang w:val="es-ES_tradnl"/>
        </w:rPr>
        <w:t>Corresponde al Estado exponer la razón por la que ha requerido esa cantidad de tiempo; en ausencia de ello, este Tribunal tiene amplias atribuciones para hacer su propia estimación al respecto (</w:t>
      </w:r>
      <w:r w:rsidRPr="00BC57A2">
        <w:rPr>
          <w:rFonts w:eastAsia="Times New Roman" w:cs="Times New Roman"/>
          <w:i/>
          <w:sz w:val="16"/>
          <w:szCs w:val="16"/>
          <w:lang w:val="es-ES_tradnl"/>
        </w:rPr>
        <w:t xml:space="preserve">cfr. </w:t>
      </w:r>
      <w:r w:rsidRPr="00BC57A2">
        <w:rPr>
          <w:i/>
          <w:sz w:val="16"/>
          <w:szCs w:val="16"/>
          <w:lang w:val="es-AR"/>
        </w:rPr>
        <w:t>Caso Granier y otros (Radio Caracas Televisión) Vs. Venezuela. Excepciones Preliminares, Fondo, Reparaciones y Costas</w:t>
      </w:r>
      <w:r w:rsidRPr="00BC57A2">
        <w:rPr>
          <w:sz w:val="16"/>
          <w:szCs w:val="16"/>
          <w:lang w:val="es-AR"/>
        </w:rPr>
        <w:t xml:space="preserve">. Sentencia de 22 de junio de 2015. Serie C No. 293, párr. 255, y </w:t>
      </w:r>
      <w:r w:rsidRPr="00BC57A2">
        <w:rPr>
          <w:i/>
          <w:sz w:val="16"/>
          <w:szCs w:val="16"/>
          <w:lang w:val="es-AR"/>
        </w:rPr>
        <w:t>Caso Amrhein y otros Vs. Costa Rica. Excepciones Preliminares, Fondo, Reparaciones y Costas</w:t>
      </w:r>
      <w:r w:rsidRPr="00BC57A2">
        <w:rPr>
          <w:sz w:val="16"/>
          <w:szCs w:val="16"/>
          <w:lang w:val="es-AR"/>
        </w:rPr>
        <w:t xml:space="preserve">. Sentencia de 25 de abril de 2018. Serie C No. 354, párr. 422). Dada la falta de explicación respecto a los tres años de demora por la justicia provincial, no hace falta hacer una evaluación particular sobre el tiempo insumido por la CSJN para adoptar su decisión. </w:t>
      </w:r>
    </w:p>
    <w:p w14:paraId="21788A75" w14:textId="77777777" w:rsidR="0023585A" w:rsidRPr="00BC57A2" w:rsidRDefault="0023585A" w:rsidP="0056309D">
      <w:pPr>
        <w:pStyle w:val="Textonotapie"/>
        <w:rPr>
          <w:sz w:val="16"/>
          <w:szCs w:val="16"/>
          <w:lang w:val="es-AR"/>
        </w:rPr>
      </w:pPr>
      <w:r w:rsidRPr="00BC57A2">
        <w:rPr>
          <w:sz w:val="16"/>
          <w:szCs w:val="16"/>
          <w:lang w:val="es-AR"/>
        </w:rPr>
        <w:t xml:space="preserve"> </w:t>
      </w:r>
    </w:p>
  </w:footnote>
  <w:footnote w:id="311">
    <w:p w14:paraId="28647582" w14:textId="04FAF3A2" w:rsidR="0023585A" w:rsidRPr="00BC57A2" w:rsidRDefault="0023585A" w:rsidP="0056309D">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Los representantes mencionaron que hubo otras acciones judiciales, presentadas por personas distintas a Lhaka Honhat, relacionadas con el referéndum</w:t>
      </w:r>
      <w:r>
        <w:rPr>
          <w:sz w:val="16"/>
          <w:szCs w:val="16"/>
          <w:lang w:val="es-CR"/>
        </w:rPr>
        <w:t xml:space="preserve"> (</w:t>
      </w:r>
      <w:r>
        <w:rPr>
          <w:i/>
          <w:sz w:val="16"/>
          <w:szCs w:val="16"/>
          <w:lang w:val="es-CR"/>
        </w:rPr>
        <w:t xml:space="preserve">supra </w:t>
      </w:r>
      <w:r>
        <w:rPr>
          <w:sz w:val="16"/>
          <w:szCs w:val="16"/>
          <w:lang w:val="es-CR"/>
        </w:rPr>
        <w:t>nota a pie de página 294)</w:t>
      </w:r>
      <w:r w:rsidRPr="00BC57A2">
        <w:rPr>
          <w:sz w:val="16"/>
          <w:szCs w:val="16"/>
          <w:lang w:val="es-CR"/>
        </w:rPr>
        <w:t>. La Corte solo analizará la acción judicial iniciada por la organización representante de las comunidades indígenas, ya que las otras no se vinculan con los derechos a las garantías y protección judiciales de dichas comunidades.</w:t>
      </w:r>
    </w:p>
    <w:p w14:paraId="30FCCF40" w14:textId="77777777" w:rsidR="0023585A" w:rsidRPr="00BC57A2" w:rsidRDefault="0023585A" w:rsidP="0056309D">
      <w:pPr>
        <w:pStyle w:val="Textonotapie"/>
        <w:rPr>
          <w:sz w:val="16"/>
          <w:szCs w:val="16"/>
          <w:lang w:val="es-CR"/>
        </w:rPr>
      </w:pPr>
    </w:p>
  </w:footnote>
  <w:footnote w:id="312">
    <w:p w14:paraId="6DA7879D" w14:textId="5FA97219" w:rsidR="0023585A" w:rsidRPr="00BC57A2" w:rsidRDefault="0023585A" w:rsidP="0056309D">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CSJN, “Asociación de Comunidades Aborígenes Lhaka Honhat c/ Salta, Provincia de y otro (Estado Nacional) s/ acción declarativa de certeza”. Expte. Nº A 1596/05. Expediente de prueba, anexo D.22 al escrito de solicitudes y argumentos, fs. 30.481 a 30.502.</w:t>
      </w:r>
    </w:p>
    <w:p w14:paraId="4F0A892C" w14:textId="77777777" w:rsidR="0023585A" w:rsidRPr="00BC57A2" w:rsidRDefault="0023585A" w:rsidP="0056309D">
      <w:pPr>
        <w:pStyle w:val="Textonotapie"/>
        <w:rPr>
          <w:sz w:val="16"/>
          <w:szCs w:val="16"/>
          <w:lang w:val="es-CR"/>
        </w:rPr>
      </w:pPr>
    </w:p>
  </w:footnote>
  <w:footnote w:id="313">
    <w:p w14:paraId="623D2FA1" w14:textId="4281CD3C" w:rsidR="0023585A" w:rsidRPr="00BC57A2" w:rsidRDefault="0023585A" w:rsidP="0056309D">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Las acciones fueron intentadas por Lhaka Honhat. De acuerdo a los términos del estatuto de dicha Asociación, la misma se ha constituido de un modo que, formalmente, integra como miembros a l</w:t>
      </w:r>
      <w:r>
        <w:rPr>
          <w:sz w:val="16"/>
          <w:szCs w:val="16"/>
          <w:lang w:val="es-CR"/>
        </w:rPr>
        <w:t>a</w:t>
      </w:r>
      <w:r w:rsidRPr="00BC57A2">
        <w:rPr>
          <w:sz w:val="16"/>
          <w:szCs w:val="16"/>
          <w:lang w:val="es-CR"/>
        </w:rPr>
        <w:t>s personas mayores de edad que pertenezcan a las comunidades habitantes de los lotes 14 y 55. La Corte entiende que puede, razonablemente, asumirse un interés relevante de</w:t>
      </w:r>
      <w:r>
        <w:rPr>
          <w:sz w:val="16"/>
          <w:szCs w:val="16"/>
          <w:lang w:val="es-CR"/>
        </w:rPr>
        <w:t xml:space="preserve"> todas las comunidades aludidas (</w:t>
      </w:r>
      <w:r>
        <w:rPr>
          <w:i/>
          <w:sz w:val="16"/>
          <w:szCs w:val="16"/>
          <w:lang w:val="es-CR"/>
        </w:rPr>
        <w:t xml:space="preserve">supra </w:t>
      </w:r>
      <w:r>
        <w:rPr>
          <w:sz w:val="16"/>
          <w:szCs w:val="16"/>
          <w:lang w:val="es-CR"/>
        </w:rPr>
        <w:t>párr. 35 y Anexo V)</w:t>
      </w:r>
      <w:r w:rsidRPr="00BC57A2">
        <w:rPr>
          <w:sz w:val="16"/>
          <w:szCs w:val="16"/>
          <w:lang w:val="es-CR"/>
        </w:rPr>
        <w:t xml:space="preserve"> en los procesos iniciados por Lhaka Hon</w:t>
      </w:r>
      <w:r>
        <w:rPr>
          <w:sz w:val="16"/>
          <w:szCs w:val="16"/>
          <w:lang w:val="es-CR"/>
        </w:rPr>
        <w:t>hat. Por ello, considera que la</w:t>
      </w:r>
      <w:r w:rsidRPr="00BC57A2">
        <w:rPr>
          <w:sz w:val="16"/>
          <w:szCs w:val="16"/>
          <w:lang w:val="es-CR"/>
        </w:rPr>
        <w:t xml:space="preserve"> violaci</w:t>
      </w:r>
      <w:r>
        <w:rPr>
          <w:sz w:val="16"/>
          <w:szCs w:val="16"/>
          <w:lang w:val="es-CR"/>
        </w:rPr>
        <w:t>ón declarada perjudica a todas esas</w:t>
      </w:r>
      <w:r w:rsidRPr="00BC57A2">
        <w:rPr>
          <w:sz w:val="16"/>
          <w:szCs w:val="16"/>
          <w:lang w:val="es-CR"/>
        </w:rPr>
        <w:t xml:space="preserve"> comunidades. (En similar sentido, </w:t>
      </w:r>
      <w:r w:rsidRPr="00BC57A2">
        <w:rPr>
          <w:i/>
          <w:sz w:val="16"/>
          <w:szCs w:val="16"/>
          <w:lang w:val="es-CR"/>
        </w:rPr>
        <w:t>Caso Coc Max y otros (Masacre de Xamán) Vs. Guatemala</w:t>
      </w:r>
      <w:r w:rsidRPr="00BC57A2">
        <w:rPr>
          <w:sz w:val="16"/>
          <w:szCs w:val="16"/>
          <w:lang w:val="es-CR"/>
        </w:rPr>
        <w:t>, párr. 92, nota pie de página 144.)</w:t>
      </w:r>
    </w:p>
    <w:p w14:paraId="60591ABD" w14:textId="77777777" w:rsidR="0023585A" w:rsidRPr="00BC57A2" w:rsidRDefault="0023585A" w:rsidP="0056309D">
      <w:pPr>
        <w:pStyle w:val="Textonotapie"/>
        <w:rPr>
          <w:sz w:val="16"/>
          <w:szCs w:val="16"/>
          <w:lang w:val="es-CR"/>
        </w:rPr>
      </w:pPr>
      <w:r w:rsidRPr="00BC57A2">
        <w:rPr>
          <w:sz w:val="16"/>
          <w:szCs w:val="16"/>
          <w:lang w:val="es-CR"/>
        </w:rPr>
        <w:t xml:space="preserve">  </w:t>
      </w:r>
    </w:p>
  </w:footnote>
  <w:footnote w:id="314">
    <w:p w14:paraId="5563AA0A" w14:textId="77777777" w:rsidR="0023585A" w:rsidRPr="00BC57A2" w:rsidRDefault="0023585A" w:rsidP="0056309D">
      <w:pPr>
        <w:pStyle w:val="Textonotapie"/>
        <w:rPr>
          <w:rStyle w:val="Textoennegrita"/>
          <w:b w:val="0"/>
          <w:color w:val="000000"/>
          <w:sz w:val="16"/>
          <w:szCs w:val="16"/>
          <w:shd w:val="clear" w:color="auto" w:fill="FFFFFF"/>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Cfr.</w:t>
      </w:r>
      <w:r w:rsidRPr="00BC57A2">
        <w:rPr>
          <w:sz w:val="16"/>
          <w:szCs w:val="16"/>
          <w:lang w:val="es-CR"/>
        </w:rPr>
        <w:t xml:space="preserve"> </w:t>
      </w:r>
      <w:r w:rsidRPr="00BC57A2">
        <w:rPr>
          <w:i/>
          <w:sz w:val="16"/>
          <w:szCs w:val="16"/>
          <w:lang w:val="es-CR"/>
        </w:rPr>
        <w:t>Caso Velásquez Rodríguez Vs. Honduras. Reparaciones y Costas.</w:t>
      </w:r>
      <w:r w:rsidRPr="00BC57A2">
        <w:rPr>
          <w:sz w:val="16"/>
          <w:szCs w:val="16"/>
          <w:lang w:val="es-CR"/>
        </w:rPr>
        <w:t xml:space="preserve"> Sentencia de 21 de julio de 1989. Serie C No. 7, párrs. 25 a 27, y </w:t>
      </w:r>
      <w:r w:rsidRPr="00BC57A2">
        <w:rPr>
          <w:rStyle w:val="Textoennegrita"/>
          <w:b w:val="0"/>
          <w:i/>
          <w:color w:val="000000"/>
          <w:sz w:val="16"/>
          <w:szCs w:val="16"/>
          <w:shd w:val="clear" w:color="auto" w:fill="FFFFFF"/>
          <w:lang w:val="es-CR"/>
        </w:rPr>
        <w:t>Caso Jenkins Vs. Argentina</w:t>
      </w:r>
      <w:r w:rsidRPr="00BC57A2">
        <w:rPr>
          <w:rStyle w:val="Textoennegrita"/>
          <w:b w:val="0"/>
          <w:color w:val="000000"/>
          <w:sz w:val="16"/>
          <w:szCs w:val="16"/>
          <w:shd w:val="clear" w:color="auto" w:fill="FFFFFF"/>
          <w:lang w:val="es-CR"/>
        </w:rPr>
        <w:t>, párr. 122.</w:t>
      </w:r>
    </w:p>
    <w:p w14:paraId="6B7F1241" w14:textId="77777777" w:rsidR="0023585A" w:rsidRPr="00BC57A2" w:rsidRDefault="0023585A" w:rsidP="0056309D">
      <w:pPr>
        <w:pStyle w:val="Textonotapie"/>
        <w:rPr>
          <w:sz w:val="16"/>
          <w:szCs w:val="16"/>
          <w:lang w:val="es-CR"/>
        </w:rPr>
      </w:pPr>
    </w:p>
  </w:footnote>
  <w:footnote w:id="315">
    <w:p w14:paraId="04EC328A" w14:textId="77777777" w:rsidR="0023585A" w:rsidRPr="00BC57A2" w:rsidRDefault="0023585A" w:rsidP="0056309D">
      <w:pPr>
        <w:pStyle w:val="Textonotapie"/>
        <w:rPr>
          <w:rStyle w:val="Textoennegrita"/>
          <w:b w:val="0"/>
          <w:color w:val="000000"/>
          <w:sz w:val="16"/>
          <w:szCs w:val="16"/>
          <w:shd w:val="clear" w:color="auto" w:fill="FFFFFF"/>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Cfr.</w:t>
      </w:r>
      <w:r w:rsidRPr="00BC57A2">
        <w:rPr>
          <w:sz w:val="16"/>
          <w:szCs w:val="16"/>
          <w:lang w:val="es-CR"/>
        </w:rPr>
        <w:t xml:space="preserve"> </w:t>
      </w:r>
      <w:r w:rsidRPr="00BC57A2">
        <w:rPr>
          <w:i/>
          <w:sz w:val="16"/>
          <w:szCs w:val="16"/>
          <w:lang w:val="es-CR"/>
        </w:rPr>
        <w:t>Caso Velásquez Rodríguez Vs. Honduras. Reparaciones y Costas</w:t>
      </w:r>
      <w:r w:rsidRPr="00BC57A2">
        <w:rPr>
          <w:sz w:val="16"/>
          <w:szCs w:val="16"/>
          <w:lang w:val="es-CR"/>
        </w:rPr>
        <w:t xml:space="preserve">, párrs. 25 y 26; </w:t>
      </w:r>
      <w:r w:rsidRPr="00BC57A2">
        <w:rPr>
          <w:i/>
          <w:sz w:val="16"/>
          <w:szCs w:val="16"/>
          <w:lang w:val="es-CR"/>
        </w:rPr>
        <w:t>Caso Ticona Estrada Vs. Bolivia. Fondo, Reparaciones y Costas.</w:t>
      </w:r>
      <w:r w:rsidRPr="00BC57A2">
        <w:rPr>
          <w:sz w:val="16"/>
          <w:szCs w:val="16"/>
          <w:lang w:val="es-CR"/>
        </w:rPr>
        <w:t xml:space="preserve"> Sentencia de 27 de noviembre de 2008. Serie C No. 191, párr. 110; </w:t>
      </w:r>
      <w:r w:rsidRPr="00BC57A2">
        <w:rPr>
          <w:i/>
          <w:sz w:val="16"/>
          <w:szCs w:val="16"/>
          <w:lang w:val="es-CR"/>
        </w:rPr>
        <w:t>Caso de la Masacre de Las Dos Erres Vs. Guatemala. Excepción Preliminar, Fondo, Reparaciones y Costas.</w:t>
      </w:r>
      <w:r w:rsidRPr="00BC57A2">
        <w:rPr>
          <w:sz w:val="16"/>
          <w:szCs w:val="16"/>
          <w:lang w:val="es-CR"/>
        </w:rPr>
        <w:t xml:space="preserve"> Sentencia de 24 de noviembre de 2009. Serie C No. 211, párr. 226, y </w:t>
      </w:r>
      <w:r w:rsidRPr="00BC57A2">
        <w:rPr>
          <w:rStyle w:val="Textoennegrita"/>
          <w:b w:val="0"/>
          <w:i/>
          <w:color w:val="000000"/>
          <w:sz w:val="16"/>
          <w:szCs w:val="16"/>
          <w:shd w:val="clear" w:color="auto" w:fill="FFFFFF"/>
          <w:lang w:val="es-CR"/>
        </w:rPr>
        <w:t>Caso Jenkins Vs. Argentina</w:t>
      </w:r>
      <w:r w:rsidRPr="00BC57A2">
        <w:rPr>
          <w:rStyle w:val="Textoennegrita"/>
          <w:b w:val="0"/>
          <w:color w:val="000000"/>
          <w:sz w:val="16"/>
          <w:szCs w:val="16"/>
          <w:shd w:val="clear" w:color="auto" w:fill="FFFFFF"/>
          <w:lang w:val="es-CR"/>
        </w:rPr>
        <w:t>, párrs. 123 y 124.</w:t>
      </w:r>
    </w:p>
    <w:p w14:paraId="745B9366" w14:textId="77777777" w:rsidR="0023585A" w:rsidRPr="00BC57A2" w:rsidRDefault="0023585A" w:rsidP="0056309D">
      <w:pPr>
        <w:pStyle w:val="Textonotapie"/>
        <w:rPr>
          <w:sz w:val="16"/>
          <w:szCs w:val="16"/>
          <w:lang w:val="es-CR"/>
        </w:rPr>
      </w:pPr>
    </w:p>
  </w:footnote>
  <w:footnote w:id="316">
    <w:p w14:paraId="7832A3E4" w14:textId="77777777" w:rsidR="0023585A" w:rsidRPr="00BC57A2" w:rsidRDefault="0023585A" w:rsidP="0056309D">
      <w:pPr>
        <w:pStyle w:val="Textonotapie"/>
        <w:rPr>
          <w:rStyle w:val="Textoennegrita"/>
          <w:b w:val="0"/>
          <w:color w:val="000000"/>
          <w:sz w:val="16"/>
          <w:szCs w:val="16"/>
          <w:shd w:val="clear" w:color="auto" w:fill="FFFFFF"/>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Cfr.</w:t>
      </w:r>
      <w:r w:rsidRPr="00BC57A2">
        <w:rPr>
          <w:sz w:val="16"/>
          <w:szCs w:val="16"/>
          <w:lang w:val="es-CR"/>
        </w:rPr>
        <w:t xml:space="preserve"> </w:t>
      </w:r>
      <w:r w:rsidRPr="00BC57A2">
        <w:rPr>
          <w:i/>
          <w:iCs/>
          <w:sz w:val="16"/>
          <w:szCs w:val="16"/>
          <w:lang w:val="es-CR"/>
        </w:rPr>
        <w:t>Caso de la Masacre de la Rochela Vs. Colombia. Fondo, Reparaciones y Costas</w:t>
      </w:r>
      <w:r w:rsidRPr="00BC57A2">
        <w:rPr>
          <w:sz w:val="16"/>
          <w:szCs w:val="16"/>
          <w:lang w:val="es-CR"/>
        </w:rPr>
        <w:t xml:space="preserve">. Sentencia de 11 de mayo de 2007. Serie C No. 163, párr. 233, y </w:t>
      </w:r>
      <w:r w:rsidRPr="00BC57A2">
        <w:rPr>
          <w:rStyle w:val="Textoennegrita"/>
          <w:b w:val="0"/>
          <w:i/>
          <w:color w:val="000000"/>
          <w:sz w:val="16"/>
          <w:szCs w:val="16"/>
          <w:shd w:val="clear" w:color="auto" w:fill="FFFFFF"/>
          <w:lang w:val="es-CR"/>
        </w:rPr>
        <w:t>Caso Jenkins Vs. Argentina</w:t>
      </w:r>
      <w:r w:rsidRPr="00BC57A2">
        <w:rPr>
          <w:rStyle w:val="Textoennegrita"/>
          <w:b w:val="0"/>
          <w:color w:val="000000"/>
          <w:sz w:val="16"/>
          <w:szCs w:val="16"/>
          <w:shd w:val="clear" w:color="auto" w:fill="FFFFFF"/>
          <w:lang w:val="es-CR"/>
        </w:rPr>
        <w:t>, párr. 126.</w:t>
      </w:r>
    </w:p>
    <w:p w14:paraId="49C65B23" w14:textId="77777777" w:rsidR="0023585A" w:rsidRPr="00BC57A2" w:rsidRDefault="0023585A" w:rsidP="0056309D">
      <w:pPr>
        <w:pStyle w:val="Textonotapie"/>
        <w:rPr>
          <w:sz w:val="16"/>
          <w:szCs w:val="16"/>
          <w:lang w:val="es-CR"/>
        </w:rPr>
      </w:pPr>
    </w:p>
  </w:footnote>
  <w:footnote w:id="317">
    <w:p w14:paraId="59A32A8D" w14:textId="77777777" w:rsidR="0023585A" w:rsidRPr="00BC57A2" w:rsidRDefault="0023585A" w:rsidP="0056309D">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Los representantes consideraron que “respecto de la metodología de trabajo en terreno, es imprescindible[,] en casos en que no hubiere acuerdo con los criollos, que se instituyan con urgencia los pasos administrativos y legales necesarios, conforme estándares del Sistema Interamericano de Derechos Humanos, para restituir a la máxima brevedad, la posesión y propiedad a las comunidades indígenas[;] [i]ncrementar equipos con personal suficiente y estable, que permitan concluir con urgencia el trabajo técnico en terreno […] (delimitación y demarcación)[;] [d]iseñar estrategias de trabajo, con participación y consulta con las comunidades indígenas, que permitan incrementar todos los esfuerzos de trabajo [...] en la época no estival[;] [e]n caso de acuerdos con familias criollas que requieren traslados, avanzar en su instrumentación mediante la protocolización con la Escribanía de Gobierno y las tareas de delimitación y demarcación con la intervención de agrimensores a fin de que den las ubicaciones precisas en un plano que luego debe ser registrado en la Dirección General de Inmuebles de la Provincia de Salta”.</w:t>
      </w:r>
    </w:p>
    <w:p w14:paraId="63A43F15" w14:textId="77777777" w:rsidR="0023585A" w:rsidRPr="00BC57A2" w:rsidRDefault="0023585A" w:rsidP="0056309D">
      <w:pPr>
        <w:pStyle w:val="Textonotapie"/>
        <w:rPr>
          <w:sz w:val="16"/>
          <w:szCs w:val="16"/>
          <w:lang w:val="es-CR"/>
        </w:rPr>
      </w:pPr>
    </w:p>
  </w:footnote>
  <w:footnote w:id="318">
    <w:p w14:paraId="2F14FCFE" w14:textId="09810F39" w:rsidR="0023585A" w:rsidRPr="00BC57A2" w:rsidRDefault="0023585A" w:rsidP="0056309D">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Cfr.</w:t>
      </w:r>
      <w:r w:rsidRPr="00BC57A2">
        <w:rPr>
          <w:sz w:val="16"/>
          <w:szCs w:val="16"/>
          <w:lang w:val="es-CR"/>
        </w:rPr>
        <w:t xml:space="preserve"> “Propuesta Integral de Trabajo”.</w:t>
      </w:r>
    </w:p>
    <w:p w14:paraId="533A797C" w14:textId="77777777" w:rsidR="0023585A" w:rsidRPr="00BC57A2" w:rsidRDefault="0023585A" w:rsidP="0056309D">
      <w:pPr>
        <w:pStyle w:val="Textonotapie"/>
        <w:rPr>
          <w:sz w:val="16"/>
          <w:szCs w:val="16"/>
          <w:lang w:val="es-CR"/>
        </w:rPr>
      </w:pPr>
    </w:p>
  </w:footnote>
  <w:footnote w:id="319">
    <w:p w14:paraId="05536264" w14:textId="77777777" w:rsidR="0023585A" w:rsidRPr="00BC57A2" w:rsidRDefault="0023585A" w:rsidP="0056309D">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 xml:space="preserve">Entre ellas, Argentina indicó: a) “la culminación del proceso de relocalización de las familias criollas”; b) “sentar las bases para establecer protocolos de actuación en materia de consulta y estudios ambientales sobre obras o concesiones que quieran realizarse en tierras comunitarias en el futuro”; c) respetar los tiempos necesarios para la adopción de tecnología y las nuevas pautas productivas por parte de las familias criollas. También que “el traslado de los animales debe ser necesariamente el último componente del módulo productivo, ya que […] es indispensable garantizar el agua, los cerramientos y las pasturas”. Señaló que ese plazo es necesario por el tiempo “que necesitan [las familia criollas] para realizar la readecuación productiva, acorde a las nuevas superficies y traslados”. </w:t>
      </w:r>
      <w:r w:rsidRPr="00BC57A2">
        <w:rPr>
          <w:i/>
          <w:sz w:val="16"/>
          <w:szCs w:val="16"/>
          <w:lang w:val="es-CR"/>
        </w:rPr>
        <w:t>Cfr</w:t>
      </w:r>
      <w:r w:rsidRPr="00BC57A2">
        <w:rPr>
          <w:sz w:val="16"/>
          <w:szCs w:val="16"/>
          <w:lang w:val="es-CR"/>
        </w:rPr>
        <w:t>. “Propuesta Integral de Trabajo”.</w:t>
      </w:r>
    </w:p>
    <w:p w14:paraId="6AF24FB9" w14:textId="77777777" w:rsidR="0023585A" w:rsidRPr="00BC57A2" w:rsidRDefault="0023585A" w:rsidP="0056309D">
      <w:pPr>
        <w:pStyle w:val="Textonotapie"/>
        <w:rPr>
          <w:sz w:val="16"/>
          <w:szCs w:val="16"/>
          <w:lang w:val="es-CR"/>
        </w:rPr>
      </w:pPr>
    </w:p>
  </w:footnote>
  <w:footnote w:id="320">
    <w:p w14:paraId="6CE94B4A" w14:textId="77777777" w:rsidR="0023585A" w:rsidRPr="00BC57A2" w:rsidRDefault="0023585A" w:rsidP="0056309D">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 xml:space="preserve">Explicó el Estado que “levantar los cerramientos donde se encuentra el ganado implicaría una mayor invasión de animales en el territorio de uso tradicional de las comunidades”. </w:t>
      </w:r>
    </w:p>
    <w:p w14:paraId="4CFA430E" w14:textId="77777777" w:rsidR="0023585A" w:rsidRPr="00BC57A2" w:rsidRDefault="0023585A" w:rsidP="0056309D">
      <w:pPr>
        <w:pStyle w:val="Textonotapie"/>
        <w:rPr>
          <w:sz w:val="16"/>
          <w:szCs w:val="16"/>
          <w:lang w:val="es-CR"/>
        </w:rPr>
      </w:pPr>
    </w:p>
  </w:footnote>
  <w:footnote w:id="321">
    <w:p w14:paraId="37EB3C97" w14:textId="0358207A" w:rsidR="0023585A" w:rsidRPr="00BC57A2" w:rsidRDefault="0023585A" w:rsidP="0056309D">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La aclaración es relevante, pues si bien se ha indicado que la unidad del territorio se vincula a la identidad cultural y modo de vida de las comunidades víctimas en el caso (</w:t>
      </w:r>
      <w:r w:rsidRPr="00BC57A2">
        <w:rPr>
          <w:i/>
          <w:sz w:val="16"/>
          <w:szCs w:val="16"/>
          <w:lang w:val="es-CR"/>
        </w:rPr>
        <w:t>cfr.</w:t>
      </w:r>
      <w:r w:rsidRPr="00BC57A2">
        <w:rPr>
          <w:sz w:val="16"/>
          <w:szCs w:val="16"/>
          <w:lang w:val="es-CR"/>
        </w:rPr>
        <w:t xml:space="preserve"> declaraciones periciales de las señoras Naharro y Yáñez Fuenzalida), la Corte recibió algunas declaraciones de integrantes de comunidades indígenas que bregaban porque se dieran títul</w:t>
      </w:r>
      <w:r>
        <w:rPr>
          <w:sz w:val="16"/>
          <w:szCs w:val="16"/>
          <w:lang w:val="es-CR"/>
        </w:rPr>
        <w:t>os separados a cada comunidad (</w:t>
      </w:r>
      <w:r w:rsidRPr="00BC57A2">
        <w:rPr>
          <w:sz w:val="16"/>
          <w:szCs w:val="16"/>
          <w:lang w:val="es-CR"/>
        </w:rPr>
        <w:t>pueden señalarse, en este sentido, las declaraciones de Víctor González, Francisco Gomez y Humberto Chenes (expediente de fondo, fs. 938 a 941, 954 a 958 y 963 a 966)). La Corte entiende que lo expuesto no modifica la obligación estatal de reconocer la propiedad en forma unificada, conforme se ha determinado y se ordena en esta Sentencia. Ello no impide los eventuales acuerdos que adopten las comunidades para el uso de su territorio, cuestión que, de ser el caso, compete a las mismas decidir, no a autoridades estatales ni a esta Corte. En ese sentido cabe recordar la declaración oral</w:t>
      </w:r>
      <w:r>
        <w:rPr>
          <w:sz w:val="16"/>
          <w:szCs w:val="16"/>
          <w:lang w:val="es-CR"/>
        </w:rPr>
        <w:t>, en la audiencia pública, del C</w:t>
      </w:r>
      <w:r w:rsidRPr="00BC57A2">
        <w:rPr>
          <w:sz w:val="16"/>
          <w:szCs w:val="16"/>
          <w:lang w:val="es-CR"/>
        </w:rPr>
        <w:t xml:space="preserve">acique Rogelio Segundo, quien al solicitar que el Estado “delimite las 400.000 [ha], que [las] demarque y [otorgue el] títul[o]”, afirmó que con eso “termina el trabajo” estatal y que “para adentro […] lo soluciona[n las comunidades], según las leyes [que] no están escritas pero [que] permanece[n] en […] las comunidades”. </w:t>
      </w:r>
    </w:p>
    <w:p w14:paraId="568031CA" w14:textId="77777777" w:rsidR="0023585A" w:rsidRPr="00BC57A2" w:rsidRDefault="0023585A" w:rsidP="0056309D">
      <w:pPr>
        <w:pStyle w:val="Textonotapie"/>
        <w:rPr>
          <w:sz w:val="16"/>
          <w:szCs w:val="16"/>
          <w:lang w:val="es-CR"/>
        </w:rPr>
      </w:pPr>
    </w:p>
  </w:footnote>
  <w:footnote w:id="322">
    <w:p w14:paraId="0F02F06C" w14:textId="77777777" w:rsidR="0023585A" w:rsidRPr="00BC57A2" w:rsidRDefault="0023585A" w:rsidP="0056309D">
      <w:pPr>
        <w:pStyle w:val="Textonotapie"/>
        <w:rPr>
          <w:rStyle w:val="Textoennegrita"/>
          <w:b w:val="0"/>
          <w:color w:val="000000"/>
          <w:sz w:val="16"/>
          <w:szCs w:val="16"/>
          <w:shd w:val="clear" w:color="auto" w:fill="FFFFFF"/>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Cfr</w:t>
      </w:r>
      <w:r w:rsidRPr="00BC57A2">
        <w:rPr>
          <w:sz w:val="16"/>
          <w:szCs w:val="16"/>
          <w:lang w:val="es-CR"/>
        </w:rPr>
        <w:t xml:space="preserve">. en el mismo sentido, </w:t>
      </w:r>
      <w:r w:rsidRPr="00BC57A2">
        <w:rPr>
          <w:i/>
          <w:sz w:val="16"/>
          <w:szCs w:val="16"/>
          <w:lang w:val="es-CR"/>
        </w:rPr>
        <w:t>Caso de la Comunidad Mayagna (Sumo) Awas Tingni Vs Nicaragua,</w:t>
      </w:r>
      <w:r w:rsidRPr="00BC57A2">
        <w:rPr>
          <w:sz w:val="16"/>
          <w:szCs w:val="16"/>
          <w:lang w:val="es-CR"/>
        </w:rPr>
        <w:t xml:space="preserve"> párr. 153.2, y </w:t>
      </w:r>
      <w:r w:rsidRPr="00BC57A2">
        <w:rPr>
          <w:rStyle w:val="Textoennegrita"/>
          <w:b w:val="0"/>
          <w:i/>
          <w:color w:val="000000"/>
          <w:sz w:val="16"/>
          <w:szCs w:val="16"/>
          <w:shd w:val="clear" w:color="auto" w:fill="FFFFFF"/>
          <w:lang w:val="es-CR"/>
        </w:rPr>
        <w:t>Caso Pueblos Kaliña y Lokono Vs. Surinam</w:t>
      </w:r>
      <w:r w:rsidRPr="00BC57A2">
        <w:rPr>
          <w:rStyle w:val="Textoennegrita"/>
          <w:b w:val="0"/>
          <w:color w:val="000000"/>
          <w:sz w:val="16"/>
          <w:szCs w:val="16"/>
          <w:shd w:val="clear" w:color="auto" w:fill="FFFFFF"/>
          <w:lang w:val="es-CR"/>
        </w:rPr>
        <w:t>, párr. 282.</w:t>
      </w:r>
    </w:p>
    <w:p w14:paraId="7ECE1122" w14:textId="77777777" w:rsidR="0023585A" w:rsidRPr="00BC57A2" w:rsidRDefault="0023585A" w:rsidP="0056309D">
      <w:pPr>
        <w:pStyle w:val="Textonotapie"/>
        <w:rPr>
          <w:b/>
          <w:sz w:val="16"/>
          <w:szCs w:val="16"/>
          <w:lang w:val="es-CR"/>
        </w:rPr>
      </w:pPr>
    </w:p>
  </w:footnote>
  <w:footnote w:id="323">
    <w:p w14:paraId="42744481" w14:textId="77777777" w:rsidR="0023585A" w:rsidRPr="00BC57A2" w:rsidRDefault="0023585A" w:rsidP="0056309D">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 xml:space="preserve">Se hace notar que esto es consistente con uno de los aspectos indicados por familias criollas en su “propuesta” hecha llegar a la Corte, en la que se expresa que “se debería prever un tiempo para desarrollar diálogos en las zonas sin acuerdos”. Además, en el documento se recuerda que “[e]n la propuesta del Estado […] esto estaba previsto realizar[se] en un año” y se "[c]onsidera que es tiempo suficiente para realizar los acuerdos y mensuras faltantes a través de la metodología de dialogo instaurada en el proceso de tierras” (Propuesta Criolla. Expediente de fondo, fs. 1823 a 1841). </w:t>
      </w:r>
    </w:p>
    <w:p w14:paraId="0174EC26" w14:textId="77777777" w:rsidR="0023585A" w:rsidRPr="00BC57A2" w:rsidRDefault="0023585A" w:rsidP="0056309D">
      <w:pPr>
        <w:pStyle w:val="Textonotapie"/>
        <w:rPr>
          <w:sz w:val="16"/>
          <w:szCs w:val="16"/>
          <w:lang w:val="es-CR"/>
        </w:rPr>
      </w:pPr>
    </w:p>
  </w:footnote>
  <w:footnote w:id="324">
    <w:p w14:paraId="7D9414C4" w14:textId="669697ED" w:rsidR="0023585A" w:rsidRPr="00BC57A2" w:rsidRDefault="0023585A" w:rsidP="0056309D">
      <w:pPr>
        <w:pStyle w:val="Textonotapie"/>
        <w:rPr>
          <w:sz w:val="16"/>
          <w:szCs w:val="16"/>
          <w:lang w:val="es-CR"/>
        </w:rPr>
      </w:pPr>
      <w:r w:rsidRPr="00BC57A2">
        <w:rPr>
          <w:rStyle w:val="Refdenotaalpie"/>
          <w:sz w:val="16"/>
          <w:szCs w:val="16"/>
        </w:rPr>
        <w:footnoteRef/>
      </w:r>
      <w:r w:rsidRPr="00BC57A2">
        <w:rPr>
          <w:rStyle w:val="Refdenotaalpie"/>
          <w:sz w:val="16"/>
          <w:szCs w:val="16"/>
          <w:lang w:val="es-CR"/>
        </w:rPr>
        <w:t xml:space="preserve"> </w:t>
      </w:r>
      <w:r w:rsidRPr="00BC57A2">
        <w:rPr>
          <w:rStyle w:val="Refdenotaalpie"/>
          <w:sz w:val="16"/>
          <w:szCs w:val="16"/>
          <w:lang w:val="es-CR"/>
        </w:rPr>
        <w:tab/>
      </w:r>
      <w:r w:rsidRPr="00BC57A2">
        <w:rPr>
          <w:sz w:val="16"/>
          <w:szCs w:val="16"/>
          <w:lang w:val="es-CR"/>
        </w:rPr>
        <w:t xml:space="preserve">Se ha indicado en esta Sentencia que la población criolla es una población vulnerable y que el Estado tiene deberes respecto de ella. La Corte aclara que el cumplimiento de esta Sentencia, en particular en relación con el traslado de la población criolla, debe efectuarse de modo respetuoso de los derechos de esa población. Al respecto, en el marco de las pautas fijadas, este Tribunal entiende pertinente que el Estado tome en cuenta los siguientes señalamientos del Comité </w:t>
      </w:r>
      <w:r>
        <w:rPr>
          <w:sz w:val="16"/>
          <w:szCs w:val="16"/>
          <w:lang w:val="es-CR"/>
        </w:rPr>
        <w:t>DESC</w:t>
      </w:r>
      <w:r w:rsidRPr="00BC57A2">
        <w:rPr>
          <w:sz w:val="16"/>
          <w:szCs w:val="16"/>
          <w:lang w:val="es-CR"/>
        </w:rPr>
        <w:t>: “[l]</w:t>
      </w:r>
      <w:r w:rsidRPr="00BC57A2">
        <w:rPr>
          <w:sz w:val="16"/>
          <w:szCs w:val="16"/>
          <w:lang w:val="es-ES"/>
        </w:rPr>
        <w:t>os desalojos no deberían dar lugar a que haya personas que se queden sin vivienda o expuestas a violaciones de otros derechos humanos. Cuando los afectados por el desalojo no dispongan de recursos, el Estado Parte deberá adoptar todas las medidas necesarias, en la mayor medida que permitan sus recursos, para que se proporcione otra vivienda, reasentamiento o acceso a tierras productivas, según proceda” (</w:t>
      </w:r>
      <w:r w:rsidRPr="00BC57A2">
        <w:rPr>
          <w:i/>
          <w:sz w:val="16"/>
          <w:szCs w:val="16"/>
          <w:lang w:val="es-ES"/>
        </w:rPr>
        <w:t xml:space="preserve">Observación General No. 7. </w:t>
      </w:r>
      <w:r w:rsidRPr="00BC57A2">
        <w:rPr>
          <w:bCs/>
          <w:i/>
          <w:color w:val="000000"/>
          <w:sz w:val="16"/>
          <w:szCs w:val="16"/>
          <w:lang w:val="es-CR"/>
        </w:rPr>
        <w:t>El derecho a una vivienda adecuada (párrafo 1 del artículo 11 del Pacto): los desalojos forzosos</w:t>
      </w:r>
      <w:r w:rsidRPr="00BC57A2">
        <w:rPr>
          <w:sz w:val="16"/>
          <w:szCs w:val="16"/>
          <w:lang w:val="es-CR"/>
        </w:rPr>
        <w:t>,</w:t>
      </w:r>
      <w:r w:rsidRPr="00BC57A2">
        <w:rPr>
          <w:color w:val="000000"/>
          <w:sz w:val="16"/>
          <w:szCs w:val="16"/>
          <w:lang w:val="es-CR"/>
        </w:rPr>
        <w:t xml:space="preserve"> 16º período de sesiones (1997). Doc.</w:t>
      </w:r>
      <w:r w:rsidRPr="005C7B3D">
        <w:rPr>
          <w:sz w:val="16"/>
          <w:szCs w:val="16"/>
          <w:lang w:val="es-ES"/>
        </w:rPr>
        <w:t xml:space="preserve"> </w:t>
      </w:r>
      <w:r w:rsidRPr="00BC57A2">
        <w:rPr>
          <w:color w:val="000000"/>
          <w:sz w:val="16"/>
          <w:szCs w:val="16"/>
          <w:lang w:val="es-CR"/>
        </w:rPr>
        <w:t xml:space="preserve">E/1998/22, anexo IV, </w:t>
      </w:r>
      <w:r w:rsidRPr="00BC57A2">
        <w:rPr>
          <w:sz w:val="16"/>
          <w:szCs w:val="16"/>
          <w:lang w:val="es-CR"/>
        </w:rPr>
        <w:t>párr. 16).</w:t>
      </w:r>
    </w:p>
    <w:p w14:paraId="34ED8E6D" w14:textId="77777777" w:rsidR="0023585A" w:rsidRPr="00BC57A2" w:rsidRDefault="0023585A" w:rsidP="0056309D">
      <w:pPr>
        <w:pStyle w:val="Textonotapie"/>
        <w:rPr>
          <w:sz w:val="16"/>
          <w:szCs w:val="16"/>
          <w:lang w:val="es-CR"/>
        </w:rPr>
      </w:pPr>
    </w:p>
  </w:footnote>
  <w:footnote w:id="325">
    <w:p w14:paraId="187DCE48" w14:textId="77777777" w:rsidR="0023585A" w:rsidRPr="00BC57A2" w:rsidRDefault="0023585A" w:rsidP="0056309D">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La Corte tiene en cuenta que un mecanismo similar fue dispuesto en el Acta-Acuerdo aprobada por el Decreto 2786/07 (</w:t>
      </w:r>
      <w:r w:rsidRPr="00BC57A2">
        <w:rPr>
          <w:i/>
          <w:sz w:val="16"/>
          <w:szCs w:val="16"/>
          <w:lang w:val="es-CR"/>
        </w:rPr>
        <w:t xml:space="preserve">supra </w:t>
      </w:r>
      <w:r w:rsidRPr="00BC57A2">
        <w:rPr>
          <w:sz w:val="16"/>
          <w:szCs w:val="16"/>
          <w:lang w:val="es-CR"/>
        </w:rPr>
        <w:t>párrs. 75 y 144).</w:t>
      </w:r>
    </w:p>
    <w:p w14:paraId="2D5F5C1A" w14:textId="77777777" w:rsidR="0023585A" w:rsidRPr="00BC57A2" w:rsidRDefault="0023585A" w:rsidP="0056309D">
      <w:pPr>
        <w:pStyle w:val="Textonotapie"/>
        <w:rPr>
          <w:sz w:val="16"/>
          <w:szCs w:val="16"/>
          <w:lang w:val="es-CR"/>
        </w:rPr>
      </w:pPr>
    </w:p>
  </w:footnote>
  <w:footnote w:id="326">
    <w:p w14:paraId="3E5D10E9" w14:textId="4E701B96" w:rsidR="0023585A" w:rsidRPr="00BC57A2" w:rsidRDefault="0023585A" w:rsidP="0056309D">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No debe entenderse que las medidas ordenadas bajo el apartado B.3.1 del Capítulo VIII de la presente Sentencia (“Acciones dirigidas al agua, la alimentación y los recursos forestales”) impone</w:t>
      </w:r>
      <w:r>
        <w:rPr>
          <w:sz w:val="16"/>
          <w:szCs w:val="16"/>
          <w:lang w:val="es-CR"/>
        </w:rPr>
        <w:t>n</w:t>
      </w:r>
      <w:r w:rsidRPr="00BC57A2">
        <w:rPr>
          <w:sz w:val="16"/>
          <w:szCs w:val="16"/>
          <w:lang w:val="es-CR"/>
        </w:rPr>
        <w:t>, necesariamente, la provisión directa y/o gratuita de agua y alimento por parte de autoridades estatales; el Estado puede cumplir lo ordenado de esa</w:t>
      </w:r>
      <w:r>
        <w:rPr>
          <w:sz w:val="16"/>
          <w:szCs w:val="16"/>
          <w:lang w:val="es-CR"/>
        </w:rPr>
        <w:t>s</w:t>
      </w:r>
      <w:r w:rsidRPr="00BC57A2">
        <w:rPr>
          <w:sz w:val="16"/>
          <w:szCs w:val="16"/>
          <w:lang w:val="es-CR"/>
        </w:rPr>
        <w:t xml:space="preserve"> forma</w:t>
      </w:r>
      <w:r>
        <w:rPr>
          <w:sz w:val="16"/>
          <w:szCs w:val="16"/>
          <w:lang w:val="es-CR"/>
        </w:rPr>
        <w:t>s</w:t>
      </w:r>
      <w:r w:rsidRPr="00BC57A2">
        <w:rPr>
          <w:sz w:val="16"/>
          <w:szCs w:val="16"/>
          <w:lang w:val="es-CR"/>
        </w:rPr>
        <w:t xml:space="preserve"> o de otra</w:t>
      </w:r>
      <w:r>
        <w:rPr>
          <w:sz w:val="16"/>
          <w:szCs w:val="16"/>
          <w:lang w:val="es-CR"/>
        </w:rPr>
        <w:t>s</w:t>
      </w:r>
      <w:r w:rsidRPr="00BC57A2">
        <w:rPr>
          <w:sz w:val="16"/>
          <w:szCs w:val="16"/>
          <w:lang w:val="es-CR"/>
        </w:rPr>
        <w:t>, en tanto las medidas que determine adoptar sean adecuadas para garantizar en forma efectiva el acceso a agua potable y a alimentos conforme lo dispuesto, en armonía con políticas públicas estatales, planes de gobierno y la normativa nacional o provincial pertinente. Por otra parte, se aclara que la Corte no supervisará la implementación de aquellas “acciones de atención de situaciones urgentes que el Estado pueda realizar”, en los términos del párrafo 332 de la presente Sentencia, que sean distintas a aquellas que se deriven del plan de acción indicado en el mismo párrafo.</w:t>
      </w:r>
    </w:p>
    <w:p w14:paraId="135E8EB8" w14:textId="77777777" w:rsidR="0023585A" w:rsidRPr="00BC57A2" w:rsidRDefault="0023585A" w:rsidP="0056309D">
      <w:pPr>
        <w:pStyle w:val="Textonotapie"/>
        <w:rPr>
          <w:sz w:val="16"/>
          <w:szCs w:val="16"/>
          <w:lang w:val="es-CR"/>
        </w:rPr>
      </w:pPr>
    </w:p>
  </w:footnote>
  <w:footnote w:id="327">
    <w:p w14:paraId="2D95D4AE" w14:textId="77777777" w:rsidR="0023585A" w:rsidRPr="00BC57A2" w:rsidRDefault="0023585A" w:rsidP="0056309D">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Cfr.</w:t>
      </w:r>
      <w:r w:rsidRPr="00BC57A2">
        <w:rPr>
          <w:sz w:val="16"/>
          <w:szCs w:val="16"/>
          <w:lang w:val="es-CR"/>
        </w:rPr>
        <w:t xml:space="preserve"> </w:t>
      </w:r>
      <w:r w:rsidRPr="00BC57A2">
        <w:rPr>
          <w:i/>
          <w:sz w:val="16"/>
          <w:szCs w:val="16"/>
          <w:lang w:val="es-CR"/>
        </w:rPr>
        <w:t>Caso Comunidad Indígena Yakye Axa Vs. Paraguay</w:t>
      </w:r>
      <w:r w:rsidRPr="00BC57A2">
        <w:rPr>
          <w:sz w:val="16"/>
          <w:szCs w:val="16"/>
          <w:lang w:val="es-CR"/>
        </w:rPr>
        <w:t>, párr. 205, y</w:t>
      </w:r>
      <w:r w:rsidRPr="00BC57A2">
        <w:rPr>
          <w:rStyle w:val="Textoennegrita"/>
          <w:i/>
          <w:color w:val="000000"/>
          <w:sz w:val="16"/>
          <w:szCs w:val="16"/>
          <w:shd w:val="clear" w:color="auto" w:fill="FFFFFF"/>
          <w:lang w:val="es-CR"/>
        </w:rPr>
        <w:t xml:space="preserve"> </w:t>
      </w:r>
      <w:r w:rsidRPr="00BC57A2">
        <w:rPr>
          <w:rStyle w:val="Textoennegrita"/>
          <w:b w:val="0"/>
          <w:i/>
          <w:color w:val="000000"/>
          <w:sz w:val="16"/>
          <w:szCs w:val="16"/>
          <w:shd w:val="clear" w:color="auto" w:fill="FFFFFF"/>
          <w:lang w:val="es-CR"/>
        </w:rPr>
        <w:t>Caso Pueblos Kaliña y Lokono Vs. Surinam</w:t>
      </w:r>
      <w:r w:rsidRPr="00BC57A2">
        <w:rPr>
          <w:rStyle w:val="Textoennegrita"/>
          <w:b w:val="0"/>
          <w:color w:val="000000"/>
          <w:sz w:val="16"/>
          <w:szCs w:val="16"/>
          <w:shd w:val="clear" w:color="auto" w:fill="FFFFFF"/>
          <w:lang w:val="es-CR"/>
        </w:rPr>
        <w:t>,</w:t>
      </w:r>
      <w:r w:rsidRPr="00BC57A2">
        <w:rPr>
          <w:sz w:val="16"/>
          <w:szCs w:val="16"/>
          <w:lang w:val="es-CR"/>
        </w:rPr>
        <w:t xml:space="preserve"> párr. 295.</w:t>
      </w:r>
    </w:p>
    <w:p w14:paraId="680CD4A6" w14:textId="77777777" w:rsidR="0023585A" w:rsidRPr="00BC57A2" w:rsidRDefault="0023585A" w:rsidP="0056309D">
      <w:pPr>
        <w:pStyle w:val="Textonotapie"/>
        <w:rPr>
          <w:sz w:val="16"/>
          <w:szCs w:val="16"/>
          <w:lang w:val="es-ES_tradnl"/>
        </w:rPr>
      </w:pPr>
    </w:p>
  </w:footnote>
  <w:footnote w:id="328">
    <w:p w14:paraId="4F46E269" w14:textId="77777777" w:rsidR="0023585A" w:rsidRPr="00BC57A2" w:rsidRDefault="0023585A" w:rsidP="0056309D">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Cfr. Caso Comunidad Garífuna de Punta Piedra y sus miembros Vs Honduras</w:t>
      </w:r>
      <w:r w:rsidRPr="00BC57A2">
        <w:rPr>
          <w:sz w:val="16"/>
          <w:szCs w:val="16"/>
          <w:lang w:val="es-CR"/>
        </w:rPr>
        <w:t xml:space="preserve">, párrs. 332 a 336, y </w:t>
      </w:r>
      <w:r w:rsidRPr="00BC57A2">
        <w:rPr>
          <w:rStyle w:val="Textoennegrita"/>
          <w:b w:val="0"/>
          <w:i/>
          <w:color w:val="000000"/>
          <w:sz w:val="16"/>
          <w:szCs w:val="16"/>
          <w:shd w:val="clear" w:color="auto" w:fill="FFFFFF"/>
          <w:lang w:val="es-CR"/>
        </w:rPr>
        <w:t>Caso Pueblos Kaliña y Lokono Vs. Surinam</w:t>
      </w:r>
      <w:r w:rsidRPr="00BC57A2">
        <w:rPr>
          <w:rStyle w:val="Textoennegrita"/>
          <w:b w:val="0"/>
          <w:color w:val="000000"/>
          <w:sz w:val="16"/>
          <w:szCs w:val="16"/>
          <w:shd w:val="clear" w:color="auto" w:fill="FFFFFF"/>
          <w:lang w:val="es-CR"/>
        </w:rPr>
        <w:t>,</w:t>
      </w:r>
      <w:r w:rsidRPr="00BC57A2">
        <w:rPr>
          <w:sz w:val="16"/>
          <w:szCs w:val="16"/>
          <w:lang w:val="es-CR"/>
        </w:rPr>
        <w:t xml:space="preserve"> párr. 295. </w:t>
      </w:r>
    </w:p>
    <w:p w14:paraId="6D68A484" w14:textId="77777777" w:rsidR="0023585A" w:rsidRPr="00BC57A2" w:rsidRDefault="0023585A" w:rsidP="0056309D">
      <w:pPr>
        <w:pStyle w:val="Textonotapie"/>
        <w:rPr>
          <w:sz w:val="16"/>
          <w:szCs w:val="16"/>
          <w:lang w:val="es-CR"/>
        </w:rPr>
      </w:pPr>
    </w:p>
  </w:footnote>
  <w:footnote w:id="329">
    <w:p w14:paraId="627C5C01" w14:textId="4A15FA45" w:rsidR="0023585A" w:rsidRPr="00BC57A2" w:rsidRDefault="0023585A" w:rsidP="0056309D">
      <w:pPr>
        <w:pStyle w:val="Textonotapie"/>
        <w:rPr>
          <w:b/>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Los representantes, en cuanto a las medidas indicadas, solicitaron:</w:t>
      </w:r>
      <w:r w:rsidRPr="00BC57A2">
        <w:rPr>
          <w:sz w:val="16"/>
          <w:szCs w:val="16"/>
          <w:lang w:val="es-ES"/>
        </w:rPr>
        <w:t xml:space="preserve"> </w:t>
      </w:r>
      <w:r>
        <w:rPr>
          <w:sz w:val="16"/>
          <w:szCs w:val="16"/>
          <w:lang w:val="es-ES"/>
        </w:rPr>
        <w:t>a</w:t>
      </w:r>
      <w:r w:rsidRPr="00BC57A2">
        <w:rPr>
          <w:sz w:val="16"/>
          <w:szCs w:val="16"/>
          <w:lang w:val="es-ES"/>
        </w:rPr>
        <w:t xml:space="preserve">) sobre el resumen oficial: </w:t>
      </w:r>
      <w:r w:rsidRPr="00BC57A2">
        <w:rPr>
          <w:sz w:val="16"/>
          <w:szCs w:val="16"/>
          <w:lang w:val="es-CR"/>
        </w:rPr>
        <w:t xml:space="preserve">que su versión impresa sea difundida entre las comunidades nucleadas en Lhaka Honhat; </w:t>
      </w:r>
      <w:r>
        <w:rPr>
          <w:sz w:val="16"/>
          <w:szCs w:val="16"/>
          <w:lang w:val="es-ES"/>
        </w:rPr>
        <w:t>b</w:t>
      </w:r>
      <w:r w:rsidRPr="00BC57A2">
        <w:rPr>
          <w:sz w:val="16"/>
          <w:szCs w:val="16"/>
          <w:lang w:val="es-ES"/>
        </w:rPr>
        <w:t>) respecto a las publicaciones en periódicos de circulación provincial y nacional: que el Estado les informe una semana antes de que las haga, “[a] fin de difundir ampliamente la noticia entre las comunidades indígenas, considerando la enorme dificultad de comunica</w:t>
      </w:r>
      <w:r>
        <w:rPr>
          <w:sz w:val="16"/>
          <w:szCs w:val="16"/>
          <w:lang w:val="es-ES"/>
        </w:rPr>
        <w:t>ción que en ocasiones existe”; c</w:t>
      </w:r>
      <w:r w:rsidRPr="00BC57A2">
        <w:rPr>
          <w:sz w:val="16"/>
          <w:szCs w:val="16"/>
          <w:lang w:val="es-ES"/>
        </w:rPr>
        <w:t>)</w:t>
      </w:r>
      <w:r w:rsidRPr="00BC57A2">
        <w:rPr>
          <w:b/>
          <w:sz w:val="16"/>
          <w:szCs w:val="16"/>
          <w:lang w:val="es-ES"/>
        </w:rPr>
        <w:t xml:space="preserve"> </w:t>
      </w:r>
      <w:r w:rsidRPr="00BC57A2">
        <w:rPr>
          <w:sz w:val="16"/>
          <w:szCs w:val="16"/>
          <w:lang w:val="es-ES"/>
        </w:rPr>
        <w:t>sobre la publicación íntegra de la sentencia:</w:t>
      </w:r>
      <w:r w:rsidRPr="00BC57A2">
        <w:rPr>
          <w:b/>
          <w:sz w:val="16"/>
          <w:szCs w:val="16"/>
          <w:lang w:val="es-ES"/>
        </w:rPr>
        <w:t xml:space="preserve"> </w:t>
      </w:r>
      <w:r w:rsidRPr="00BC57A2">
        <w:rPr>
          <w:sz w:val="16"/>
          <w:szCs w:val="16"/>
          <w:lang w:val="es-CR"/>
        </w:rPr>
        <w:t xml:space="preserve">que sea durante un año: i.- en Salta, en las páginas oficiales de la Gobernación, del Ministerio de Asunto Indígenas y Desarrollo Social y del Poder Judicial; ii.- en el Estado Nacional, en las páginas oficiales del Centro de Información Judicial de la CSJN y del INAI, y </w:t>
      </w:r>
      <w:r>
        <w:rPr>
          <w:sz w:val="16"/>
          <w:szCs w:val="16"/>
          <w:lang w:val="es-ES"/>
        </w:rPr>
        <w:t>d</w:t>
      </w:r>
      <w:r w:rsidRPr="00BC57A2">
        <w:rPr>
          <w:sz w:val="16"/>
          <w:szCs w:val="16"/>
          <w:lang w:val="es-CR"/>
        </w:rPr>
        <w:t xml:space="preserve">) que la transmisión radial se efectúe cada primer domingo de mes durante cuatro meses, y que se ordene al Estado que les informe con al menos tres semanas de antelación la fecha, horario y emisora que efectuará la difusión. </w:t>
      </w:r>
    </w:p>
    <w:p w14:paraId="57E27C89" w14:textId="77777777" w:rsidR="0023585A" w:rsidRPr="00BC57A2" w:rsidRDefault="0023585A" w:rsidP="0056309D">
      <w:pPr>
        <w:pStyle w:val="Textonotapie"/>
        <w:rPr>
          <w:sz w:val="16"/>
          <w:szCs w:val="16"/>
          <w:lang w:val="es-ES"/>
        </w:rPr>
      </w:pPr>
    </w:p>
  </w:footnote>
  <w:footnote w:id="330">
    <w:p w14:paraId="26D07C5F" w14:textId="77777777" w:rsidR="0023585A" w:rsidRPr="00BC57A2" w:rsidRDefault="0023585A" w:rsidP="0056309D">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Cfr.</w:t>
      </w:r>
      <w:r w:rsidRPr="00BC57A2">
        <w:rPr>
          <w:sz w:val="16"/>
          <w:szCs w:val="16"/>
          <w:lang w:val="es-CR"/>
        </w:rPr>
        <w:t xml:space="preserve"> </w:t>
      </w:r>
      <w:r w:rsidRPr="00BC57A2">
        <w:rPr>
          <w:i/>
          <w:sz w:val="16"/>
          <w:szCs w:val="16"/>
          <w:lang w:val="es-CR"/>
        </w:rPr>
        <w:t xml:space="preserve">Caso Cantoral Benavides Vs. Perú. Reparaciones y Costas. </w:t>
      </w:r>
      <w:r w:rsidRPr="00BC57A2">
        <w:rPr>
          <w:sz w:val="16"/>
          <w:szCs w:val="16"/>
          <w:lang w:val="es-CR"/>
        </w:rPr>
        <w:t>Sentencia de 3 de diciembre de 2001. Serie C No. 88, párr. 79, y</w:t>
      </w:r>
      <w:r w:rsidRPr="00BC57A2">
        <w:rPr>
          <w:i/>
          <w:sz w:val="16"/>
          <w:szCs w:val="16"/>
          <w:lang w:val="es-CR"/>
        </w:rPr>
        <w:t xml:space="preserve"> Caso Jenkins Vs Argentina</w:t>
      </w:r>
      <w:r w:rsidRPr="00BC57A2">
        <w:rPr>
          <w:sz w:val="16"/>
          <w:szCs w:val="16"/>
          <w:lang w:val="es-CR"/>
        </w:rPr>
        <w:t>, párr. 134.</w:t>
      </w:r>
    </w:p>
    <w:p w14:paraId="274011DE" w14:textId="77777777" w:rsidR="0023585A" w:rsidRPr="00BC57A2" w:rsidRDefault="0023585A" w:rsidP="0056309D">
      <w:pPr>
        <w:pStyle w:val="Textonotapie"/>
        <w:rPr>
          <w:sz w:val="16"/>
          <w:szCs w:val="16"/>
          <w:lang w:val="es-ES"/>
        </w:rPr>
      </w:pPr>
    </w:p>
  </w:footnote>
  <w:footnote w:id="331">
    <w:p w14:paraId="5FFA44D1" w14:textId="77777777" w:rsidR="0023585A" w:rsidRPr="00BC57A2" w:rsidRDefault="0023585A" w:rsidP="0056309D">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Cfr.</w:t>
      </w:r>
      <w:r w:rsidRPr="00BC57A2">
        <w:rPr>
          <w:sz w:val="16"/>
          <w:szCs w:val="16"/>
          <w:lang w:val="es-CR"/>
        </w:rPr>
        <w:t xml:space="preserve"> </w:t>
      </w:r>
      <w:r w:rsidRPr="00BC57A2">
        <w:rPr>
          <w:i/>
          <w:sz w:val="16"/>
          <w:szCs w:val="16"/>
          <w:lang w:val="es-CR"/>
        </w:rPr>
        <w:t>Caso Comunidad Indígena Yakye Axa Vs. Paraguay</w:t>
      </w:r>
      <w:r w:rsidRPr="00BC57A2">
        <w:rPr>
          <w:sz w:val="16"/>
          <w:szCs w:val="16"/>
          <w:lang w:val="es-CR"/>
        </w:rPr>
        <w:t xml:space="preserve">, párr. 227, y </w:t>
      </w:r>
      <w:r w:rsidRPr="00BC57A2">
        <w:rPr>
          <w:i/>
          <w:sz w:val="16"/>
          <w:szCs w:val="16"/>
          <w:lang w:val="es-CR"/>
        </w:rPr>
        <w:t>Caso Rodríguez Vera y otros (desaparecidos del Palacio de Justicia) Vs Colombia. Excepciones preliminares, Fondo, Reparaciones y Costas.</w:t>
      </w:r>
      <w:r w:rsidRPr="00BC57A2">
        <w:rPr>
          <w:sz w:val="16"/>
          <w:szCs w:val="16"/>
          <w:lang w:val="es-CR"/>
        </w:rPr>
        <w:t xml:space="preserve"> Sentencia de 14 de noviembre de 2014. Serie C No. 287, párr. 573.</w:t>
      </w:r>
    </w:p>
    <w:p w14:paraId="1F2EF798" w14:textId="77777777" w:rsidR="0023585A" w:rsidRPr="00BC57A2" w:rsidRDefault="0023585A" w:rsidP="0056309D">
      <w:pPr>
        <w:pStyle w:val="Textonotapie"/>
        <w:rPr>
          <w:sz w:val="16"/>
          <w:szCs w:val="16"/>
          <w:lang w:val="es-ES"/>
        </w:rPr>
      </w:pPr>
    </w:p>
  </w:footnote>
  <w:footnote w:id="332">
    <w:p w14:paraId="67DD4ABF" w14:textId="2E1E93A4" w:rsidR="0023585A" w:rsidRPr="00BC57A2" w:rsidRDefault="0023585A" w:rsidP="0056309D">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Además, el perito Solá, luego de dar cuenta de un relevamiento de 2018 de más de 1.500 comunidades indígenas, señaló que para 2017, en todo el país, solo 110 “contaban con título de propiedad comunitaria”, lograda por “procedimientos ajenos al Derecho Indígena tales como expropiaciones, prescripciones adquisitivas o donaciones de particulares”. Agregó que “[e]xcepcionalmente se adjudicaron títulos de propiedad comunitaria […] en caso de tierras fiscales, especialmente en la provincia de Jujuy”.</w:t>
      </w:r>
      <w:r>
        <w:rPr>
          <w:sz w:val="16"/>
          <w:szCs w:val="16"/>
          <w:lang w:val="es-CR"/>
        </w:rPr>
        <w:t xml:space="preserve"> Informó también que en </w:t>
      </w:r>
      <w:r w:rsidRPr="00BC57A2">
        <w:rPr>
          <w:sz w:val="16"/>
          <w:szCs w:val="16"/>
          <w:lang w:val="es-CR"/>
        </w:rPr>
        <w:t xml:space="preserve">febrero de 2019, en el ámbito nacional, tres proyectos de ley “vinculados a la instrumentación de la propiedad comunitaria indígena” se encontraban en “trámite legislativo”, pero indicó que ninguno “ha sido considerado aún […] y todos se encuentran próximos a caducar en [el marco de dicho] trámite”. En sentido concordante, el CDH-UBA afirmó, en su escrito de </w:t>
      </w:r>
      <w:r w:rsidRPr="00BC57A2">
        <w:rPr>
          <w:i/>
          <w:sz w:val="16"/>
          <w:szCs w:val="16"/>
          <w:lang w:val="es-CR"/>
        </w:rPr>
        <w:t xml:space="preserve">amicus curiae, </w:t>
      </w:r>
      <w:r w:rsidRPr="00BC57A2">
        <w:rPr>
          <w:sz w:val="16"/>
          <w:szCs w:val="16"/>
          <w:lang w:val="es-CR"/>
        </w:rPr>
        <w:t>que “los obstáculos enfrentados por las comunidades [víctimas] para ejercer su derecho al territorio ejemplifican la realidad de centenas de otras comunidades indígenas del país”; entendió que la “inadecuación de la normativa federal” es uno de los obstáculos referidos principales, y recordó que en 2012 el entonces Relator de Naciones Unidas sobre derechos de los pueblos indígenas había advertido, en referencia a Argentina, que “[l]a mayoría de las comunidades indígenas del país no cuentan con un ‘reconocimiento legal de sus tierras acorde a sus formas de uso y ocupación tradicional</w:t>
      </w:r>
      <w:r>
        <w:rPr>
          <w:sz w:val="16"/>
          <w:szCs w:val="16"/>
          <w:lang w:val="es-CR"/>
        </w:rPr>
        <w:t>’</w:t>
      </w:r>
      <w:r w:rsidRPr="00BC57A2">
        <w:rPr>
          <w:sz w:val="16"/>
          <w:szCs w:val="16"/>
          <w:lang w:val="es-CR"/>
        </w:rPr>
        <w:t xml:space="preserve">”. </w:t>
      </w:r>
    </w:p>
    <w:p w14:paraId="2F897AFF" w14:textId="77777777" w:rsidR="0023585A" w:rsidRPr="00BC57A2" w:rsidRDefault="0023585A" w:rsidP="0056309D">
      <w:pPr>
        <w:pStyle w:val="Textonotapie"/>
        <w:rPr>
          <w:sz w:val="16"/>
          <w:szCs w:val="16"/>
          <w:lang w:val="es-CR"/>
        </w:rPr>
      </w:pPr>
    </w:p>
  </w:footnote>
  <w:footnote w:id="333">
    <w:p w14:paraId="48405AE8" w14:textId="77777777" w:rsidR="0023585A" w:rsidRPr="00BC57A2" w:rsidRDefault="0023585A" w:rsidP="0056309D">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Cfr.</w:t>
      </w:r>
      <w:r w:rsidRPr="00BC57A2">
        <w:rPr>
          <w:sz w:val="16"/>
          <w:szCs w:val="16"/>
          <w:lang w:val="es-CR"/>
        </w:rPr>
        <w:t xml:space="preserve">, entre otras decisiones, </w:t>
      </w:r>
      <w:r w:rsidRPr="00BC57A2">
        <w:rPr>
          <w:rStyle w:val="Textoennegrita"/>
          <w:b w:val="0"/>
          <w:i/>
          <w:color w:val="000000"/>
          <w:sz w:val="16"/>
          <w:szCs w:val="16"/>
          <w:shd w:val="clear" w:color="auto" w:fill="FFFFFF"/>
          <w:lang w:val="es-CR"/>
        </w:rPr>
        <w:t>Caso Loayza Tamayo Vs. Perú. Reparaciones y Costas.</w:t>
      </w:r>
      <w:r w:rsidRPr="00BC57A2">
        <w:rPr>
          <w:rStyle w:val="Textoennegrita"/>
          <w:b w:val="0"/>
          <w:color w:val="000000"/>
          <w:sz w:val="16"/>
          <w:szCs w:val="16"/>
          <w:shd w:val="clear" w:color="auto" w:fill="FFFFFF"/>
          <w:lang w:val="es-CR"/>
        </w:rPr>
        <w:t xml:space="preserve"> Sentencia de 27 de noviembre de 1998. Serie C No. 42, párr. 171 y punto resolutivo 5;</w:t>
      </w:r>
      <w:r w:rsidRPr="00BC57A2">
        <w:rPr>
          <w:b/>
          <w:sz w:val="16"/>
          <w:szCs w:val="16"/>
          <w:lang w:val="es-CR"/>
        </w:rPr>
        <w:t xml:space="preserve"> </w:t>
      </w:r>
      <w:r w:rsidRPr="00BC57A2">
        <w:rPr>
          <w:i/>
          <w:sz w:val="16"/>
          <w:szCs w:val="16"/>
          <w:lang w:val="es-CR"/>
        </w:rPr>
        <w:t>Caso</w:t>
      </w:r>
      <w:r w:rsidRPr="00BC57A2">
        <w:rPr>
          <w:rStyle w:val="Textoennegrita"/>
          <w:b w:val="0"/>
          <w:i/>
          <w:color w:val="000000"/>
          <w:sz w:val="16"/>
          <w:szCs w:val="16"/>
          <w:shd w:val="clear" w:color="auto" w:fill="FFFFFF"/>
          <w:lang w:val="es-CR"/>
        </w:rPr>
        <w:t xml:space="preserve"> de la Comunidad Moiwana Vs. Surinam</w:t>
      </w:r>
      <w:r w:rsidRPr="00BC57A2">
        <w:rPr>
          <w:sz w:val="16"/>
          <w:szCs w:val="16"/>
          <w:lang w:val="es-CR"/>
        </w:rPr>
        <w:t xml:space="preserve">, párr. 209; </w:t>
      </w:r>
      <w:r w:rsidRPr="00BC57A2">
        <w:rPr>
          <w:rStyle w:val="Textoennegrita"/>
          <w:b w:val="0"/>
          <w:i/>
          <w:color w:val="000000"/>
          <w:sz w:val="16"/>
          <w:szCs w:val="16"/>
          <w:shd w:val="clear" w:color="auto" w:fill="FFFFFF"/>
          <w:lang w:val="es-CR"/>
        </w:rPr>
        <w:t>Caso Comunidad Indígena Sawhoyamaxa Vs. Paraguay</w:t>
      </w:r>
      <w:r w:rsidRPr="00BC57A2">
        <w:rPr>
          <w:sz w:val="16"/>
          <w:szCs w:val="16"/>
          <w:lang w:val="es-CR"/>
        </w:rPr>
        <w:t xml:space="preserve">, párr. 235, y </w:t>
      </w:r>
      <w:r w:rsidRPr="00BC57A2">
        <w:rPr>
          <w:i/>
          <w:sz w:val="16"/>
          <w:szCs w:val="16"/>
          <w:lang w:val="es-CR"/>
        </w:rPr>
        <w:t>Caso López y otros Vs. Argentina</w:t>
      </w:r>
      <w:r w:rsidRPr="00BC57A2">
        <w:rPr>
          <w:sz w:val="16"/>
          <w:szCs w:val="16"/>
          <w:lang w:val="es-CR"/>
        </w:rPr>
        <w:t>, párr. 247.</w:t>
      </w:r>
    </w:p>
    <w:p w14:paraId="67EC610D" w14:textId="77777777" w:rsidR="0023585A" w:rsidRPr="00BC57A2" w:rsidRDefault="0023585A" w:rsidP="0056309D">
      <w:pPr>
        <w:pStyle w:val="Textonotapie"/>
        <w:rPr>
          <w:sz w:val="16"/>
          <w:szCs w:val="16"/>
          <w:lang w:val="es-CR"/>
        </w:rPr>
      </w:pPr>
    </w:p>
  </w:footnote>
  <w:footnote w:id="334">
    <w:p w14:paraId="725429B4" w14:textId="7E6359BC" w:rsidR="0023585A" w:rsidRPr="00BC57A2" w:rsidRDefault="0023585A" w:rsidP="0056309D">
      <w:pPr>
        <w:pStyle w:val="Textonotapie"/>
        <w:rPr>
          <w:rFonts w:cs="Times New Roman"/>
          <w:color w:val="000000"/>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Cfr.</w:t>
      </w:r>
      <w:r w:rsidRPr="00BC57A2">
        <w:rPr>
          <w:sz w:val="16"/>
          <w:szCs w:val="16"/>
          <w:lang w:val="es-CR"/>
        </w:rPr>
        <w:t xml:space="preserve"> Decreto 672/2016, emitido el 12 de mayo de 2016. En sus fundamentos indica que “la consulta es el derecho de los [p]ueblos [i]ndígenas […] de poder intervenir de forma previa sobre las medidas legislativas o administrativas que afecten directamente sus derechos colectivos”. Dicho Decreto creo el </w:t>
      </w:r>
      <w:r w:rsidRPr="00BC57A2">
        <w:rPr>
          <w:rFonts w:cs="Times New Roman"/>
          <w:color w:val="000000"/>
          <w:sz w:val="16"/>
          <w:szCs w:val="16"/>
          <w:lang w:val="es-CR"/>
        </w:rPr>
        <w:t>“Consejo Consultivo y Participativo de los Pueblos Indígenas”, estableciendo en el artículo 2 que el mismo “propenderá a generar condiciones para que se efectivice un diálogo intercultural, a fin de que las medidas legislativas y/o administrativas que afecten directamente a los Pueblos y/o Comunidades Indígenas, hayan contado con su intervención previa, incluyéndolos en los procesos de toma de decisión”. El Decreto cita como antecedente una Resolución que “reconoció” una “Mesa de Trabajo y Diálogo Político de los Pueblos Indígenas de Argentina con el Estado Nacional”. La Corte aclara que la mención a</w:t>
      </w:r>
      <w:r>
        <w:rPr>
          <w:rFonts w:cs="Times New Roman"/>
          <w:color w:val="000000"/>
          <w:sz w:val="16"/>
          <w:szCs w:val="16"/>
          <w:lang w:val="es-CR"/>
        </w:rPr>
        <w:t xml:space="preserve"> lo anterior tiene por objeto só</w:t>
      </w:r>
      <w:r w:rsidRPr="00BC57A2">
        <w:rPr>
          <w:rFonts w:cs="Times New Roman"/>
          <w:color w:val="000000"/>
          <w:sz w:val="16"/>
          <w:szCs w:val="16"/>
          <w:lang w:val="es-CR"/>
        </w:rPr>
        <w:t xml:space="preserve">lo dar cuenta de que las autoridades argentinas consideraron relevante propiciar medios para posibilitar la participación de pueblos indígenas. Por otra parte, es pertinente hacer notar que el peritó Solá señaló que “Argentina aprobó la Declaración Americana sobre los Derechos de los Pueblos Indígenas, en el 46º Periodo Ordinario de Sesiones de la Asamblea General de la Organización de Estados Americanos el 15 de junio de 2016”. </w:t>
      </w:r>
    </w:p>
    <w:p w14:paraId="21D0D381" w14:textId="77777777" w:rsidR="0023585A" w:rsidRPr="00BC57A2" w:rsidRDefault="0023585A" w:rsidP="0056309D">
      <w:pPr>
        <w:pStyle w:val="Textonotapie"/>
        <w:rPr>
          <w:sz w:val="16"/>
          <w:szCs w:val="16"/>
          <w:lang w:val="es-CR"/>
        </w:rPr>
      </w:pPr>
    </w:p>
  </w:footnote>
  <w:footnote w:id="335">
    <w:p w14:paraId="634ED21B" w14:textId="77777777" w:rsidR="0023585A" w:rsidRPr="00BC57A2" w:rsidRDefault="0023585A" w:rsidP="0056309D">
      <w:pPr>
        <w:pStyle w:val="Textonotapie"/>
        <w:rPr>
          <w:sz w:val="16"/>
          <w:szCs w:val="16"/>
          <w:lang w:val="es-CR"/>
        </w:rPr>
      </w:pPr>
      <w:r w:rsidRPr="00BC57A2">
        <w:rPr>
          <w:rStyle w:val="Refdenotaalpie"/>
          <w:sz w:val="16"/>
          <w:szCs w:val="16"/>
        </w:rPr>
        <w:footnoteRef/>
      </w:r>
      <w:r w:rsidRPr="00BC57A2">
        <w:rPr>
          <w:rStyle w:val="Refdenotaalpie"/>
          <w:sz w:val="16"/>
          <w:szCs w:val="16"/>
          <w:lang w:val="es-CR"/>
        </w:rPr>
        <w:t xml:space="preserve"> </w:t>
      </w:r>
      <w:r w:rsidRPr="00BC57A2">
        <w:rPr>
          <w:rStyle w:val="Refdenotaalpie"/>
          <w:sz w:val="16"/>
          <w:szCs w:val="16"/>
          <w:lang w:val="es-CR"/>
        </w:rPr>
        <w:tab/>
      </w:r>
      <w:r w:rsidRPr="00BC57A2">
        <w:rPr>
          <w:sz w:val="16"/>
          <w:szCs w:val="16"/>
          <w:lang w:val="es-CR"/>
        </w:rPr>
        <w:t xml:space="preserve">La Corte ordena esta medida tomando nota de los antecedentes referidos y por considerarlo apropiado y útil para la efectividad de las medidas legislativas y/o de otro carácter ordenadas, teniendo en cuenta también circunstancias previas acaecidas en Argentina. En ese sentido, el escrito de </w:t>
      </w:r>
      <w:r w:rsidRPr="00BC57A2">
        <w:rPr>
          <w:i/>
          <w:sz w:val="16"/>
          <w:szCs w:val="16"/>
          <w:lang w:val="es-CR"/>
        </w:rPr>
        <w:t>amicus curiae</w:t>
      </w:r>
      <w:r w:rsidRPr="00BC57A2">
        <w:rPr>
          <w:sz w:val="16"/>
          <w:szCs w:val="16"/>
          <w:lang w:val="es-CR"/>
        </w:rPr>
        <w:t xml:space="preserve"> presentado por AADI y SERPAJ indicó que durante el tratamiento, iniciado en 2012, del proyecto de Código Civil y Comercial Unificado, hubo un “intento” de “reglamentación del derecho de propiedad comunitaria indígena”, pero que durante audiencias públicas realizadas en ese marco se evidenció un “rechazo generalizado”, pues no se había realizado “ningún tipo de consulta con las comunidades [indígenas] ni con las instituciones representativas de los pueblos indígenas”. El mismo documento dio cuenta del trámite de uno de los proyectos referidos por el perito Solá (</w:t>
      </w:r>
      <w:r w:rsidRPr="00BC57A2">
        <w:rPr>
          <w:i/>
          <w:sz w:val="16"/>
          <w:szCs w:val="16"/>
          <w:lang w:val="es-CR"/>
        </w:rPr>
        <w:t>supra</w:t>
      </w:r>
      <w:r w:rsidRPr="00BC57A2">
        <w:rPr>
          <w:sz w:val="16"/>
          <w:szCs w:val="16"/>
          <w:lang w:val="es-CR"/>
        </w:rPr>
        <w:t xml:space="preserve"> nota a pie de página 331), y expresó que el mismo “ha debido observar diversos obstáculos para su tratamiento y su efectiva consulta, en tanto los mecanismos destinados a la consulta con los pueblos indígenas aún no se hayan debidamente reglamentados en la República Argentina”. Explicó que aún pese a esa situación “desde la Comisión Especial de Pueblos Indígenas del Senado […] se han llevado a cabo una serie de talleres y actividades destinados a la socialización, debate y análisis de dicho proyecto a lo largo y ancho del país”. El texto, recibido el 28 de marzo de 2018, describió esas actividades y aclaró que el proyecto en cuestión “ha vuelto a perder estado parlamentario recientemente, a pesar de lo cual se ha […] venido trabajando sobre un nuevo borrador en diferentes regiones del país, a través de la Comisión Especial de Pueblos Indígenas creada en […] 2017 en el Senado de la Nación, y cuyos aportes serán nuevamente presentados en un nuevo proyecto de ley”. Por otra parte, en el marco del Examen Periódico Universal de Naciones Unidas, en 2018 se ha recomendado a Argentina, “[v]elar por que los pueblos indígenas participen plenamente en el proceso de elaboración de las medidas legislativas o administrativas que puedan afectarlos” (Consejo de Derechos Humanos. 37º período de sesiones. 26 de febrero a 23 de marzo de 2018. Informe del Grupo de Trabajo sobre el Examen Periódico Universal. Argentina. Doc. A/HRC/37/5, párr. 107.175). </w:t>
      </w:r>
    </w:p>
    <w:p w14:paraId="61DF3245" w14:textId="77777777" w:rsidR="0023585A" w:rsidRPr="00BC57A2" w:rsidRDefault="0023585A" w:rsidP="0056309D">
      <w:pPr>
        <w:pStyle w:val="Textonotapie"/>
        <w:rPr>
          <w:sz w:val="16"/>
          <w:szCs w:val="16"/>
          <w:lang w:val="es-CR"/>
        </w:rPr>
      </w:pPr>
    </w:p>
  </w:footnote>
  <w:footnote w:id="336">
    <w:p w14:paraId="4A986073" w14:textId="77777777" w:rsidR="0023585A" w:rsidRPr="00BC57A2" w:rsidRDefault="0023585A" w:rsidP="0056309D">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 xml:space="preserve">Al respecto, el escrito de </w:t>
      </w:r>
      <w:r w:rsidRPr="00BC57A2">
        <w:rPr>
          <w:i/>
          <w:sz w:val="16"/>
          <w:szCs w:val="16"/>
          <w:lang w:val="es-CR"/>
        </w:rPr>
        <w:t>amicus curiae</w:t>
      </w:r>
      <w:r w:rsidRPr="00BC57A2">
        <w:rPr>
          <w:sz w:val="16"/>
          <w:szCs w:val="16"/>
          <w:lang w:val="es-CR"/>
        </w:rPr>
        <w:t xml:space="preserve"> presentado por AADI y SERPAJ señala que el derecho a la propiedad comunitaria indígena carece actualmente “de una legislación específica que lo reglamente y unifique de forma adecuada para toda la República Argentina” y que “se viene proponiendo desde distintos sectores políticos la necesidad de sancionar una [l]ey de fondo” sobre ello.</w:t>
      </w:r>
    </w:p>
    <w:p w14:paraId="52B8FE62" w14:textId="77777777" w:rsidR="0023585A" w:rsidRPr="00BC57A2" w:rsidRDefault="0023585A" w:rsidP="0056309D">
      <w:pPr>
        <w:pStyle w:val="Textonotapie"/>
        <w:rPr>
          <w:sz w:val="16"/>
          <w:szCs w:val="16"/>
          <w:lang w:val="es-CR"/>
        </w:rPr>
      </w:pPr>
      <w:r w:rsidRPr="00BC57A2">
        <w:rPr>
          <w:sz w:val="16"/>
          <w:szCs w:val="16"/>
          <w:lang w:val="es-CR"/>
        </w:rPr>
        <w:t xml:space="preserve"> </w:t>
      </w:r>
    </w:p>
  </w:footnote>
  <w:footnote w:id="337">
    <w:p w14:paraId="1E03D0F1" w14:textId="77777777" w:rsidR="0023585A" w:rsidRPr="00BC57A2" w:rsidRDefault="0023585A" w:rsidP="0056309D">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iCs/>
          <w:sz w:val="16"/>
          <w:szCs w:val="16"/>
          <w:lang w:val="es-CR"/>
        </w:rPr>
        <w:t>Caso Garrido y Baigorria Vs. Argentina. Reparaciones y Costas</w:t>
      </w:r>
      <w:r w:rsidRPr="00BC57A2">
        <w:rPr>
          <w:sz w:val="16"/>
          <w:szCs w:val="16"/>
          <w:lang w:val="es-CR"/>
        </w:rPr>
        <w:t xml:space="preserve">. Sentencia de 27 de agosto de 1998. Serie C No. 39, párrs. 79 y 82, y </w:t>
      </w:r>
      <w:r w:rsidRPr="00BC57A2">
        <w:rPr>
          <w:rStyle w:val="Textoennegrita"/>
          <w:b w:val="0"/>
          <w:i/>
          <w:sz w:val="16"/>
          <w:szCs w:val="16"/>
          <w:lang w:val="es-CR"/>
        </w:rPr>
        <w:t>Caso Muelle Flores Vs. Perú</w:t>
      </w:r>
      <w:r w:rsidRPr="00BC57A2">
        <w:rPr>
          <w:sz w:val="16"/>
          <w:szCs w:val="16"/>
          <w:lang w:val="es-CR"/>
        </w:rPr>
        <w:t>, párr. 271.</w:t>
      </w:r>
    </w:p>
    <w:p w14:paraId="13737124" w14:textId="77777777" w:rsidR="0023585A" w:rsidRPr="00BC57A2" w:rsidRDefault="0023585A" w:rsidP="0056309D">
      <w:pPr>
        <w:pStyle w:val="Textonotapie"/>
        <w:rPr>
          <w:sz w:val="16"/>
          <w:szCs w:val="16"/>
          <w:lang w:val="es-CR"/>
        </w:rPr>
      </w:pPr>
    </w:p>
  </w:footnote>
  <w:footnote w:id="338">
    <w:p w14:paraId="4EC81F69" w14:textId="77777777" w:rsidR="0023585A" w:rsidRPr="00BC57A2" w:rsidRDefault="0023585A" w:rsidP="0056309D">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 xml:space="preserve">La Corte advierte que no se ha señalado que la Lhaka Honhat realizara gastos procesales, sino que el reclamo de ese reintegro se ha limitado al CELS. </w:t>
      </w:r>
    </w:p>
    <w:p w14:paraId="6E69D4DC" w14:textId="77777777" w:rsidR="0023585A" w:rsidRPr="00BC57A2" w:rsidRDefault="0023585A" w:rsidP="0056309D">
      <w:pPr>
        <w:pStyle w:val="Textonotapie"/>
        <w:rPr>
          <w:sz w:val="16"/>
          <w:szCs w:val="16"/>
          <w:lang w:val="es-CR"/>
        </w:rPr>
      </w:pPr>
    </w:p>
  </w:footnote>
  <w:footnote w:id="339">
    <w:p w14:paraId="6D17F454" w14:textId="77777777" w:rsidR="0023585A" w:rsidRPr="00BC57A2" w:rsidRDefault="0023585A" w:rsidP="0056309D">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iCs/>
          <w:sz w:val="16"/>
          <w:szCs w:val="16"/>
          <w:lang w:val="es-CR"/>
        </w:rPr>
        <w:t>Cfr. Caso Comunidad Indígena Xákmok Kásek Vs. Paraguay</w:t>
      </w:r>
      <w:r w:rsidRPr="00BC57A2">
        <w:rPr>
          <w:sz w:val="16"/>
          <w:szCs w:val="16"/>
          <w:lang w:val="es-CR"/>
        </w:rPr>
        <w:t xml:space="preserve">, párr. 331, y </w:t>
      </w:r>
      <w:r w:rsidRPr="00BC57A2">
        <w:rPr>
          <w:rStyle w:val="Textoennegrita"/>
          <w:b w:val="0"/>
          <w:i/>
          <w:sz w:val="16"/>
          <w:szCs w:val="16"/>
          <w:lang w:val="es-CR"/>
        </w:rPr>
        <w:t>Caso Muelle Flores Vs. Perú</w:t>
      </w:r>
      <w:r w:rsidRPr="00BC57A2">
        <w:rPr>
          <w:sz w:val="16"/>
          <w:szCs w:val="16"/>
          <w:lang w:val="es-CR"/>
        </w:rPr>
        <w:t>, párr. 274</w:t>
      </w:r>
    </w:p>
    <w:p w14:paraId="4B0536D2" w14:textId="77777777" w:rsidR="0023585A" w:rsidRPr="005B2FB3" w:rsidRDefault="0023585A" w:rsidP="0056309D">
      <w:pPr>
        <w:pStyle w:val="Textonotapie"/>
        <w:spacing w:line="216" w:lineRule="auto"/>
        <w:rPr>
          <w:lang w:val="es-CR"/>
        </w:rPr>
      </w:pPr>
    </w:p>
  </w:footnote>
  <w:footnote w:id="340">
    <w:p w14:paraId="2214FD51" w14:textId="0D6E27DE" w:rsidR="0023585A" w:rsidRPr="00666448" w:rsidRDefault="0023585A" w:rsidP="00F46A92">
      <w:pPr>
        <w:pStyle w:val="Textonotapie"/>
        <w:rPr>
          <w:sz w:val="16"/>
          <w:szCs w:val="16"/>
          <w:lang w:val="es-CR"/>
        </w:rPr>
      </w:pPr>
      <w:r w:rsidRPr="00666448">
        <w:rPr>
          <w:rStyle w:val="Refdenotaalpie"/>
          <w:sz w:val="16"/>
          <w:szCs w:val="16"/>
        </w:rPr>
        <w:footnoteRef/>
      </w:r>
      <w:r w:rsidRPr="00666448">
        <w:rPr>
          <w:sz w:val="16"/>
          <w:szCs w:val="16"/>
          <w:lang w:val="es-CR"/>
        </w:rPr>
        <w:t xml:space="preserve"> El artículo</w:t>
      </w:r>
      <w:r>
        <w:rPr>
          <w:sz w:val="16"/>
          <w:szCs w:val="16"/>
          <w:lang w:val="es-CR"/>
        </w:rPr>
        <w:t xml:space="preserve"> 23 del Estatuto de la Corte, titulado “</w:t>
      </w:r>
      <w:r>
        <w:rPr>
          <w:i/>
          <w:sz w:val="16"/>
          <w:szCs w:val="16"/>
          <w:lang w:val="es-CR"/>
        </w:rPr>
        <w:t xml:space="preserve">Quorum”, </w:t>
      </w:r>
      <w:r>
        <w:rPr>
          <w:sz w:val="16"/>
          <w:szCs w:val="16"/>
          <w:lang w:val="es-CR"/>
        </w:rPr>
        <w:t>en sus apartados 2 y 3, indica que “[l]as decisiones de la Corte se tomarán por mayoría de los jueces presentes”, y que “[e]n caso de empate, el voto del Presidente decidirá”.</w:t>
      </w:r>
      <w:r w:rsidRPr="00666448">
        <w:rPr>
          <w:sz w:val="16"/>
          <w:szCs w:val="16"/>
          <w:lang w:val="es-CR"/>
        </w:rPr>
        <w:t xml:space="preserve"> </w:t>
      </w:r>
      <w:r>
        <w:rPr>
          <w:sz w:val="16"/>
          <w:szCs w:val="16"/>
          <w:lang w:val="es-CR"/>
        </w:rPr>
        <w:t xml:space="preserve">El artículo </w:t>
      </w:r>
      <w:r w:rsidRPr="00666448">
        <w:rPr>
          <w:sz w:val="16"/>
          <w:szCs w:val="16"/>
          <w:lang w:val="es-CR"/>
        </w:rPr>
        <w:t xml:space="preserve">16 del Reglamento de la Corte, titulado “Decisiones y votaciones”, establece en sus apartados 3 y 4 que “[l]as decisiones de la Corte se tomarán por mayoría de los Jueces presentes en el momento de la votación” y que “[e]n caso de empate decidirá el voto de la Presidencia”. </w:t>
      </w:r>
    </w:p>
  </w:footnote>
  <w:footnote w:id="341">
    <w:p w14:paraId="6A2D03EB" w14:textId="6C98E275" w:rsidR="0023585A" w:rsidRPr="0075345E" w:rsidRDefault="0023585A" w:rsidP="00543ED6">
      <w:pPr>
        <w:pStyle w:val="Textonotapie"/>
        <w:rPr>
          <w:sz w:val="16"/>
          <w:szCs w:val="16"/>
          <w:lang w:val="es-CR"/>
        </w:rPr>
      </w:pPr>
      <w:r w:rsidRPr="0075345E">
        <w:rPr>
          <w:rStyle w:val="Refdenotaalpie"/>
          <w:sz w:val="16"/>
          <w:szCs w:val="16"/>
          <w:lang w:val="es-CR"/>
        </w:rPr>
        <w:t>*</w:t>
      </w:r>
      <w:r>
        <w:rPr>
          <w:rStyle w:val="Refdenotaalpie"/>
          <w:sz w:val="16"/>
          <w:szCs w:val="16"/>
          <w:lang w:val="es-CR"/>
        </w:rPr>
        <w:tab/>
      </w:r>
      <w:r>
        <w:rPr>
          <w:sz w:val="16"/>
          <w:szCs w:val="16"/>
          <w:lang w:val="es-CR"/>
        </w:rPr>
        <w:t>En relación a la referencia a dos comunidades con el mismo nombre, “Misión Anselmo”, se aclara que así fue indicado en escrito de solicitudes y argumentos</w:t>
      </w:r>
      <w:r w:rsidRPr="0075345E">
        <w:rPr>
          <w:sz w:val="16"/>
          <w:szCs w:val="16"/>
          <w:lang w:val="es-CR"/>
        </w:rPr>
        <w:t xml:space="preserve">.  </w:t>
      </w:r>
    </w:p>
  </w:footnote>
  <w:footnote w:id="342">
    <w:p w14:paraId="1A46DCE7" w14:textId="503E15DD" w:rsidR="0023585A" w:rsidRPr="0075345E" w:rsidRDefault="0023585A" w:rsidP="00F46A92">
      <w:pPr>
        <w:pStyle w:val="Textonotapie"/>
        <w:rPr>
          <w:sz w:val="16"/>
          <w:szCs w:val="16"/>
          <w:lang w:val="es-CR"/>
        </w:rPr>
      </w:pPr>
      <w:r w:rsidRPr="0075345E">
        <w:rPr>
          <w:rStyle w:val="Refdenotaalpie"/>
          <w:sz w:val="16"/>
          <w:szCs w:val="16"/>
          <w:lang w:val="es-CR"/>
        </w:rPr>
        <w:t>*</w:t>
      </w:r>
      <w:r>
        <w:rPr>
          <w:rStyle w:val="Refdenotaalpie"/>
          <w:sz w:val="16"/>
          <w:szCs w:val="16"/>
          <w:lang w:val="es-CR"/>
        </w:rPr>
        <w:tab/>
      </w:r>
      <w:r w:rsidRPr="0075345E">
        <w:rPr>
          <w:sz w:val="16"/>
          <w:szCs w:val="16"/>
          <w:lang w:val="es-CR"/>
        </w:rPr>
        <w:t xml:space="preserve">De conformidad con los párrafos </w:t>
      </w:r>
      <w:r>
        <w:rPr>
          <w:sz w:val="16"/>
          <w:szCs w:val="16"/>
          <w:lang w:val="es-CR"/>
        </w:rPr>
        <w:t xml:space="preserve">35 </w:t>
      </w:r>
      <w:r w:rsidRPr="0075345E">
        <w:rPr>
          <w:sz w:val="16"/>
          <w:szCs w:val="16"/>
          <w:lang w:val="es-CR"/>
        </w:rPr>
        <w:t xml:space="preserve">y </w:t>
      </w:r>
      <w:r>
        <w:rPr>
          <w:sz w:val="16"/>
          <w:szCs w:val="16"/>
          <w:lang w:val="es-CR"/>
        </w:rPr>
        <w:t xml:space="preserve">309 </w:t>
      </w:r>
      <w:r w:rsidRPr="0075345E">
        <w:rPr>
          <w:sz w:val="16"/>
          <w:szCs w:val="16"/>
          <w:lang w:val="es-CR"/>
        </w:rPr>
        <w:t>de la Sentencia</w:t>
      </w:r>
      <w:r>
        <w:rPr>
          <w:sz w:val="16"/>
          <w:szCs w:val="16"/>
          <w:lang w:val="es-CR"/>
        </w:rPr>
        <w:t xml:space="preserve"> y la notas a pie de página 22 y 23,</w:t>
      </w:r>
      <w:r w:rsidRPr="0075345E">
        <w:rPr>
          <w:sz w:val="16"/>
          <w:szCs w:val="16"/>
          <w:lang w:val="es-CR"/>
        </w:rPr>
        <w:t xml:space="preserve"> las víctimas del caso son las comunidades listadas en el presente Anexo V a la Sentencia, entendiéndose que ello abarca a las comunidades pertenecientes a los pueblos indígenas </w:t>
      </w:r>
      <w:r>
        <w:rPr>
          <w:sz w:val="16"/>
          <w:szCs w:val="16"/>
          <w:lang w:val="es-ES"/>
        </w:rPr>
        <w:t>Wichí</w:t>
      </w:r>
      <w:r w:rsidRPr="0075345E">
        <w:rPr>
          <w:sz w:val="16"/>
          <w:szCs w:val="16"/>
          <w:lang w:val="es-ES"/>
        </w:rPr>
        <w:t xml:space="preserve"> (Mataco), Iyjwaja (Chorote), Komlek (Toba), Niwackle (Chulupí) y Tapy’y (Tapiete) </w:t>
      </w:r>
      <w:r w:rsidRPr="0075345E">
        <w:rPr>
          <w:sz w:val="16"/>
          <w:szCs w:val="16"/>
          <w:lang w:val="es-CR"/>
        </w:rPr>
        <w:t xml:space="preserve">que habiten </w:t>
      </w:r>
      <w:r>
        <w:rPr>
          <w:sz w:val="16"/>
          <w:szCs w:val="16"/>
          <w:lang w:val="es-CR"/>
        </w:rPr>
        <w:t>en los lotes</w:t>
      </w:r>
      <w:r w:rsidRPr="0075345E">
        <w:rPr>
          <w:sz w:val="16"/>
          <w:szCs w:val="16"/>
          <w:lang w:val="es-CR"/>
        </w:rPr>
        <w:t xml:space="preserve"> con las matrículas catastrales 175 y 5557 del Departamento Rivadavia, de la Provincia argentina de Salta, antes conocidos como lotes fiscales 14 y 55, y que puedan derivarse de las 132 comunidades señaladas por acción del proceso de “fisión-fusión”.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46E35B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3447CD"/>
    <w:multiLevelType w:val="hybridMultilevel"/>
    <w:tmpl w:val="A3604B96"/>
    <w:lvl w:ilvl="0" w:tplc="CBF2A796">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6883D08"/>
    <w:multiLevelType w:val="hybridMultilevel"/>
    <w:tmpl w:val="2780A3E0"/>
    <w:lvl w:ilvl="0" w:tplc="E3027280">
      <w:start w:val="3"/>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AE657DA"/>
    <w:multiLevelType w:val="hybridMultilevel"/>
    <w:tmpl w:val="13FACD62"/>
    <w:lvl w:ilvl="0" w:tplc="FC249546">
      <w:start w:val="2"/>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D21661A"/>
    <w:multiLevelType w:val="hybridMultilevel"/>
    <w:tmpl w:val="DC66F75E"/>
    <w:lvl w:ilvl="0" w:tplc="60F4D956">
      <w:start w:val="1"/>
      <w:numFmt w:val="decimal"/>
      <w:lvlText w:val="%1."/>
      <w:lvlJc w:val="left"/>
      <w:pPr>
        <w:ind w:left="720" w:hanging="360"/>
      </w:pPr>
      <w:rPr>
        <w:rFonts w:ascii="Verdana" w:hAnsi="Verdana" w:hint="default"/>
        <w:b w:val="0"/>
        <w:i w:val="0"/>
        <w:strike w:val="0"/>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0D6E5D21"/>
    <w:multiLevelType w:val="hybridMultilevel"/>
    <w:tmpl w:val="8584BA1A"/>
    <w:lvl w:ilvl="0" w:tplc="BB2881D0">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0F851CA4"/>
    <w:multiLevelType w:val="hybridMultilevel"/>
    <w:tmpl w:val="A09C1434"/>
    <w:lvl w:ilvl="0" w:tplc="B41051A6">
      <w:start w:val="1"/>
      <w:numFmt w:val="lowerLetter"/>
      <w:lvlText w:val="%1)"/>
      <w:lvlJc w:val="left"/>
      <w:pPr>
        <w:ind w:left="644" w:hanging="360"/>
      </w:pPr>
      <w:rPr>
        <w:rFonts w:hint="default"/>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7" w15:restartNumberingAfterBreak="0">
    <w:nsid w:val="10716FF8"/>
    <w:multiLevelType w:val="hybridMultilevel"/>
    <w:tmpl w:val="ED428D44"/>
    <w:lvl w:ilvl="0" w:tplc="0EEAA3D6">
      <w:start w:val="3"/>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1264429C"/>
    <w:multiLevelType w:val="hybridMultilevel"/>
    <w:tmpl w:val="3B5A66B2"/>
    <w:lvl w:ilvl="0" w:tplc="1E46BAE2">
      <w:start w:val="4"/>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15BC0D48"/>
    <w:multiLevelType w:val="hybridMultilevel"/>
    <w:tmpl w:val="090A08E4"/>
    <w:lvl w:ilvl="0" w:tplc="563CC336">
      <w:start w:val="1"/>
      <w:numFmt w:val="decimal"/>
      <w:lvlText w:val="%1."/>
      <w:lvlJc w:val="left"/>
      <w:pPr>
        <w:ind w:left="720" w:hanging="360"/>
      </w:pPr>
      <w:rPr>
        <w:rFonts w:hint="default"/>
        <w:i w:val="0"/>
        <w:sz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199531D1"/>
    <w:multiLevelType w:val="hybridMultilevel"/>
    <w:tmpl w:val="C1C0907C"/>
    <w:lvl w:ilvl="0" w:tplc="C0040758">
      <w:start w:val="186"/>
      <w:numFmt w:val="decimal"/>
      <w:lvlText w:val="%1."/>
      <w:lvlJc w:val="left"/>
      <w:pPr>
        <w:ind w:left="644" w:hanging="360"/>
      </w:pPr>
      <w:rPr>
        <w:rFonts w:ascii="Verdana" w:hAnsi="Verdana" w:hint="default"/>
        <w:b w:val="0"/>
        <w:i w:val="0"/>
        <w:strike w:val="0"/>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1C2453DA"/>
    <w:multiLevelType w:val="hybridMultilevel"/>
    <w:tmpl w:val="37F893DC"/>
    <w:lvl w:ilvl="0" w:tplc="15549922">
      <w:start w:val="290"/>
      <w:numFmt w:val="decimal"/>
      <w:lvlText w:val="%1."/>
      <w:lvlJc w:val="left"/>
      <w:pPr>
        <w:ind w:left="720" w:hanging="360"/>
      </w:pPr>
      <w:rPr>
        <w:rFonts w:ascii="Verdana" w:hAnsi="Verdana" w:hint="default"/>
        <w:b w:val="0"/>
        <w:i w:val="0"/>
        <w:strike w:val="0"/>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1CE35907"/>
    <w:multiLevelType w:val="hybridMultilevel"/>
    <w:tmpl w:val="0082E8AE"/>
    <w:lvl w:ilvl="0" w:tplc="BA4C70BA">
      <w:start w:val="3"/>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1F4A0AC3"/>
    <w:multiLevelType w:val="hybridMultilevel"/>
    <w:tmpl w:val="3C0890BC"/>
    <w:lvl w:ilvl="0" w:tplc="0D723694">
      <w:start w:val="3"/>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23912DC2"/>
    <w:multiLevelType w:val="hybridMultilevel"/>
    <w:tmpl w:val="4D0AED56"/>
    <w:lvl w:ilvl="0" w:tplc="9D1E30F4">
      <w:start w:val="346"/>
      <w:numFmt w:val="decimal"/>
      <w:lvlText w:val="%1."/>
      <w:lvlJc w:val="left"/>
      <w:pPr>
        <w:ind w:left="795" w:hanging="435"/>
      </w:pPr>
      <w:rPr>
        <w:rFonts w:cstheme="minorBidi"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249B7535"/>
    <w:multiLevelType w:val="hybridMultilevel"/>
    <w:tmpl w:val="0C5EE356"/>
    <w:lvl w:ilvl="0" w:tplc="FB84A142">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286437E9"/>
    <w:multiLevelType w:val="hybridMultilevel"/>
    <w:tmpl w:val="82A8C91E"/>
    <w:lvl w:ilvl="0" w:tplc="6EBEDB16">
      <w:start w:val="1"/>
      <w:numFmt w:val="low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7" w15:restartNumberingAfterBreak="0">
    <w:nsid w:val="30A614C8"/>
    <w:multiLevelType w:val="hybridMultilevel"/>
    <w:tmpl w:val="90AE0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ED3668"/>
    <w:multiLevelType w:val="hybridMultilevel"/>
    <w:tmpl w:val="CDF48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F826FA"/>
    <w:multiLevelType w:val="hybridMultilevel"/>
    <w:tmpl w:val="7A4AC652"/>
    <w:lvl w:ilvl="0" w:tplc="A6F82CD0">
      <w:start w:val="3"/>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41337A16"/>
    <w:multiLevelType w:val="hybridMultilevel"/>
    <w:tmpl w:val="BF42F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9A6262"/>
    <w:multiLevelType w:val="hybridMultilevel"/>
    <w:tmpl w:val="E19E3092"/>
    <w:lvl w:ilvl="0" w:tplc="8FFE6E4C">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43414A2A"/>
    <w:multiLevelType w:val="hybridMultilevel"/>
    <w:tmpl w:val="DED08F0C"/>
    <w:lvl w:ilvl="0" w:tplc="91B8A290">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45366634"/>
    <w:multiLevelType w:val="hybridMultilevel"/>
    <w:tmpl w:val="8220AEC0"/>
    <w:lvl w:ilvl="0" w:tplc="AD2617FE">
      <w:start w:val="1"/>
      <w:numFmt w:val="upperLetter"/>
      <w:lvlText w:val="%1)"/>
      <w:lvlJc w:val="left"/>
      <w:pPr>
        <w:ind w:left="644" w:hanging="360"/>
      </w:pPr>
      <w:rPr>
        <w:rFonts w:hint="default"/>
        <w:b/>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24" w15:restartNumberingAfterBreak="0">
    <w:nsid w:val="45660ED7"/>
    <w:multiLevelType w:val="hybridMultilevel"/>
    <w:tmpl w:val="F3FEE6C6"/>
    <w:lvl w:ilvl="0" w:tplc="C4F44876">
      <w:start w:val="1"/>
      <w:numFmt w:val="decimal"/>
      <w:pStyle w:val="PrrafodeSentencia"/>
      <w:lvlText w:val="%1."/>
      <w:lvlJc w:val="left"/>
      <w:pPr>
        <w:ind w:left="6660" w:hanging="360"/>
      </w:pPr>
      <w:rPr>
        <w:rFonts w:ascii="Verdana" w:hAnsi="Verdana" w:cs="Times New Roman" w:hint="default"/>
        <w:b w:val="0"/>
        <w:i w:val="0"/>
        <w:sz w:val="20"/>
        <w:lang w:val="es-ES_tradnl"/>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5" w15:restartNumberingAfterBreak="0">
    <w:nsid w:val="45812E5D"/>
    <w:multiLevelType w:val="hybridMultilevel"/>
    <w:tmpl w:val="7498833C"/>
    <w:lvl w:ilvl="0" w:tplc="1C100C04">
      <w:start w:val="249"/>
      <w:numFmt w:val="decimal"/>
      <w:lvlText w:val="%1."/>
      <w:lvlJc w:val="left"/>
      <w:pPr>
        <w:ind w:left="720" w:hanging="360"/>
      </w:pPr>
      <w:rPr>
        <w:rFonts w:hint="default"/>
        <w:i w:val="0"/>
        <w:strike w:val="0"/>
        <w:sz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49C718D8"/>
    <w:multiLevelType w:val="hybridMultilevel"/>
    <w:tmpl w:val="8722B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F9250E"/>
    <w:multiLevelType w:val="hybridMultilevel"/>
    <w:tmpl w:val="EBC6B4F6"/>
    <w:lvl w:ilvl="0" w:tplc="25C08752">
      <w:start w:val="1"/>
      <w:numFmt w:val="upperLetter"/>
      <w:lvlText w:val="%1)"/>
      <w:lvlJc w:val="left"/>
      <w:pPr>
        <w:ind w:left="928" w:hanging="360"/>
      </w:pPr>
      <w:rPr>
        <w:rFonts w:hint="default"/>
      </w:rPr>
    </w:lvl>
    <w:lvl w:ilvl="1" w:tplc="140A0019" w:tentative="1">
      <w:start w:val="1"/>
      <w:numFmt w:val="lowerLetter"/>
      <w:lvlText w:val="%2."/>
      <w:lvlJc w:val="left"/>
      <w:pPr>
        <w:ind w:left="1648" w:hanging="360"/>
      </w:pPr>
    </w:lvl>
    <w:lvl w:ilvl="2" w:tplc="140A001B" w:tentative="1">
      <w:start w:val="1"/>
      <w:numFmt w:val="lowerRoman"/>
      <w:lvlText w:val="%3."/>
      <w:lvlJc w:val="right"/>
      <w:pPr>
        <w:ind w:left="2368" w:hanging="180"/>
      </w:pPr>
    </w:lvl>
    <w:lvl w:ilvl="3" w:tplc="140A000F" w:tentative="1">
      <w:start w:val="1"/>
      <w:numFmt w:val="decimal"/>
      <w:lvlText w:val="%4."/>
      <w:lvlJc w:val="left"/>
      <w:pPr>
        <w:ind w:left="3088" w:hanging="360"/>
      </w:pPr>
    </w:lvl>
    <w:lvl w:ilvl="4" w:tplc="140A0019" w:tentative="1">
      <w:start w:val="1"/>
      <w:numFmt w:val="lowerLetter"/>
      <w:lvlText w:val="%5."/>
      <w:lvlJc w:val="left"/>
      <w:pPr>
        <w:ind w:left="3808" w:hanging="360"/>
      </w:pPr>
    </w:lvl>
    <w:lvl w:ilvl="5" w:tplc="140A001B" w:tentative="1">
      <w:start w:val="1"/>
      <w:numFmt w:val="lowerRoman"/>
      <w:lvlText w:val="%6."/>
      <w:lvlJc w:val="right"/>
      <w:pPr>
        <w:ind w:left="4528" w:hanging="180"/>
      </w:pPr>
    </w:lvl>
    <w:lvl w:ilvl="6" w:tplc="140A000F" w:tentative="1">
      <w:start w:val="1"/>
      <w:numFmt w:val="decimal"/>
      <w:lvlText w:val="%7."/>
      <w:lvlJc w:val="left"/>
      <w:pPr>
        <w:ind w:left="5248" w:hanging="360"/>
      </w:pPr>
    </w:lvl>
    <w:lvl w:ilvl="7" w:tplc="140A0019" w:tentative="1">
      <w:start w:val="1"/>
      <w:numFmt w:val="lowerLetter"/>
      <w:lvlText w:val="%8."/>
      <w:lvlJc w:val="left"/>
      <w:pPr>
        <w:ind w:left="5968" w:hanging="360"/>
      </w:pPr>
    </w:lvl>
    <w:lvl w:ilvl="8" w:tplc="140A001B" w:tentative="1">
      <w:start w:val="1"/>
      <w:numFmt w:val="lowerRoman"/>
      <w:lvlText w:val="%9."/>
      <w:lvlJc w:val="right"/>
      <w:pPr>
        <w:ind w:left="6688" w:hanging="180"/>
      </w:pPr>
    </w:lvl>
  </w:abstractNum>
  <w:abstractNum w:abstractNumId="28" w15:restartNumberingAfterBreak="0">
    <w:nsid w:val="4B636A05"/>
    <w:multiLevelType w:val="hybridMultilevel"/>
    <w:tmpl w:val="3684CC36"/>
    <w:lvl w:ilvl="0" w:tplc="1FDC80B6">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4E6D747A"/>
    <w:multiLevelType w:val="hybridMultilevel"/>
    <w:tmpl w:val="7390EA06"/>
    <w:lvl w:ilvl="0" w:tplc="68061B38">
      <w:start w:val="189"/>
      <w:numFmt w:val="decimal"/>
      <w:lvlText w:val="%1."/>
      <w:lvlJc w:val="left"/>
      <w:pPr>
        <w:ind w:left="644" w:hanging="360"/>
      </w:pPr>
      <w:rPr>
        <w:rFonts w:ascii="Verdana" w:hAnsi="Verdana" w:hint="default"/>
        <w:b w:val="0"/>
        <w:i w:val="0"/>
        <w:strike w:val="0"/>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4F024C9B"/>
    <w:multiLevelType w:val="hybridMultilevel"/>
    <w:tmpl w:val="40D813CC"/>
    <w:lvl w:ilvl="0" w:tplc="B816A4C4">
      <w:start w:val="2"/>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54E51100"/>
    <w:multiLevelType w:val="hybridMultilevel"/>
    <w:tmpl w:val="3348A01A"/>
    <w:lvl w:ilvl="0" w:tplc="A4BA2246">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54EC3ADC"/>
    <w:multiLevelType w:val="hybridMultilevel"/>
    <w:tmpl w:val="EB84EAC2"/>
    <w:lvl w:ilvl="0" w:tplc="E684D542">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56931B5E"/>
    <w:multiLevelType w:val="hybridMultilevel"/>
    <w:tmpl w:val="191CCAD4"/>
    <w:lvl w:ilvl="0" w:tplc="009843E6">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4" w15:restartNumberingAfterBreak="0">
    <w:nsid w:val="59F728CF"/>
    <w:multiLevelType w:val="hybridMultilevel"/>
    <w:tmpl w:val="6B88D4E2"/>
    <w:lvl w:ilvl="0" w:tplc="5918589A">
      <w:start w:val="1"/>
      <w:numFmt w:val="decimal"/>
      <w:lvlText w:val="%1."/>
      <w:lvlJc w:val="left"/>
      <w:pPr>
        <w:ind w:left="502"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5" w15:restartNumberingAfterBreak="0">
    <w:nsid w:val="5C8D4F7A"/>
    <w:multiLevelType w:val="hybridMultilevel"/>
    <w:tmpl w:val="6E46EDF4"/>
    <w:lvl w:ilvl="0" w:tplc="EAB48088">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15:restartNumberingAfterBreak="0">
    <w:nsid w:val="5E9E0EFB"/>
    <w:multiLevelType w:val="hybridMultilevel"/>
    <w:tmpl w:val="21B6CC0C"/>
    <w:lvl w:ilvl="0" w:tplc="1004DA30">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7" w15:restartNumberingAfterBreak="0">
    <w:nsid w:val="60A61559"/>
    <w:multiLevelType w:val="hybridMultilevel"/>
    <w:tmpl w:val="5E5AF5D0"/>
    <w:lvl w:ilvl="0" w:tplc="00063E42">
      <w:start w:val="92"/>
      <w:numFmt w:val="decimal"/>
      <w:lvlText w:val="%1."/>
      <w:lvlJc w:val="left"/>
      <w:pPr>
        <w:ind w:left="288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8" w15:restartNumberingAfterBreak="0">
    <w:nsid w:val="6757515E"/>
    <w:multiLevelType w:val="hybridMultilevel"/>
    <w:tmpl w:val="AD900CD0"/>
    <w:lvl w:ilvl="0" w:tplc="BA6658A2">
      <w:start w:val="3"/>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9" w15:restartNumberingAfterBreak="0">
    <w:nsid w:val="69D8531E"/>
    <w:multiLevelType w:val="hybridMultilevel"/>
    <w:tmpl w:val="CD083050"/>
    <w:lvl w:ilvl="0" w:tplc="3DC05F8C">
      <w:start w:val="92"/>
      <w:numFmt w:val="decimal"/>
      <w:lvlText w:val="%1."/>
      <w:lvlJc w:val="left"/>
      <w:pPr>
        <w:ind w:left="720" w:hanging="360"/>
      </w:pPr>
      <w:rPr>
        <w:rFonts w:ascii="Verdana" w:hAnsi="Verdana" w:hint="default"/>
        <w:b w:val="0"/>
        <w:i w:val="0"/>
        <w:strike w:val="0"/>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0" w15:restartNumberingAfterBreak="0">
    <w:nsid w:val="6A755690"/>
    <w:multiLevelType w:val="hybridMultilevel"/>
    <w:tmpl w:val="9F74A8DE"/>
    <w:lvl w:ilvl="0" w:tplc="7DEE7FC0">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1" w15:restartNumberingAfterBreak="0">
    <w:nsid w:val="705A6F5C"/>
    <w:multiLevelType w:val="hybridMultilevel"/>
    <w:tmpl w:val="1B922882"/>
    <w:lvl w:ilvl="0" w:tplc="7E7CBF52">
      <w:start w:val="1"/>
      <w:numFmt w:val="decimal"/>
      <w:pStyle w:val="Numberedparagraphs"/>
      <w:lvlText w:val="%1."/>
      <w:lvlJc w:val="left"/>
      <w:pPr>
        <w:tabs>
          <w:tab w:val="num" w:pos="720"/>
        </w:tabs>
        <w:ind w:left="0" w:firstLine="0"/>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5C6C0158">
      <w:start w:val="7"/>
      <w:numFmt w:val="decimal"/>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2B13BDC"/>
    <w:multiLevelType w:val="hybridMultilevel"/>
    <w:tmpl w:val="64A6C2DE"/>
    <w:lvl w:ilvl="0" w:tplc="06A89F6E">
      <w:start w:val="97"/>
      <w:numFmt w:val="decimal"/>
      <w:lvlText w:val="%1."/>
      <w:lvlJc w:val="left"/>
      <w:pPr>
        <w:ind w:left="720" w:hanging="360"/>
      </w:pPr>
      <w:rPr>
        <w:rFonts w:ascii="Verdana" w:hAnsi="Verdana" w:hint="default"/>
        <w:b w:val="0"/>
        <w:i w:val="0"/>
        <w:strike w:val="0"/>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3" w15:restartNumberingAfterBreak="0">
    <w:nsid w:val="73044257"/>
    <w:multiLevelType w:val="hybridMultilevel"/>
    <w:tmpl w:val="B100E7B6"/>
    <w:lvl w:ilvl="0" w:tplc="5E2411FA">
      <w:start w:val="2"/>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4" w15:restartNumberingAfterBreak="0">
    <w:nsid w:val="77816438"/>
    <w:multiLevelType w:val="hybridMultilevel"/>
    <w:tmpl w:val="5DCCB7C0"/>
    <w:lvl w:ilvl="0" w:tplc="B14C277E">
      <w:start w:val="1"/>
      <w:numFmt w:val="upperLetter"/>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D96241C4">
      <w:start w:val="90"/>
      <w:numFmt w:val="decimal"/>
      <w:lvlText w:val="%4."/>
      <w:lvlJc w:val="left"/>
      <w:pPr>
        <w:ind w:left="2880" w:hanging="360"/>
      </w:pPr>
      <w:rPr>
        <w:rFonts w:hint="default"/>
      </w:r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45" w15:restartNumberingAfterBreak="0">
    <w:nsid w:val="783558F2"/>
    <w:multiLevelType w:val="hybridMultilevel"/>
    <w:tmpl w:val="ED428D44"/>
    <w:lvl w:ilvl="0" w:tplc="0EEAA3D6">
      <w:start w:val="3"/>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6" w15:restartNumberingAfterBreak="0">
    <w:nsid w:val="7F301A47"/>
    <w:multiLevelType w:val="hybridMultilevel"/>
    <w:tmpl w:val="BF326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1"/>
  </w:num>
  <w:num w:numId="3">
    <w:abstractNumId w:val="5"/>
  </w:num>
  <w:num w:numId="4">
    <w:abstractNumId w:val="36"/>
  </w:num>
  <w:num w:numId="5">
    <w:abstractNumId w:val="0"/>
  </w:num>
  <w:num w:numId="6">
    <w:abstractNumId w:val="41"/>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44"/>
  </w:num>
  <w:num w:numId="10">
    <w:abstractNumId w:val="22"/>
  </w:num>
  <w:num w:numId="11">
    <w:abstractNumId w:val="16"/>
  </w:num>
  <w:num w:numId="12">
    <w:abstractNumId w:val="45"/>
  </w:num>
  <w:num w:numId="13">
    <w:abstractNumId w:val="34"/>
  </w:num>
  <w:num w:numId="14">
    <w:abstractNumId w:val="38"/>
  </w:num>
  <w:num w:numId="15">
    <w:abstractNumId w:val="26"/>
  </w:num>
  <w:num w:numId="16">
    <w:abstractNumId w:val="20"/>
  </w:num>
  <w:num w:numId="17">
    <w:abstractNumId w:val="17"/>
  </w:num>
  <w:num w:numId="18">
    <w:abstractNumId w:val="46"/>
  </w:num>
  <w:num w:numId="19">
    <w:abstractNumId w:val="18"/>
  </w:num>
  <w:num w:numId="20">
    <w:abstractNumId w:val="9"/>
  </w:num>
  <w:num w:numId="21">
    <w:abstractNumId w:val="23"/>
  </w:num>
  <w:num w:numId="22">
    <w:abstractNumId w:val="30"/>
  </w:num>
  <w:num w:numId="23">
    <w:abstractNumId w:val="15"/>
  </w:num>
  <w:num w:numId="24">
    <w:abstractNumId w:val="37"/>
  </w:num>
  <w:num w:numId="25">
    <w:abstractNumId w:val="42"/>
  </w:num>
  <w:num w:numId="26">
    <w:abstractNumId w:val="32"/>
  </w:num>
  <w:num w:numId="27">
    <w:abstractNumId w:val="3"/>
  </w:num>
  <w:num w:numId="28">
    <w:abstractNumId w:val="40"/>
  </w:num>
  <w:num w:numId="29">
    <w:abstractNumId w:val="43"/>
  </w:num>
  <w:num w:numId="30">
    <w:abstractNumId w:val="25"/>
  </w:num>
  <w:num w:numId="31">
    <w:abstractNumId w:val="6"/>
  </w:num>
  <w:num w:numId="32">
    <w:abstractNumId w:val="14"/>
  </w:num>
  <w:num w:numId="33">
    <w:abstractNumId w:val="1"/>
  </w:num>
  <w:num w:numId="34">
    <w:abstractNumId w:val="28"/>
  </w:num>
  <w:num w:numId="35">
    <w:abstractNumId w:val="27"/>
  </w:num>
  <w:num w:numId="36">
    <w:abstractNumId w:val="33"/>
  </w:num>
  <w:num w:numId="37">
    <w:abstractNumId w:val="35"/>
  </w:num>
  <w:num w:numId="38">
    <w:abstractNumId w:val="12"/>
  </w:num>
  <w:num w:numId="39">
    <w:abstractNumId w:val="7"/>
  </w:num>
  <w:num w:numId="40">
    <w:abstractNumId w:val="2"/>
  </w:num>
  <w:num w:numId="41">
    <w:abstractNumId w:val="19"/>
  </w:num>
  <w:num w:numId="42">
    <w:abstractNumId w:val="13"/>
  </w:num>
  <w:num w:numId="43">
    <w:abstractNumId w:val="8"/>
  </w:num>
  <w:num w:numId="44">
    <w:abstractNumId w:val="39"/>
  </w:num>
  <w:num w:numId="45">
    <w:abstractNumId w:val="29"/>
  </w:num>
  <w:num w:numId="46">
    <w:abstractNumId w:val="10"/>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C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s-AR" w:vendorID="64" w:dllVersion="6" w:nlCheck="1" w:checkStyle="0"/>
  <w:activeWritingStyle w:appName="MSWord" w:lang="en-US" w:vendorID="64" w:dllVersion="6" w:nlCheck="1" w:checkStyle="1"/>
  <w:activeWritingStyle w:appName="MSWord" w:lang="es-CO" w:vendorID="64" w:dllVersion="6" w:nlCheck="1" w:checkStyle="0"/>
  <w:activeWritingStyle w:appName="MSWord" w:lang="es-PE" w:vendorID="64" w:dllVersion="6" w:nlCheck="1" w:checkStyle="0"/>
  <w:activeWritingStyle w:appName="MSWord" w:lang="es-HN" w:vendorID="64" w:dllVersion="6" w:nlCheck="1" w:checkStyle="0"/>
  <w:activeWritingStyle w:appName="MSWord" w:lang="es-DO" w:vendorID="64" w:dllVersion="6" w:nlCheck="1" w:checkStyle="0"/>
  <w:activeWritingStyle w:appName="MSWord" w:lang="es-UY" w:vendorID="64" w:dllVersion="6" w:nlCheck="1" w:checkStyle="0"/>
  <w:activeWritingStyle w:appName="MSWord" w:lang="fr-FR" w:vendorID="64" w:dllVersion="6" w:nlCheck="1" w:checkStyle="1"/>
  <w:activeWritingStyle w:appName="MSWord" w:lang="es-CR"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AR" w:vendorID="64" w:dllVersion="4096" w:nlCheck="1" w:checkStyle="0"/>
  <w:activeWritingStyle w:appName="MSWord" w:lang="es-CO" w:vendorID="64" w:dllVersion="4096"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5F2"/>
    <w:rsid w:val="000555A9"/>
    <w:rsid w:val="0006409D"/>
    <w:rsid w:val="00090D7C"/>
    <w:rsid w:val="00093116"/>
    <w:rsid w:val="000D37E5"/>
    <w:rsid w:val="000D5965"/>
    <w:rsid w:val="000E5A72"/>
    <w:rsid w:val="000F7DDB"/>
    <w:rsid w:val="00103A07"/>
    <w:rsid w:val="0010650D"/>
    <w:rsid w:val="0011009E"/>
    <w:rsid w:val="00111851"/>
    <w:rsid w:val="0011221D"/>
    <w:rsid w:val="00112B3C"/>
    <w:rsid w:val="0015769C"/>
    <w:rsid w:val="00175971"/>
    <w:rsid w:val="00192DFA"/>
    <w:rsid w:val="00197653"/>
    <w:rsid w:val="001A0D8C"/>
    <w:rsid w:val="001B58BD"/>
    <w:rsid w:val="001C53E3"/>
    <w:rsid w:val="002030B3"/>
    <w:rsid w:val="00206EF7"/>
    <w:rsid w:val="0023585A"/>
    <w:rsid w:val="002569B3"/>
    <w:rsid w:val="00271401"/>
    <w:rsid w:val="002847D0"/>
    <w:rsid w:val="00294CF6"/>
    <w:rsid w:val="002B3FF0"/>
    <w:rsid w:val="002C4A72"/>
    <w:rsid w:val="002C5940"/>
    <w:rsid w:val="002E5ED8"/>
    <w:rsid w:val="002F0A00"/>
    <w:rsid w:val="002F71F4"/>
    <w:rsid w:val="003035C9"/>
    <w:rsid w:val="003217B5"/>
    <w:rsid w:val="003234A5"/>
    <w:rsid w:val="00334817"/>
    <w:rsid w:val="00346FC2"/>
    <w:rsid w:val="00381C49"/>
    <w:rsid w:val="003D0658"/>
    <w:rsid w:val="003D17A0"/>
    <w:rsid w:val="004003A7"/>
    <w:rsid w:val="00406EC5"/>
    <w:rsid w:val="00425397"/>
    <w:rsid w:val="0043087A"/>
    <w:rsid w:val="00433F72"/>
    <w:rsid w:val="00467429"/>
    <w:rsid w:val="00487A82"/>
    <w:rsid w:val="004A50E7"/>
    <w:rsid w:val="004A5DDF"/>
    <w:rsid w:val="004A6AF0"/>
    <w:rsid w:val="004B788B"/>
    <w:rsid w:val="004C07D5"/>
    <w:rsid w:val="004D1ADB"/>
    <w:rsid w:val="004E626A"/>
    <w:rsid w:val="004F298F"/>
    <w:rsid w:val="004F7339"/>
    <w:rsid w:val="005030B5"/>
    <w:rsid w:val="00507FE8"/>
    <w:rsid w:val="00543ED6"/>
    <w:rsid w:val="0055043D"/>
    <w:rsid w:val="00560F37"/>
    <w:rsid w:val="00561534"/>
    <w:rsid w:val="0056309D"/>
    <w:rsid w:val="0057581E"/>
    <w:rsid w:val="00580A67"/>
    <w:rsid w:val="005B2C74"/>
    <w:rsid w:val="005C4839"/>
    <w:rsid w:val="005C7B3D"/>
    <w:rsid w:val="00610033"/>
    <w:rsid w:val="00614034"/>
    <w:rsid w:val="00616AD6"/>
    <w:rsid w:val="00622CF9"/>
    <w:rsid w:val="0068243C"/>
    <w:rsid w:val="00682C54"/>
    <w:rsid w:val="00685A35"/>
    <w:rsid w:val="006D44A9"/>
    <w:rsid w:val="006D7BB9"/>
    <w:rsid w:val="006E4920"/>
    <w:rsid w:val="006E6F88"/>
    <w:rsid w:val="00710B83"/>
    <w:rsid w:val="00721C0A"/>
    <w:rsid w:val="007419AC"/>
    <w:rsid w:val="00744A22"/>
    <w:rsid w:val="00751A20"/>
    <w:rsid w:val="007711F3"/>
    <w:rsid w:val="007A2C63"/>
    <w:rsid w:val="007C0830"/>
    <w:rsid w:val="007C596A"/>
    <w:rsid w:val="007C7E7C"/>
    <w:rsid w:val="007D5511"/>
    <w:rsid w:val="007E3209"/>
    <w:rsid w:val="00810815"/>
    <w:rsid w:val="008145CA"/>
    <w:rsid w:val="00837400"/>
    <w:rsid w:val="00856E5E"/>
    <w:rsid w:val="00872B67"/>
    <w:rsid w:val="00884D97"/>
    <w:rsid w:val="008A416C"/>
    <w:rsid w:val="008B4D18"/>
    <w:rsid w:val="008F367F"/>
    <w:rsid w:val="00903AA2"/>
    <w:rsid w:val="00917866"/>
    <w:rsid w:val="0093019C"/>
    <w:rsid w:val="00944C1E"/>
    <w:rsid w:val="009511FC"/>
    <w:rsid w:val="00961222"/>
    <w:rsid w:val="00962372"/>
    <w:rsid w:val="00972539"/>
    <w:rsid w:val="00974EE6"/>
    <w:rsid w:val="009805F2"/>
    <w:rsid w:val="009A39E2"/>
    <w:rsid w:val="009A7476"/>
    <w:rsid w:val="009C02E5"/>
    <w:rsid w:val="00A0136E"/>
    <w:rsid w:val="00A2030E"/>
    <w:rsid w:val="00A446E6"/>
    <w:rsid w:val="00A82CAE"/>
    <w:rsid w:val="00A87974"/>
    <w:rsid w:val="00A95B2D"/>
    <w:rsid w:val="00AA2931"/>
    <w:rsid w:val="00AA5828"/>
    <w:rsid w:val="00AA6AC3"/>
    <w:rsid w:val="00AF0065"/>
    <w:rsid w:val="00AF488B"/>
    <w:rsid w:val="00B02A6B"/>
    <w:rsid w:val="00B47EB8"/>
    <w:rsid w:val="00B7446E"/>
    <w:rsid w:val="00B811CB"/>
    <w:rsid w:val="00B85156"/>
    <w:rsid w:val="00B908E9"/>
    <w:rsid w:val="00BA5AF7"/>
    <w:rsid w:val="00BC57A2"/>
    <w:rsid w:val="00BE0FE7"/>
    <w:rsid w:val="00BE63EC"/>
    <w:rsid w:val="00BF3554"/>
    <w:rsid w:val="00C35D82"/>
    <w:rsid w:val="00C61872"/>
    <w:rsid w:val="00C74A78"/>
    <w:rsid w:val="00C86418"/>
    <w:rsid w:val="00C97051"/>
    <w:rsid w:val="00C97D1D"/>
    <w:rsid w:val="00CA244C"/>
    <w:rsid w:val="00CA74EA"/>
    <w:rsid w:val="00CA775B"/>
    <w:rsid w:val="00CB0973"/>
    <w:rsid w:val="00CB362B"/>
    <w:rsid w:val="00CD1550"/>
    <w:rsid w:val="00CE700E"/>
    <w:rsid w:val="00D041BE"/>
    <w:rsid w:val="00D07A3F"/>
    <w:rsid w:val="00D10B17"/>
    <w:rsid w:val="00D13011"/>
    <w:rsid w:val="00D1698B"/>
    <w:rsid w:val="00D36064"/>
    <w:rsid w:val="00D53712"/>
    <w:rsid w:val="00D74403"/>
    <w:rsid w:val="00DA267D"/>
    <w:rsid w:val="00DB2FD9"/>
    <w:rsid w:val="00DB6CFE"/>
    <w:rsid w:val="00DB757A"/>
    <w:rsid w:val="00DE5855"/>
    <w:rsid w:val="00DE5A24"/>
    <w:rsid w:val="00E21C50"/>
    <w:rsid w:val="00E24403"/>
    <w:rsid w:val="00E378F1"/>
    <w:rsid w:val="00E406D0"/>
    <w:rsid w:val="00E41756"/>
    <w:rsid w:val="00E510D5"/>
    <w:rsid w:val="00E51582"/>
    <w:rsid w:val="00E53F86"/>
    <w:rsid w:val="00EC2074"/>
    <w:rsid w:val="00F13724"/>
    <w:rsid w:val="00F141D2"/>
    <w:rsid w:val="00F349E7"/>
    <w:rsid w:val="00F46A92"/>
    <w:rsid w:val="00F5089C"/>
    <w:rsid w:val="00F56CA1"/>
    <w:rsid w:val="00F62682"/>
    <w:rsid w:val="00F74D33"/>
    <w:rsid w:val="00FB2F64"/>
    <w:rsid w:val="00FC49A7"/>
    <w:rsid w:val="00FE1010"/>
    <w:rsid w:val="00FF2C70"/>
    <w:rsid w:val="00FF2CB4"/>
    <w:rsid w:val="00FF71A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E8D6C"/>
  <w15:chartTrackingRefBased/>
  <w15:docId w15:val="{32839C68-0D17-4326-A80B-14C20128E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805F2"/>
    <w:pPr>
      <w:spacing w:after="200" w:line="276" w:lineRule="auto"/>
    </w:pPr>
    <w:rPr>
      <w:lang w:val="es-ES_tradnl"/>
    </w:rPr>
  </w:style>
  <w:style w:type="paragraph" w:styleId="Ttulo1">
    <w:name w:val="heading 1"/>
    <w:basedOn w:val="Normal"/>
    <w:next w:val="Normal"/>
    <w:link w:val="Ttulo1Car"/>
    <w:uiPriority w:val="9"/>
    <w:qFormat/>
    <w:rsid w:val="009805F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unhideWhenUsed/>
    <w:qFormat/>
    <w:rsid w:val="009805F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iPriority w:val="9"/>
    <w:unhideWhenUsed/>
    <w:qFormat/>
    <w:rsid w:val="009805F2"/>
    <w:pPr>
      <w:keepNext/>
      <w:keepLines/>
      <w:spacing w:before="40" w:after="0" w:line="259" w:lineRule="auto"/>
      <w:outlineLvl w:val="2"/>
    </w:pPr>
    <w:rPr>
      <w:rFonts w:asciiTheme="majorHAnsi" w:eastAsiaTheme="majorEastAsia" w:hAnsiTheme="majorHAnsi" w:cstheme="majorBidi"/>
      <w:color w:val="1F4D78" w:themeColor="accent1" w:themeShade="7F"/>
      <w:sz w:val="24"/>
      <w:szCs w:val="24"/>
      <w:lang w:val="es-CR"/>
    </w:rPr>
  </w:style>
  <w:style w:type="paragraph" w:styleId="Ttulo4">
    <w:name w:val="heading 4"/>
    <w:basedOn w:val="Normal"/>
    <w:next w:val="Normal"/>
    <w:link w:val="Ttulo4Car"/>
    <w:uiPriority w:val="9"/>
    <w:semiHidden/>
    <w:unhideWhenUsed/>
    <w:qFormat/>
    <w:rsid w:val="009805F2"/>
    <w:pPr>
      <w:keepNext/>
      <w:keepLines/>
      <w:spacing w:before="40" w:after="0" w:line="259" w:lineRule="auto"/>
      <w:outlineLvl w:val="3"/>
    </w:pPr>
    <w:rPr>
      <w:rFonts w:asciiTheme="majorHAnsi" w:eastAsiaTheme="majorEastAsia" w:hAnsiTheme="majorHAnsi" w:cstheme="majorBidi"/>
      <w:i/>
      <w:iCs/>
      <w:color w:val="2E74B5" w:themeColor="accent1" w:themeShade="BF"/>
      <w:lang w:val="es-CR"/>
    </w:rPr>
  </w:style>
  <w:style w:type="paragraph" w:styleId="Ttulo5">
    <w:name w:val="heading 5"/>
    <w:basedOn w:val="Normal"/>
    <w:next w:val="Normal"/>
    <w:link w:val="Ttulo5Car"/>
    <w:uiPriority w:val="9"/>
    <w:semiHidden/>
    <w:unhideWhenUsed/>
    <w:qFormat/>
    <w:rsid w:val="009805F2"/>
    <w:pPr>
      <w:keepNext/>
      <w:keepLines/>
      <w:spacing w:before="40" w:after="0" w:line="259" w:lineRule="auto"/>
      <w:outlineLvl w:val="4"/>
    </w:pPr>
    <w:rPr>
      <w:rFonts w:asciiTheme="majorHAnsi" w:eastAsiaTheme="majorEastAsia" w:hAnsiTheme="majorHAnsi" w:cstheme="majorBidi"/>
      <w:color w:val="2E74B5" w:themeColor="accent1" w:themeShade="BF"/>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A Fu,Footnote Text Char Char Char Char Char,Footnote Text Char Char Char Char,Footnote reference,Footnote Text Char Char Char,FA Fu Car,FA Fu Car Car,Footnote Text Cha,FA Fußnotentext,FA Fuﬂnotentext,FA Fu?notentext,Ca,2. Footnote Text,C"/>
    <w:basedOn w:val="Normal"/>
    <w:link w:val="TextonotapieCar1"/>
    <w:qFormat/>
    <w:rsid w:val="009805F2"/>
    <w:pPr>
      <w:spacing w:after="0" w:line="240" w:lineRule="auto"/>
      <w:jc w:val="both"/>
    </w:pPr>
    <w:rPr>
      <w:rFonts w:ascii="Verdana" w:eastAsia="Batang" w:hAnsi="Verdana" w:cs="Times"/>
      <w:sz w:val="20"/>
      <w:szCs w:val="20"/>
      <w:lang w:val="en-US" w:eastAsia="es-CR"/>
    </w:rPr>
  </w:style>
  <w:style w:type="character" w:customStyle="1" w:styleId="TextonotapieCar">
    <w:name w:val="Texto nota pie Car"/>
    <w:aliases w:val="FA Fu Car3,Footnote Text Char Char Char Char Char Car2,Footnote Text Char Char Char Char Car2,Footnote reference Car2,Footnote Text Char Char Char Car2,FA Fu Car Car3,FA Fu Car Car Car2,Footnote Text Cha Car2,FA Fußnotentext Car2"/>
    <w:basedOn w:val="Fuentedeprrafopredeter"/>
    <w:qFormat/>
    <w:rsid w:val="009805F2"/>
    <w:rPr>
      <w:sz w:val="20"/>
      <w:szCs w:val="20"/>
      <w:lang w:val="es-ES_tradnl"/>
    </w:rPr>
  </w:style>
  <w:style w:type="character" w:customStyle="1" w:styleId="TextonotapieCar1">
    <w:name w:val="Texto nota pie Car1"/>
    <w:aliases w:val="FA Fu Car1,Footnote Text Char Char Char Char Char Car,Footnote Text Char Char Char Char Car,Footnote reference Car,Footnote Text Char Char Char Car,FA Fu Car Car1,FA Fu Car Car Car,Footnote Text Cha Car,FA Fußnotentext Car1,Ca Car"/>
    <w:basedOn w:val="Fuentedeprrafopredeter"/>
    <w:link w:val="Textonotapie"/>
    <w:qFormat/>
    <w:rsid w:val="009805F2"/>
    <w:rPr>
      <w:rFonts w:ascii="Verdana" w:eastAsia="Batang" w:hAnsi="Verdana" w:cs="Times"/>
      <w:sz w:val="20"/>
      <w:szCs w:val="20"/>
      <w:lang w:val="en-US" w:eastAsia="es-CR"/>
    </w:rPr>
  </w:style>
  <w:style w:type="character" w:styleId="Refdenotaalpie">
    <w:name w:val="footnote reference"/>
    <w:aliases w:val="Texto de nota al pie,Appel note de bas de page,Footnotes refss,Footnote number,referencia nota al pie,BVI fnr,f,4_G,16 Point,Superscript 6 Point,Texto nota al pie,Footnote Reference Char3,Footnote Reference Char1 Char,Ref. de nota al"/>
    <w:link w:val="4GChar"/>
    <w:qFormat/>
    <w:rsid w:val="009805F2"/>
    <w:rPr>
      <w:rFonts w:cs="Times New Roman"/>
      <w:szCs w:val="20"/>
      <w:vertAlign w:val="superscript"/>
    </w:rPr>
  </w:style>
  <w:style w:type="character" w:styleId="Refdecomentario">
    <w:name w:val="annotation reference"/>
    <w:basedOn w:val="Fuentedeprrafopredeter"/>
    <w:uiPriority w:val="99"/>
    <w:semiHidden/>
    <w:unhideWhenUsed/>
    <w:rsid w:val="009805F2"/>
    <w:rPr>
      <w:sz w:val="16"/>
      <w:szCs w:val="16"/>
    </w:rPr>
  </w:style>
  <w:style w:type="paragraph" w:styleId="Textocomentario">
    <w:name w:val="annotation text"/>
    <w:basedOn w:val="Normal"/>
    <w:link w:val="TextocomentarioCar"/>
    <w:uiPriority w:val="99"/>
    <w:unhideWhenUsed/>
    <w:rsid w:val="009805F2"/>
    <w:pPr>
      <w:spacing w:after="160" w:line="240" w:lineRule="auto"/>
    </w:pPr>
    <w:rPr>
      <w:sz w:val="20"/>
      <w:szCs w:val="20"/>
      <w:lang w:val="es-CR"/>
    </w:rPr>
  </w:style>
  <w:style w:type="character" w:customStyle="1" w:styleId="TextocomentarioCar">
    <w:name w:val="Texto comentario Car"/>
    <w:basedOn w:val="Fuentedeprrafopredeter"/>
    <w:link w:val="Textocomentario"/>
    <w:uiPriority w:val="99"/>
    <w:rsid w:val="009805F2"/>
    <w:rPr>
      <w:sz w:val="20"/>
      <w:szCs w:val="20"/>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9805F2"/>
    <w:pPr>
      <w:spacing w:after="0" w:line="240" w:lineRule="auto"/>
      <w:jc w:val="both"/>
    </w:pPr>
    <w:rPr>
      <w:rFonts w:cs="Times New Roman"/>
      <w:szCs w:val="20"/>
      <w:vertAlign w:val="superscript"/>
      <w:lang w:val="es-CR"/>
    </w:rPr>
  </w:style>
  <w:style w:type="paragraph" w:styleId="Textodeglobo">
    <w:name w:val="Balloon Text"/>
    <w:basedOn w:val="Normal"/>
    <w:link w:val="TextodegloboCar"/>
    <w:uiPriority w:val="99"/>
    <w:semiHidden/>
    <w:unhideWhenUsed/>
    <w:rsid w:val="009805F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05F2"/>
    <w:rPr>
      <w:rFonts w:ascii="Segoe UI" w:hAnsi="Segoe UI" w:cs="Segoe UI"/>
      <w:sz w:val="18"/>
      <w:szCs w:val="18"/>
      <w:lang w:val="es-ES_tradnl"/>
    </w:rPr>
  </w:style>
  <w:style w:type="paragraph" w:styleId="Encabezado">
    <w:name w:val="header"/>
    <w:basedOn w:val="Normal"/>
    <w:link w:val="EncabezadoCar"/>
    <w:uiPriority w:val="99"/>
    <w:unhideWhenUsed/>
    <w:rsid w:val="009805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05F2"/>
    <w:rPr>
      <w:lang w:val="es-ES_tradnl"/>
    </w:rPr>
  </w:style>
  <w:style w:type="paragraph" w:styleId="Piedepgina">
    <w:name w:val="footer"/>
    <w:basedOn w:val="Normal"/>
    <w:link w:val="PiedepginaCar"/>
    <w:uiPriority w:val="99"/>
    <w:unhideWhenUsed/>
    <w:rsid w:val="009805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05F2"/>
    <w:rPr>
      <w:lang w:val="es-ES_tradnl"/>
    </w:rPr>
  </w:style>
  <w:style w:type="character" w:customStyle="1" w:styleId="Ttulo1Car">
    <w:name w:val="Título 1 Car"/>
    <w:basedOn w:val="Fuentedeprrafopredeter"/>
    <w:link w:val="Ttulo1"/>
    <w:uiPriority w:val="9"/>
    <w:rsid w:val="009805F2"/>
    <w:rPr>
      <w:rFonts w:asciiTheme="majorHAnsi" w:eastAsiaTheme="majorEastAsia" w:hAnsiTheme="majorHAnsi" w:cstheme="majorBidi"/>
      <w:b/>
      <w:bCs/>
      <w:color w:val="2E74B5" w:themeColor="accent1" w:themeShade="BF"/>
      <w:sz w:val="28"/>
      <w:szCs w:val="28"/>
      <w:lang w:val="es-ES_tradnl"/>
    </w:rPr>
  </w:style>
  <w:style w:type="character" w:customStyle="1" w:styleId="Ttulo2Car">
    <w:name w:val="Título 2 Car"/>
    <w:basedOn w:val="Fuentedeprrafopredeter"/>
    <w:link w:val="Ttulo2"/>
    <w:uiPriority w:val="9"/>
    <w:rsid w:val="009805F2"/>
    <w:rPr>
      <w:rFonts w:asciiTheme="majorHAnsi" w:eastAsiaTheme="majorEastAsia" w:hAnsiTheme="majorHAnsi" w:cstheme="majorBidi"/>
      <w:b/>
      <w:bCs/>
      <w:color w:val="5B9BD5" w:themeColor="accent1"/>
      <w:sz w:val="26"/>
      <w:szCs w:val="26"/>
      <w:lang w:val="es-ES_tradnl"/>
    </w:rPr>
  </w:style>
  <w:style w:type="character" w:customStyle="1" w:styleId="Ttulo3Car">
    <w:name w:val="Título 3 Car"/>
    <w:basedOn w:val="Fuentedeprrafopredeter"/>
    <w:link w:val="Ttulo3"/>
    <w:uiPriority w:val="9"/>
    <w:rsid w:val="009805F2"/>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9805F2"/>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9805F2"/>
    <w:rPr>
      <w:rFonts w:asciiTheme="majorHAnsi" w:eastAsiaTheme="majorEastAsia" w:hAnsiTheme="majorHAnsi" w:cstheme="majorBidi"/>
      <w:color w:val="2E74B5" w:themeColor="accent1" w:themeShade="BF"/>
    </w:rPr>
  </w:style>
  <w:style w:type="character" w:styleId="Textoennegrita">
    <w:name w:val="Strong"/>
    <w:aliases w:val="Heading 2.1"/>
    <w:basedOn w:val="Fuentedeprrafopredeter"/>
    <w:uiPriority w:val="22"/>
    <w:qFormat/>
    <w:rsid w:val="009805F2"/>
    <w:rPr>
      <w:b/>
      <w:bCs/>
    </w:rPr>
  </w:style>
  <w:style w:type="paragraph" w:customStyle="1" w:styleId="Footnotes">
    <w:name w:val="**. Footnotes"/>
    <w:basedOn w:val="Textonotapie"/>
    <w:link w:val="FootnotesChar"/>
    <w:autoRedefine/>
    <w:qFormat/>
    <w:rsid w:val="009805F2"/>
    <w:pPr>
      <w:spacing w:line="216" w:lineRule="auto"/>
    </w:pPr>
    <w:rPr>
      <w:rFonts w:eastAsia="Times New Roman" w:cs="Palatino-Italic"/>
      <w:i/>
      <w:iCs/>
      <w:spacing w:val="-4"/>
      <w:sz w:val="16"/>
      <w:szCs w:val="16"/>
      <w:lang w:val="es-ES" w:eastAsia="en-US" w:bidi="en-US"/>
    </w:rPr>
  </w:style>
  <w:style w:type="character" w:customStyle="1" w:styleId="FootnotesChar">
    <w:name w:val="**. Footnotes Char"/>
    <w:basedOn w:val="Fuentedeprrafopredeter"/>
    <w:link w:val="Footnotes"/>
    <w:rsid w:val="009805F2"/>
    <w:rPr>
      <w:rFonts w:ascii="Verdana" w:eastAsia="Times New Roman" w:hAnsi="Verdana" w:cs="Palatino-Italic"/>
      <w:i/>
      <w:iCs/>
      <w:spacing w:val="-4"/>
      <w:sz w:val="16"/>
      <w:szCs w:val="16"/>
      <w:lang w:val="es-ES" w:bidi="en-US"/>
    </w:rPr>
  </w:style>
  <w:style w:type="character" w:styleId="Hipervnculo">
    <w:name w:val="Hyperlink"/>
    <w:uiPriority w:val="99"/>
    <w:rsid w:val="009805F2"/>
    <w:rPr>
      <w:color w:val="0000FF"/>
      <w:u w:val="single"/>
    </w:rPr>
  </w:style>
  <w:style w:type="paragraph" w:styleId="TDC1">
    <w:name w:val="toc 1"/>
    <w:basedOn w:val="Normal"/>
    <w:next w:val="Normal"/>
    <w:autoRedefine/>
    <w:uiPriority w:val="39"/>
    <w:unhideWhenUsed/>
    <w:rsid w:val="00D1698B"/>
    <w:pPr>
      <w:tabs>
        <w:tab w:val="right" w:leader="dot" w:pos="8828"/>
      </w:tabs>
      <w:spacing w:after="0"/>
      <w:jc w:val="both"/>
    </w:pPr>
    <w:rPr>
      <w:rFonts w:asciiTheme="majorHAnsi" w:hAnsiTheme="majorHAnsi"/>
      <w:b/>
      <w:bCs/>
      <w:caps/>
      <w:sz w:val="24"/>
      <w:szCs w:val="24"/>
    </w:rPr>
  </w:style>
  <w:style w:type="paragraph" w:styleId="TDC2">
    <w:name w:val="toc 2"/>
    <w:basedOn w:val="Normal"/>
    <w:next w:val="Normal"/>
    <w:autoRedefine/>
    <w:uiPriority w:val="39"/>
    <w:unhideWhenUsed/>
    <w:rsid w:val="009805F2"/>
    <w:pPr>
      <w:tabs>
        <w:tab w:val="left" w:pos="660"/>
        <w:tab w:val="right" w:leader="dot" w:pos="8828"/>
      </w:tabs>
      <w:spacing w:after="0"/>
      <w:ind w:left="142"/>
      <w:jc w:val="both"/>
    </w:pPr>
    <w:rPr>
      <w:b/>
      <w:bCs/>
      <w:sz w:val="20"/>
      <w:szCs w:val="20"/>
    </w:rPr>
  </w:style>
  <w:style w:type="paragraph" w:styleId="TDC3">
    <w:name w:val="toc 3"/>
    <w:basedOn w:val="Normal"/>
    <w:next w:val="Normal"/>
    <w:autoRedefine/>
    <w:uiPriority w:val="39"/>
    <w:unhideWhenUsed/>
    <w:rsid w:val="009805F2"/>
    <w:pPr>
      <w:spacing w:after="0"/>
      <w:ind w:left="220"/>
    </w:pPr>
    <w:rPr>
      <w:sz w:val="20"/>
      <w:szCs w:val="20"/>
    </w:rPr>
  </w:style>
  <w:style w:type="paragraph" w:styleId="TDC4">
    <w:name w:val="toc 4"/>
    <w:basedOn w:val="Normal"/>
    <w:next w:val="Normal"/>
    <w:autoRedefine/>
    <w:uiPriority w:val="39"/>
    <w:unhideWhenUsed/>
    <w:rsid w:val="009805F2"/>
    <w:pPr>
      <w:spacing w:after="0"/>
      <w:ind w:left="440"/>
    </w:pPr>
    <w:rPr>
      <w:sz w:val="20"/>
      <w:szCs w:val="20"/>
    </w:rPr>
  </w:style>
  <w:style w:type="paragraph" w:styleId="Prrafodelista">
    <w:name w:val="List Paragraph"/>
    <w:aliases w:val="Párrafo de lista1,List Paragraph1,Colorful List - Accent 11,List Paragraph2,Footnote,Lista vistosa - Énfasis 11,Footnote1"/>
    <w:basedOn w:val="Normal"/>
    <w:link w:val="PrrafodelistaCar"/>
    <w:uiPriority w:val="34"/>
    <w:qFormat/>
    <w:rsid w:val="009805F2"/>
    <w:pPr>
      <w:ind w:left="720"/>
      <w:contextualSpacing/>
    </w:pPr>
  </w:style>
  <w:style w:type="character" w:styleId="Nmerodelnea">
    <w:name w:val="line number"/>
    <w:basedOn w:val="Fuentedeprrafopredeter"/>
    <w:uiPriority w:val="99"/>
    <w:semiHidden/>
    <w:unhideWhenUsed/>
    <w:rsid w:val="009805F2"/>
  </w:style>
  <w:style w:type="paragraph" w:customStyle="1" w:styleId="Default">
    <w:name w:val="Default"/>
    <w:rsid w:val="009805F2"/>
    <w:pPr>
      <w:autoSpaceDE w:val="0"/>
      <w:autoSpaceDN w:val="0"/>
      <w:adjustRightInd w:val="0"/>
      <w:spacing w:after="0" w:line="240" w:lineRule="auto"/>
    </w:pPr>
    <w:rPr>
      <w:rFonts w:ascii="Verdana" w:hAnsi="Verdana" w:cs="Verdana"/>
      <w:color w:val="000000"/>
      <w:sz w:val="24"/>
      <w:szCs w:val="24"/>
    </w:rPr>
  </w:style>
  <w:style w:type="character" w:customStyle="1" w:styleId="FAFuCar2">
    <w:name w:val="FA Fu Car2"/>
    <w:aliases w:val="Footnote Text Char Char Char Char Char Car1,Footnote Text Char Char Char Char Car1,Footnote reference Car1,Footnote Text Char Char Char Car1,FA Fu Car Car2,FA Fu Car Car Car1,Footnote Text Cha Car1,FA Fußnotentext Car,C Car"/>
    <w:basedOn w:val="Fuentedeprrafopredeter"/>
    <w:qFormat/>
    <w:rsid w:val="009805F2"/>
    <w:rPr>
      <w:sz w:val="20"/>
      <w:szCs w:val="20"/>
    </w:rPr>
  </w:style>
  <w:style w:type="character" w:customStyle="1" w:styleId="apple-style-span">
    <w:name w:val="apple-style-span"/>
    <w:basedOn w:val="Fuentedeprrafopredeter"/>
    <w:rsid w:val="009805F2"/>
    <w:rPr>
      <w:rFonts w:cs="Times New Roman"/>
    </w:rPr>
  </w:style>
  <w:style w:type="character" w:customStyle="1" w:styleId="PrrafodelistaCar">
    <w:name w:val="Párrafo de lista Car"/>
    <w:aliases w:val="Párrafo de lista1 Car,List Paragraph1 Car,Colorful List - Accent 11 Car,List Paragraph2 Car,Footnote Car,Lista vistosa - Énfasis 11 Car,Footnote1 Car"/>
    <w:link w:val="Prrafodelista"/>
    <w:uiPriority w:val="34"/>
    <w:rsid w:val="009805F2"/>
    <w:rPr>
      <w:lang w:val="es-ES_tradnl"/>
    </w:rPr>
  </w:style>
  <w:style w:type="paragraph" w:styleId="Listaconvietas">
    <w:name w:val="List Bullet"/>
    <w:basedOn w:val="Normal"/>
    <w:uiPriority w:val="99"/>
    <w:unhideWhenUsed/>
    <w:rsid w:val="009805F2"/>
    <w:pPr>
      <w:numPr>
        <w:numId w:val="5"/>
      </w:numPr>
      <w:autoSpaceDE w:val="0"/>
      <w:autoSpaceDN w:val="0"/>
      <w:adjustRightInd w:val="0"/>
      <w:spacing w:after="0" w:line="240" w:lineRule="auto"/>
      <w:contextualSpacing/>
      <w:jc w:val="both"/>
    </w:pPr>
    <w:rPr>
      <w:rFonts w:ascii="Verdana" w:hAnsi="Verdana" w:cs="Arial"/>
      <w:sz w:val="20"/>
      <w:szCs w:val="20"/>
      <w:lang w:val="es-CR"/>
    </w:rPr>
  </w:style>
  <w:style w:type="paragraph" w:styleId="Textonotaalfinal">
    <w:name w:val="endnote text"/>
    <w:basedOn w:val="Normal"/>
    <w:link w:val="TextonotaalfinalCar"/>
    <w:uiPriority w:val="99"/>
    <w:semiHidden/>
    <w:unhideWhenUsed/>
    <w:rsid w:val="009805F2"/>
    <w:pPr>
      <w:spacing w:after="0" w:line="240" w:lineRule="auto"/>
    </w:pPr>
    <w:rPr>
      <w:sz w:val="20"/>
      <w:szCs w:val="20"/>
      <w:lang w:val="es-CR"/>
    </w:rPr>
  </w:style>
  <w:style w:type="character" w:customStyle="1" w:styleId="TextonotaalfinalCar">
    <w:name w:val="Texto nota al final Car"/>
    <w:basedOn w:val="Fuentedeprrafopredeter"/>
    <w:link w:val="Textonotaalfinal"/>
    <w:uiPriority w:val="99"/>
    <w:semiHidden/>
    <w:rsid w:val="009805F2"/>
    <w:rPr>
      <w:sz w:val="20"/>
      <w:szCs w:val="20"/>
    </w:rPr>
  </w:style>
  <w:style w:type="character" w:styleId="Refdenotaalfinal">
    <w:name w:val="endnote reference"/>
    <w:basedOn w:val="Fuentedeprrafopredeter"/>
    <w:uiPriority w:val="99"/>
    <w:semiHidden/>
    <w:unhideWhenUsed/>
    <w:rsid w:val="009805F2"/>
    <w:rPr>
      <w:vertAlign w:val="superscript"/>
    </w:rPr>
  </w:style>
  <w:style w:type="paragraph" w:styleId="TDC5">
    <w:name w:val="toc 5"/>
    <w:basedOn w:val="Normal"/>
    <w:next w:val="Normal"/>
    <w:autoRedefine/>
    <w:uiPriority w:val="39"/>
    <w:unhideWhenUsed/>
    <w:rsid w:val="009805F2"/>
    <w:pPr>
      <w:spacing w:after="0"/>
      <w:ind w:left="660"/>
    </w:pPr>
    <w:rPr>
      <w:sz w:val="20"/>
      <w:szCs w:val="20"/>
    </w:rPr>
  </w:style>
  <w:style w:type="paragraph" w:styleId="TDC6">
    <w:name w:val="toc 6"/>
    <w:basedOn w:val="Normal"/>
    <w:next w:val="Normal"/>
    <w:autoRedefine/>
    <w:uiPriority w:val="39"/>
    <w:unhideWhenUsed/>
    <w:rsid w:val="009805F2"/>
    <w:pPr>
      <w:spacing w:after="0"/>
      <w:ind w:left="880"/>
    </w:pPr>
    <w:rPr>
      <w:sz w:val="20"/>
      <w:szCs w:val="20"/>
    </w:rPr>
  </w:style>
  <w:style w:type="character" w:styleId="Hipervnculovisitado">
    <w:name w:val="FollowedHyperlink"/>
    <w:basedOn w:val="Fuentedeprrafopredeter"/>
    <w:uiPriority w:val="99"/>
    <w:semiHidden/>
    <w:unhideWhenUsed/>
    <w:rsid w:val="009805F2"/>
    <w:rPr>
      <w:color w:val="954F72" w:themeColor="followedHyperlink"/>
      <w:u w:val="single"/>
    </w:rPr>
  </w:style>
  <w:style w:type="paragraph" w:styleId="NormalWeb">
    <w:name w:val="Normal (Web)"/>
    <w:basedOn w:val="Normal"/>
    <w:uiPriority w:val="99"/>
    <w:unhideWhenUsed/>
    <w:rsid w:val="009805F2"/>
    <w:pPr>
      <w:spacing w:before="100" w:beforeAutospacing="1" w:after="100" w:afterAutospacing="1" w:line="240" w:lineRule="auto"/>
    </w:pPr>
    <w:rPr>
      <w:rFonts w:ascii="Times New Roman" w:eastAsia="Times New Roman" w:hAnsi="Times New Roman" w:cs="Times New Roman"/>
      <w:sz w:val="24"/>
      <w:szCs w:val="24"/>
      <w:lang w:val="es-CR" w:eastAsia="es-CR"/>
    </w:rPr>
  </w:style>
  <w:style w:type="paragraph" w:customStyle="1" w:styleId="Numberedparagraphs">
    <w:name w:val="Numbered paragraphs"/>
    <w:basedOn w:val="Normal"/>
    <w:link w:val="NumberedparagraphsCar"/>
    <w:qFormat/>
    <w:rsid w:val="009805F2"/>
    <w:pPr>
      <w:numPr>
        <w:numId w:val="6"/>
      </w:numPr>
      <w:spacing w:line="240" w:lineRule="auto"/>
      <w:jc w:val="both"/>
    </w:pPr>
    <w:rPr>
      <w:rFonts w:ascii="Verdana" w:eastAsia="MS Mincho" w:hAnsi="Verdana" w:cs="Times New Roman"/>
      <w:color w:val="000000"/>
      <w:sz w:val="20"/>
      <w:szCs w:val="20"/>
    </w:rPr>
  </w:style>
  <w:style w:type="character" w:customStyle="1" w:styleId="NumberedparagraphsCar">
    <w:name w:val="Numbered paragraphs Car"/>
    <w:basedOn w:val="Fuentedeprrafopredeter"/>
    <w:link w:val="Numberedparagraphs"/>
    <w:rsid w:val="009805F2"/>
    <w:rPr>
      <w:rFonts w:ascii="Verdana" w:eastAsia="MS Mincho" w:hAnsi="Verdana" w:cs="Times New Roman"/>
      <w:color w:val="000000"/>
      <w:sz w:val="20"/>
      <w:szCs w:val="20"/>
      <w:lang w:val="es-ES_tradnl"/>
    </w:rPr>
  </w:style>
  <w:style w:type="paragraph" w:styleId="TDC7">
    <w:name w:val="toc 7"/>
    <w:basedOn w:val="Normal"/>
    <w:next w:val="Normal"/>
    <w:autoRedefine/>
    <w:uiPriority w:val="39"/>
    <w:unhideWhenUsed/>
    <w:rsid w:val="009805F2"/>
    <w:pPr>
      <w:spacing w:after="0"/>
      <w:ind w:left="1100"/>
    </w:pPr>
    <w:rPr>
      <w:sz w:val="20"/>
      <w:szCs w:val="20"/>
    </w:rPr>
  </w:style>
  <w:style w:type="paragraph" w:styleId="TDC8">
    <w:name w:val="toc 8"/>
    <w:basedOn w:val="Normal"/>
    <w:next w:val="Normal"/>
    <w:autoRedefine/>
    <w:uiPriority w:val="39"/>
    <w:unhideWhenUsed/>
    <w:rsid w:val="009805F2"/>
    <w:pPr>
      <w:spacing w:after="0"/>
      <w:ind w:left="1320"/>
    </w:pPr>
    <w:rPr>
      <w:sz w:val="20"/>
      <w:szCs w:val="20"/>
    </w:rPr>
  </w:style>
  <w:style w:type="character" w:customStyle="1" w:styleId="PrrafodeSentenciaChar">
    <w:name w:val="*. Párrafo de Sentencia Char"/>
    <w:link w:val="PrrafodeSentencia"/>
    <w:locked/>
    <w:rsid w:val="009805F2"/>
    <w:rPr>
      <w:rFonts w:ascii="Verdana" w:eastAsia="Batang" w:hAnsi="Verdana"/>
      <w:lang w:val="es-CL" w:eastAsia="es-MX"/>
    </w:rPr>
  </w:style>
  <w:style w:type="paragraph" w:customStyle="1" w:styleId="PrrafodeSentencia">
    <w:name w:val="*. Párrafo de Sentencia"/>
    <w:basedOn w:val="Normal"/>
    <w:link w:val="PrrafodeSentenciaChar"/>
    <w:autoRedefine/>
    <w:qFormat/>
    <w:rsid w:val="009805F2"/>
    <w:pPr>
      <w:numPr>
        <w:numId w:val="7"/>
      </w:numPr>
      <w:spacing w:before="120" w:after="120" w:line="240" w:lineRule="auto"/>
      <w:ind w:left="0" w:firstLine="0"/>
      <w:jc w:val="both"/>
    </w:pPr>
    <w:rPr>
      <w:rFonts w:ascii="Verdana" w:eastAsia="Batang" w:hAnsi="Verdana"/>
      <w:lang w:val="es-CL" w:eastAsia="es-MX"/>
    </w:rPr>
  </w:style>
  <w:style w:type="paragraph" w:styleId="TDC9">
    <w:name w:val="toc 9"/>
    <w:basedOn w:val="Normal"/>
    <w:next w:val="Normal"/>
    <w:autoRedefine/>
    <w:uiPriority w:val="39"/>
    <w:unhideWhenUsed/>
    <w:rsid w:val="009805F2"/>
    <w:pPr>
      <w:spacing w:after="0"/>
      <w:ind w:left="1540"/>
    </w:pPr>
    <w:rPr>
      <w:sz w:val="20"/>
      <w:szCs w:val="20"/>
    </w:rPr>
  </w:style>
  <w:style w:type="paragraph" w:styleId="Revisin">
    <w:name w:val="Revision"/>
    <w:hidden/>
    <w:uiPriority w:val="99"/>
    <w:semiHidden/>
    <w:rsid w:val="009805F2"/>
    <w:pPr>
      <w:spacing w:after="0" w:line="240" w:lineRule="auto"/>
    </w:pPr>
    <w:rPr>
      <w:lang w:val="es-ES_tradnl"/>
    </w:rPr>
  </w:style>
  <w:style w:type="paragraph" w:styleId="Asuntodelcomentario">
    <w:name w:val="annotation subject"/>
    <w:basedOn w:val="Textocomentario"/>
    <w:next w:val="Textocomentario"/>
    <w:link w:val="AsuntodelcomentarioCar"/>
    <w:uiPriority w:val="99"/>
    <w:semiHidden/>
    <w:unhideWhenUsed/>
    <w:rsid w:val="009805F2"/>
    <w:pPr>
      <w:spacing w:after="200"/>
    </w:pPr>
    <w:rPr>
      <w:b/>
      <w:bCs/>
      <w:lang w:val="es-ES_tradnl"/>
    </w:rPr>
  </w:style>
  <w:style w:type="character" w:customStyle="1" w:styleId="AsuntodelcomentarioCar">
    <w:name w:val="Asunto del comentario Car"/>
    <w:basedOn w:val="TextocomentarioCar"/>
    <w:link w:val="Asuntodelcomentario"/>
    <w:uiPriority w:val="99"/>
    <w:semiHidden/>
    <w:rsid w:val="009805F2"/>
    <w:rPr>
      <w:b/>
      <w:bCs/>
      <w:sz w:val="20"/>
      <w:szCs w:val="20"/>
      <w:lang w:val="es-ES_tradnl"/>
    </w:rPr>
  </w:style>
  <w:style w:type="table" w:styleId="Tablaconcuadrcula">
    <w:name w:val="Table Grid"/>
    <w:basedOn w:val="Tablanormal"/>
    <w:uiPriority w:val="59"/>
    <w:rsid w:val="009805F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media1">
    <w:name w:val="Medium Grid 1"/>
    <w:basedOn w:val="Tablanormal"/>
    <w:uiPriority w:val="67"/>
    <w:rsid w:val="009805F2"/>
    <w:pPr>
      <w:spacing w:after="0" w:line="240" w:lineRule="auto"/>
    </w:pPr>
    <w:rPr>
      <w:lang w:val="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Textoindependiente2">
    <w:name w:val="Body Text 2"/>
    <w:basedOn w:val="Normal"/>
    <w:link w:val="Textoindependiente2Car"/>
    <w:unhideWhenUsed/>
    <w:rsid w:val="009805F2"/>
    <w:pPr>
      <w:spacing w:after="120" w:line="480" w:lineRule="auto"/>
    </w:pPr>
    <w:rPr>
      <w:rFonts w:ascii="Times" w:eastAsia="Times" w:hAnsi="Times" w:cs="Times New Roman"/>
      <w:sz w:val="24"/>
      <w:szCs w:val="20"/>
    </w:rPr>
  </w:style>
  <w:style w:type="character" w:customStyle="1" w:styleId="Textoindependiente2Car">
    <w:name w:val="Texto independiente 2 Car"/>
    <w:basedOn w:val="Fuentedeprrafopredeter"/>
    <w:link w:val="Textoindependiente2"/>
    <w:rsid w:val="009805F2"/>
    <w:rPr>
      <w:rFonts w:ascii="Times" w:eastAsia="Times" w:hAnsi="Times" w:cs="Times New Roman"/>
      <w:sz w:val="24"/>
      <w:szCs w:val="20"/>
      <w:lang w:val="es-ES_tradnl"/>
    </w:rPr>
  </w:style>
  <w:style w:type="paragraph" w:customStyle="1" w:styleId="align-justify">
    <w:name w:val="align-justify"/>
    <w:basedOn w:val="Normal"/>
    <w:rsid w:val="009805F2"/>
    <w:pPr>
      <w:spacing w:before="100" w:beforeAutospacing="1" w:after="100" w:afterAutospacing="1" w:line="240" w:lineRule="auto"/>
    </w:pPr>
    <w:rPr>
      <w:rFonts w:ascii="Times New Roman" w:hAnsi="Times New Roman" w:cs="Times New Roman"/>
      <w:sz w:val="24"/>
      <w:szCs w:val="24"/>
      <w:lang w:eastAsia="es-ES_tradnl"/>
    </w:rPr>
  </w:style>
  <w:style w:type="character" w:customStyle="1" w:styleId="apple-converted-space">
    <w:name w:val="apple-converted-space"/>
    <w:basedOn w:val="Fuentedeprrafopredeter"/>
    <w:rsid w:val="009805F2"/>
  </w:style>
  <w:style w:type="paragraph" w:customStyle="1" w:styleId="SingleTxtG">
    <w:name w:val="_ Single Txt_G"/>
    <w:basedOn w:val="Normal"/>
    <w:rsid w:val="009805F2"/>
    <w:pPr>
      <w:spacing w:after="120" w:line="240" w:lineRule="atLeast"/>
      <w:ind w:left="1134" w:right="1134"/>
      <w:jc w:val="both"/>
    </w:pPr>
    <w:rPr>
      <w:rFonts w:ascii="Times New Roman" w:eastAsia="Times New Roman" w:hAnsi="Times New Roman" w:cs="Times New Roman"/>
      <w:sz w:val="20"/>
      <w:szCs w:val="20"/>
      <w:lang w:val="es-ES" w:eastAsia="es-ES"/>
    </w:rPr>
  </w:style>
  <w:style w:type="character" w:customStyle="1" w:styleId="Estilo1Car">
    <w:name w:val="Estilo1 Car"/>
    <w:link w:val="Estilo1"/>
    <w:locked/>
    <w:rsid w:val="009805F2"/>
    <w:rPr>
      <w:rFonts w:ascii="Verdana" w:hAnsi="Verdana"/>
    </w:rPr>
  </w:style>
  <w:style w:type="paragraph" w:customStyle="1" w:styleId="Estilo1">
    <w:name w:val="Estilo1"/>
    <w:basedOn w:val="Normal"/>
    <w:link w:val="Estilo1Car"/>
    <w:qFormat/>
    <w:rsid w:val="009805F2"/>
    <w:pPr>
      <w:tabs>
        <w:tab w:val="left" w:pos="567"/>
        <w:tab w:val="left" w:pos="1134"/>
        <w:tab w:val="num" w:pos="6042"/>
      </w:tabs>
      <w:spacing w:after="120" w:line="240" w:lineRule="auto"/>
      <w:jc w:val="both"/>
    </w:pPr>
    <w:rPr>
      <w:rFonts w:ascii="Verdana" w:hAnsi="Verdana"/>
      <w:lang w:val="es-CR"/>
    </w:rPr>
  </w:style>
  <w:style w:type="character" w:customStyle="1" w:styleId="pdf-link">
    <w:name w:val="pdf-link"/>
    <w:basedOn w:val="Fuentedeprrafopredeter"/>
    <w:rsid w:val="007C7E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95D4C-B210-49D3-9A39-AE5970244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45867</Words>
  <Characters>252274</Characters>
  <Application>Microsoft Office Word</Application>
  <DocSecurity>0</DocSecurity>
  <Lines>2102</Lines>
  <Paragraphs>595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297546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Corte IDH</dc:creator>
  <cp:keywords/>
  <dc:description/>
  <cp:lastModifiedBy>Francella Hernandez</cp:lastModifiedBy>
  <cp:revision>4</cp:revision>
  <cp:lastPrinted>2020-04-01T21:13:00Z</cp:lastPrinted>
  <dcterms:created xsi:type="dcterms:W3CDTF">2020-04-01T21:12:00Z</dcterms:created>
  <dcterms:modified xsi:type="dcterms:W3CDTF">2020-04-01T21:14:00Z</dcterms:modified>
</cp:coreProperties>
</file>